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6EAA" w14:paraId="41FC49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4AA8B3" w14:textId="77777777" w:rsidR="00751A4A" w:rsidRPr="00B96EAA" w:rsidRDefault="00A70113" w:rsidP="0010095E">
            <w:pPr>
              <w:pStyle w:val="EPName"/>
            </w:pPr>
            <w:r w:rsidRPr="00B96EAA">
              <w:t>Evropski parlament</w:t>
            </w:r>
          </w:p>
          <w:p w14:paraId="0E36A489" w14:textId="77777777" w:rsidR="00751A4A" w:rsidRPr="00B96E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6EAA">
              <w:t>2024</w:t>
            </w:r>
            <w:r w:rsidR="00817416" w:rsidRPr="00B96EAA">
              <w:t>-202</w:t>
            </w:r>
            <w:r w:rsidRPr="00B96EAA">
              <w:t>9</w:t>
            </w:r>
          </w:p>
        </w:tc>
        <w:tc>
          <w:tcPr>
            <w:tcW w:w="2268" w:type="dxa"/>
            <w:shd w:val="clear" w:color="auto" w:fill="auto"/>
          </w:tcPr>
          <w:p w14:paraId="6152D683" w14:textId="77777777" w:rsidR="00751A4A" w:rsidRPr="00B96EAA" w:rsidRDefault="00187494" w:rsidP="0010095E">
            <w:pPr>
              <w:pStyle w:val="EPLogo"/>
            </w:pPr>
            <w:r w:rsidRPr="00B96EAA">
              <w:rPr>
                <w:noProof/>
                <w:lang w:eastAsia="ja-JP"/>
              </w:rPr>
              <w:drawing>
                <wp:inline distT="0" distB="0" distL="0" distR="0" wp14:anchorId="3904010C" wp14:editId="69A8F5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89E7BD" w14:textId="77777777" w:rsidR="00D058B8" w:rsidRPr="00B96EAA" w:rsidRDefault="00D058B8" w:rsidP="004C5D52">
      <w:pPr>
        <w:pStyle w:val="LineTop"/>
      </w:pPr>
    </w:p>
    <w:p w14:paraId="738BE37F" w14:textId="77777777" w:rsidR="00680577" w:rsidRPr="00B96EAA" w:rsidRDefault="00A70113" w:rsidP="00680577">
      <w:pPr>
        <w:pStyle w:val="EPBodyTA1"/>
      </w:pPr>
      <w:r w:rsidRPr="00B96EAA">
        <w:t>SPREJETA BESEDILA</w:t>
      </w:r>
    </w:p>
    <w:p w14:paraId="58A374EC" w14:textId="77777777" w:rsidR="00D058B8" w:rsidRPr="00B96EAA" w:rsidRDefault="00D058B8" w:rsidP="00D058B8">
      <w:pPr>
        <w:pStyle w:val="LineBottom"/>
      </w:pPr>
    </w:p>
    <w:p w14:paraId="11C97042" w14:textId="40F550BE" w:rsidR="00A70113" w:rsidRPr="00B96EAA" w:rsidRDefault="00A70113" w:rsidP="00A70113">
      <w:pPr>
        <w:pStyle w:val="ATHeading1"/>
      </w:pPr>
      <w:bookmarkStart w:id="0" w:name="TANumber"/>
      <w:r w:rsidRPr="00B96EAA">
        <w:t>P10_TA(2026)</w:t>
      </w:r>
      <w:bookmarkEnd w:id="0"/>
      <w:r w:rsidR="00FC5464">
        <w:t>0152</w:t>
      </w:r>
    </w:p>
    <w:p w14:paraId="77E44461" w14:textId="77777777" w:rsidR="00A70113" w:rsidRPr="00B96EAA" w:rsidRDefault="00A70113" w:rsidP="00A70113">
      <w:pPr>
        <w:pStyle w:val="ATHeading2"/>
      </w:pPr>
      <w:bookmarkStart w:id="1" w:name="title"/>
      <w:r w:rsidRPr="00B96EAA">
        <w:t>Novi kitajski zakon o „etnični enotnosti in napredku“ ter vse večje zatiranje etničnih identitet</w:t>
      </w:r>
      <w:bookmarkEnd w:id="1"/>
    </w:p>
    <w:p w14:paraId="0B20241E" w14:textId="7ECD2EF0" w:rsidR="00A70113" w:rsidRPr="00B96EAA" w:rsidRDefault="00A70113" w:rsidP="00A70113">
      <w:pPr>
        <w:rPr>
          <w:i/>
          <w:vanish/>
        </w:rPr>
      </w:pPr>
      <w:r w:rsidRPr="00B96EAA">
        <w:rPr>
          <w:i/>
        </w:rPr>
        <w:fldChar w:fldCharType="begin"/>
      </w:r>
      <w:r w:rsidRPr="00B96EAA">
        <w:rPr>
          <w:i/>
        </w:rPr>
        <w:instrText xml:space="preserve"> TC"(</w:instrText>
      </w:r>
      <w:bookmarkStart w:id="2" w:name="DocNumber"/>
      <w:r w:rsidRPr="00B96EAA">
        <w:rPr>
          <w:i/>
        </w:rPr>
        <w:instrText>B10-0216</w:instrText>
      </w:r>
      <w:r w:rsidR="00F222B6">
        <w:rPr>
          <w:i/>
        </w:rPr>
        <w:instrText>, 0223, 0232, 0233 in 0234</w:instrText>
      </w:r>
      <w:r w:rsidRPr="00B96EAA">
        <w:rPr>
          <w:i/>
        </w:rPr>
        <w:instrText>/2026</w:instrText>
      </w:r>
      <w:bookmarkEnd w:id="2"/>
      <w:r w:rsidRPr="00B96EAA">
        <w:rPr>
          <w:i/>
        </w:rPr>
        <w:instrText xml:space="preserve">)"\l3 \n&gt; \* MERGEFORMAT </w:instrText>
      </w:r>
      <w:r w:rsidRPr="00B96EAA">
        <w:rPr>
          <w:i/>
        </w:rPr>
        <w:fldChar w:fldCharType="end"/>
      </w:r>
    </w:p>
    <w:p w14:paraId="6B165582" w14:textId="77777777" w:rsidR="00A70113" w:rsidRPr="00B96EAA" w:rsidRDefault="00A70113" w:rsidP="00A70113">
      <w:pPr>
        <w:rPr>
          <w:vanish/>
        </w:rPr>
      </w:pPr>
      <w:bookmarkStart w:id="3" w:name="PE"/>
      <w:r w:rsidRPr="00B96EAA">
        <w:rPr>
          <w:vanish/>
        </w:rPr>
        <w:t>PE783.251</w:t>
      </w:r>
      <w:bookmarkEnd w:id="3"/>
    </w:p>
    <w:p w14:paraId="52DB486C" w14:textId="15C7A655" w:rsidR="00A70113" w:rsidRPr="00B96EAA" w:rsidRDefault="00A70113" w:rsidP="00A70113">
      <w:pPr>
        <w:pStyle w:val="ATHeading3"/>
      </w:pPr>
      <w:bookmarkStart w:id="4" w:name="Sujet"/>
      <w:r w:rsidRPr="00B96EAA">
        <w:t xml:space="preserve">Resolucija Evropskega parlamenta z dne </w:t>
      </w:r>
      <w:r w:rsidR="00F222B6">
        <w:t>30. aprila</w:t>
      </w:r>
      <w:r w:rsidRPr="00B96EAA">
        <w:t xml:space="preserve"> 2026 o novem kitajskem zakonu o „etnični enotnosti in napredku“ ter vse večjem zatiranju etničnih identitet</w:t>
      </w:r>
      <w:bookmarkEnd w:id="4"/>
      <w:r w:rsidRPr="00B96EAA">
        <w:t xml:space="preserve"> </w:t>
      </w:r>
      <w:bookmarkStart w:id="5" w:name="References"/>
      <w:r w:rsidRPr="00B96EAA">
        <w:t>(2026/2703(RSP))</w:t>
      </w:r>
      <w:bookmarkEnd w:id="5"/>
    </w:p>
    <w:p w14:paraId="5CE4C07D" w14:textId="77777777" w:rsidR="00BD483B" w:rsidRPr="00B96EAA" w:rsidRDefault="00BD483B" w:rsidP="00BD483B">
      <w:pPr>
        <w:pStyle w:val="EPComma"/>
      </w:pPr>
      <w:bookmarkStart w:id="6" w:name="TextBodyBegin"/>
      <w:bookmarkEnd w:id="6"/>
      <w:r w:rsidRPr="00B96EAA">
        <w:rPr>
          <w:i/>
        </w:rPr>
        <w:t>Evropski parlament</w:t>
      </w:r>
      <w:r w:rsidRPr="00B96EAA">
        <w:t>,</w:t>
      </w:r>
    </w:p>
    <w:p w14:paraId="4EB957DF" w14:textId="77777777" w:rsidR="00BD483B" w:rsidRPr="00B96EAA" w:rsidRDefault="00BD483B" w:rsidP="00BD483B">
      <w:pPr>
        <w:pStyle w:val="NormalHanging12a"/>
      </w:pPr>
      <w:r w:rsidRPr="00B96EAA">
        <w:t>–</w:t>
      </w:r>
      <w:r w:rsidRPr="00B96EAA">
        <w:tab/>
        <w:t>ob upoštevanju členov 150(5) in 136(4) Poslovnika,</w:t>
      </w:r>
    </w:p>
    <w:p w14:paraId="376CE565" w14:textId="77777777" w:rsidR="00BD483B" w:rsidRPr="00B96EAA" w:rsidRDefault="00BD483B" w:rsidP="00BD483B">
      <w:pPr>
        <w:pStyle w:val="NormalHanging12a"/>
        <w:rPr>
          <w:bCs/>
        </w:rPr>
      </w:pPr>
      <w:r w:rsidRPr="00B96EAA">
        <w:t>A.</w:t>
      </w:r>
      <w:r w:rsidRPr="00B96EAA">
        <w:tab/>
        <w:t>ker je zaščita narodne ali etnične, kulturne, verske in jezikovne identitete manjšin zasidrana v običajnem mednarodnem pravu, kot se odraža v Deklaraciji OZN o pravicah oseb, ki pripadajo narodnim ali etničnim, verskim in jezikovnim manjšinam; ker morajo vse države spoštovati te standarde;</w:t>
      </w:r>
    </w:p>
    <w:p w14:paraId="67A9364C" w14:textId="77777777" w:rsidR="00BD483B" w:rsidRPr="00B96EAA" w:rsidRDefault="00BD483B" w:rsidP="00BD483B">
      <w:pPr>
        <w:pStyle w:val="NormalHanging12a"/>
      </w:pPr>
      <w:r w:rsidRPr="00B96EAA">
        <w:t>B.</w:t>
      </w:r>
      <w:r w:rsidRPr="00B96EAA">
        <w:tab/>
        <w:t xml:space="preserve">ker je kitajski nacionalni ljudski kongres 12. marca 2026 sprejel zakon o spodbujanju etnične enotnosti in napredka, ki dodatno vključuje državno ideologijo in daje prednost </w:t>
      </w:r>
      <w:proofErr w:type="spellStart"/>
      <w:r w:rsidRPr="00B96EAA">
        <w:t>mandarinščini</w:t>
      </w:r>
      <w:proofErr w:type="spellEnd"/>
      <w:r w:rsidRPr="00B96EAA">
        <w:t xml:space="preserve"> v izobraževanju, javnem življenju in medijih ter utrjuje institucionalizirano represijo in asimilacijo etničnih manjšinskih identitet, vključno s Tibetanci, </w:t>
      </w:r>
      <w:proofErr w:type="spellStart"/>
      <w:r w:rsidRPr="00B96EAA">
        <w:t>Hueji</w:t>
      </w:r>
      <w:proofErr w:type="spellEnd"/>
      <w:r w:rsidRPr="00B96EAA">
        <w:t xml:space="preserve">, Ujguri, </w:t>
      </w:r>
      <w:proofErr w:type="spellStart"/>
      <w:r w:rsidRPr="00B96EAA">
        <w:t>Mandžurijci</w:t>
      </w:r>
      <w:proofErr w:type="spellEnd"/>
      <w:r w:rsidRPr="00B96EAA">
        <w:t xml:space="preserve"> in Mongoli; ker ta zakon močno odstopa od kitajskega zakona o pokrajinski etnični avtonomiji iz leta 1984;</w:t>
      </w:r>
    </w:p>
    <w:p w14:paraId="6194DCF2" w14:textId="77777777" w:rsidR="00BD483B" w:rsidRPr="00B96EAA" w:rsidRDefault="00BD483B" w:rsidP="00BD483B">
      <w:pPr>
        <w:pStyle w:val="NormalHanging12a"/>
      </w:pPr>
      <w:r w:rsidRPr="00B96EAA">
        <w:t>C.</w:t>
      </w:r>
      <w:r w:rsidRPr="00B96EAA">
        <w:tab/>
        <w:t xml:space="preserve">ker </w:t>
      </w:r>
      <w:proofErr w:type="spellStart"/>
      <w:r w:rsidRPr="00B96EAA">
        <w:t>ekstrateritorialni</w:t>
      </w:r>
      <w:proofErr w:type="spellEnd"/>
      <w:r w:rsidRPr="00B96EAA">
        <w:t xml:space="preserve"> doseg zakona omogoča pregon posameznikov v tujini, za katere se šteje, da ogrožajo „etnično enotnost“ Kitajske;</w:t>
      </w:r>
    </w:p>
    <w:p w14:paraId="26ED19DD" w14:textId="77777777" w:rsidR="00BD483B" w:rsidRPr="00B96EAA" w:rsidRDefault="00BD483B" w:rsidP="00BD483B">
      <w:pPr>
        <w:pStyle w:val="NormalHanging12a"/>
      </w:pPr>
      <w:r w:rsidRPr="00B96EAA">
        <w:t>D.</w:t>
      </w:r>
      <w:r w:rsidRPr="00B96EAA">
        <w:tab/>
        <w:t>ker se razmere na področju človekovih pravic na Kitajskem slabšajo, kar bremeni njene odnose z EU; ker bi moralo biti spoštovanje človekovih pravic, demokracije in pravne države v osrčju odnosov EU s Kitajsko;</w:t>
      </w:r>
    </w:p>
    <w:p w14:paraId="710606FA" w14:textId="77777777" w:rsidR="00BD483B" w:rsidRPr="00B96EAA" w:rsidRDefault="00BD483B" w:rsidP="00BD483B">
      <w:pPr>
        <w:pStyle w:val="NormalHanging12a"/>
      </w:pPr>
      <w:r w:rsidRPr="00B96EAA">
        <w:t>1.</w:t>
      </w:r>
      <w:r w:rsidRPr="00B96EAA">
        <w:tab/>
        <w:t xml:space="preserve">odločno obsoja kitajske represivne politike asimilacije in posledične kršitve splošnih človekovih pravic, tudi v Tibetu, </w:t>
      </w:r>
      <w:proofErr w:type="spellStart"/>
      <w:r w:rsidRPr="00B96EAA">
        <w:t>Šindžjangu</w:t>
      </w:r>
      <w:proofErr w:type="spellEnd"/>
      <w:r w:rsidRPr="00B96EAA">
        <w:t xml:space="preserve"> in Notranji Mongoliji;</w:t>
      </w:r>
    </w:p>
    <w:p w14:paraId="0F46A0E8" w14:textId="77777777" w:rsidR="00BD483B" w:rsidRPr="00B96EAA" w:rsidRDefault="00BD483B" w:rsidP="00BD483B">
      <w:pPr>
        <w:pStyle w:val="NormalHanging12a"/>
      </w:pPr>
      <w:r w:rsidRPr="00B96EAA">
        <w:t>2.</w:t>
      </w:r>
      <w:r w:rsidRPr="00B96EAA">
        <w:tab/>
        <w:t>izraža globoko zaskrbljenost zaradi sprejetega zakona o spodbujanju etnične enotnosti in napredka, ki odkrito uveljavlja politike asimilacije ter omejuje kulturne, verske in jezikovne svoboščine različnih skupin na Kitajskem in zunaj države;</w:t>
      </w:r>
    </w:p>
    <w:p w14:paraId="23978FF7" w14:textId="77777777" w:rsidR="00BD483B" w:rsidRPr="00B96EAA" w:rsidRDefault="00BD483B" w:rsidP="00BD483B">
      <w:pPr>
        <w:pStyle w:val="NormalHanging12a"/>
      </w:pPr>
      <w:r w:rsidRPr="00B96EAA">
        <w:lastRenderedPageBreak/>
        <w:t>3.</w:t>
      </w:r>
      <w:r w:rsidRPr="00B96EAA">
        <w:tab/>
        <w:t>poziva Kitajsko, naj razveljavi ta zakon in tako izpolni svoje mednarodnopravne obveznosti glede nediskriminacije ter zaščite in podpiranja etničnih in verskih manjšin;</w:t>
      </w:r>
    </w:p>
    <w:p w14:paraId="087ACC9A" w14:textId="77777777" w:rsidR="00BD483B" w:rsidRPr="00B96EAA" w:rsidRDefault="00BD483B" w:rsidP="00BD483B">
      <w:pPr>
        <w:pStyle w:val="NormalHanging12a"/>
        <w:rPr>
          <w:bCs/>
        </w:rPr>
      </w:pPr>
      <w:r w:rsidRPr="00B96EAA">
        <w:t>4.</w:t>
      </w:r>
      <w:r w:rsidRPr="00B96EAA">
        <w:tab/>
        <w:t>poziva Svet, naj sproži globalni režim sankcij EU na področju človekovih pravic proti uradnikom in subjektom, ki so zasnovali ta zakon in ga izvajajo;</w:t>
      </w:r>
    </w:p>
    <w:p w14:paraId="6A07E990" w14:textId="77777777" w:rsidR="00BD483B" w:rsidRPr="00B96EAA" w:rsidRDefault="00BD483B" w:rsidP="00BD483B">
      <w:pPr>
        <w:pStyle w:val="NormalHanging12a"/>
      </w:pPr>
      <w:r w:rsidRPr="00B96EAA">
        <w:t>5.</w:t>
      </w:r>
      <w:r w:rsidRPr="00B96EAA">
        <w:tab/>
        <w:t xml:space="preserve">obžaluje </w:t>
      </w:r>
      <w:proofErr w:type="spellStart"/>
      <w:r w:rsidRPr="00B96EAA">
        <w:t>ekstrateritorialne</w:t>
      </w:r>
      <w:proofErr w:type="spellEnd"/>
      <w:r w:rsidRPr="00B96EAA">
        <w:t xml:space="preserve"> določbe zakona, ki pomenijo nadnacionalno represijo; poziva vse države članice EU, naj začasno prekinejo pogodbe o izročitvi s Kitajsko, da bi preganjane posameznike, ki prebivajo v EU, zaščitile pred tveganji nadnacionalne represije v skladu s tem zakonom;</w:t>
      </w:r>
    </w:p>
    <w:p w14:paraId="4C982D4D" w14:textId="77777777" w:rsidR="00BD483B" w:rsidRPr="00B96EAA" w:rsidRDefault="00BD483B" w:rsidP="00BD483B">
      <w:pPr>
        <w:pStyle w:val="NormalHanging12a"/>
      </w:pPr>
      <w:r w:rsidRPr="00B96EAA">
        <w:t>6.</w:t>
      </w:r>
      <w:r w:rsidRPr="00B96EAA">
        <w:tab/>
        <w:t>odločno zavrača poskuse kitajskih oblasti, da bi se vmešavale v priznavanje in izobraževanje tibetanskih budističnih duhovnih voditeljev; poudarja, da je nasledstvo dalajlame povsem verska zadeva, o kateri je treba odločati izključno v skladu s tibetansko budistično tradicijo;</w:t>
      </w:r>
    </w:p>
    <w:p w14:paraId="050EC3B6" w14:textId="77777777" w:rsidR="00BD483B" w:rsidRPr="00B96EAA" w:rsidRDefault="00BD483B" w:rsidP="00BD483B">
      <w:pPr>
        <w:pStyle w:val="NormalHanging12a"/>
      </w:pPr>
      <w:r w:rsidRPr="00B96EAA">
        <w:t>7.</w:t>
      </w:r>
      <w:r w:rsidRPr="00B96EAA">
        <w:tab/>
        <w:t xml:space="preserve">poziva k takojšnji izpustitvi kitajskih političnih zapornikov, vključno s </w:t>
      </w:r>
      <w:proofErr w:type="spellStart"/>
      <w:r w:rsidRPr="00B96EAA">
        <w:t>Čoktrulom</w:t>
      </w:r>
      <w:proofErr w:type="spellEnd"/>
      <w:r w:rsidRPr="00B96EAA">
        <w:t xml:space="preserve"> </w:t>
      </w:r>
      <w:proofErr w:type="spellStart"/>
      <w:r w:rsidRPr="00B96EAA">
        <w:t>Dordžejem</w:t>
      </w:r>
      <w:proofErr w:type="spellEnd"/>
      <w:r w:rsidRPr="00B96EAA">
        <w:t xml:space="preserve"> Ten </w:t>
      </w:r>
      <w:proofErr w:type="spellStart"/>
      <w:r w:rsidRPr="00B96EAA">
        <w:t>Rinpočejem</w:t>
      </w:r>
      <w:proofErr w:type="spellEnd"/>
      <w:r w:rsidRPr="00B96EAA">
        <w:t xml:space="preserve">, </w:t>
      </w:r>
      <w:proofErr w:type="spellStart"/>
      <w:r w:rsidRPr="00B96EAA">
        <w:t>Paldenom</w:t>
      </w:r>
      <w:proofErr w:type="spellEnd"/>
      <w:r w:rsidRPr="00B96EAA">
        <w:t xml:space="preserve"> </w:t>
      </w:r>
      <w:proofErr w:type="spellStart"/>
      <w:r w:rsidRPr="00B96EAA">
        <w:t>Ješijem</w:t>
      </w:r>
      <w:proofErr w:type="spellEnd"/>
      <w:r w:rsidRPr="00B96EAA">
        <w:t xml:space="preserve">, dobitnikom nagrade Saharova </w:t>
      </w:r>
      <w:proofErr w:type="spellStart"/>
      <w:r w:rsidRPr="00B96EAA">
        <w:t>Ilhamom</w:t>
      </w:r>
      <w:proofErr w:type="spellEnd"/>
      <w:r w:rsidRPr="00B96EAA">
        <w:t xml:space="preserve"> </w:t>
      </w:r>
      <w:proofErr w:type="spellStart"/>
      <w:r w:rsidRPr="00B96EAA">
        <w:t>Tohtijem</w:t>
      </w:r>
      <w:proofErr w:type="spellEnd"/>
      <w:r w:rsidRPr="00B96EAA">
        <w:t xml:space="preserve">, 11. pančenlamo </w:t>
      </w:r>
      <w:proofErr w:type="spellStart"/>
      <w:r w:rsidRPr="00B96EAA">
        <w:t>Gedhunom</w:t>
      </w:r>
      <w:proofErr w:type="spellEnd"/>
      <w:r w:rsidRPr="00B96EAA">
        <w:t xml:space="preserve"> </w:t>
      </w:r>
      <w:proofErr w:type="spellStart"/>
      <w:r w:rsidRPr="00B96EAA">
        <w:t>Čoekjijem</w:t>
      </w:r>
      <w:proofErr w:type="spellEnd"/>
      <w:r w:rsidRPr="00B96EAA">
        <w:t xml:space="preserve"> </w:t>
      </w:r>
      <w:proofErr w:type="spellStart"/>
      <w:r w:rsidRPr="00B96EAA">
        <w:t>Njimo</w:t>
      </w:r>
      <w:proofErr w:type="spellEnd"/>
      <w:r w:rsidRPr="00B96EAA">
        <w:t xml:space="preserve"> in mongolskim aktivistom </w:t>
      </w:r>
      <w:proofErr w:type="spellStart"/>
      <w:r w:rsidRPr="00B96EAA">
        <w:t>Hado</w:t>
      </w:r>
      <w:proofErr w:type="spellEnd"/>
      <w:r w:rsidRPr="00B96EAA">
        <w:t>; poziva Evropsko službo za zunanje delovanje, Komisijo in države članice, naj še naprej opozarjajo Kitajsko na te primere;</w:t>
      </w:r>
    </w:p>
    <w:p w14:paraId="2276BD57" w14:textId="77777777" w:rsidR="00BD483B" w:rsidRPr="00B96EAA" w:rsidRDefault="00BD483B" w:rsidP="00BD483B">
      <w:pPr>
        <w:pStyle w:val="NormalHanging12a"/>
      </w:pPr>
      <w:r w:rsidRPr="00B96EAA">
        <w:t>8.</w:t>
      </w:r>
      <w:r w:rsidRPr="00B96EAA">
        <w:tab/>
        <w:t>poziva visokega komisarja OZN za človekove pravice, naj izda posodobljeno poročilo o razmerah na Kitajskem, v katerem bo izrecno obravnavan zakon iz leta 2026;</w:t>
      </w:r>
    </w:p>
    <w:p w14:paraId="404A6A21" w14:textId="77777777" w:rsidR="00BD483B" w:rsidRPr="00B96EAA" w:rsidRDefault="00BD483B" w:rsidP="00BD483B">
      <w:pPr>
        <w:pStyle w:val="NormalHanging12a"/>
      </w:pPr>
      <w:r w:rsidRPr="00B96EAA">
        <w:t>9.</w:t>
      </w:r>
      <w:r w:rsidRPr="00B96EAA">
        <w:tab/>
        <w:t>meni, da bosta imela uvedba in izvajanje tega zakona resne posledice za odnose med EU in Kitajsko;</w:t>
      </w:r>
    </w:p>
    <w:p w14:paraId="3ABE539C" w14:textId="67FF2A1D" w:rsidR="00E365E1" w:rsidRPr="00B96EAA" w:rsidRDefault="00BD483B" w:rsidP="00F222B6">
      <w:pPr>
        <w:pStyle w:val="NormalHanging12a"/>
      </w:pPr>
      <w:r w:rsidRPr="00B96EAA">
        <w:t>10.</w:t>
      </w:r>
      <w:r w:rsidRPr="00B96EAA">
        <w:tab/>
        <w:t>naroči svoji predsednici, naj to resolucijo posreduje državam članicam in drugim institucijam EU, kitajski vladi, OZN in osrednji tibetanski upravi.</w:t>
      </w:r>
    </w:p>
    <w:sectPr w:rsidR="00E365E1" w:rsidRPr="00B96EAA" w:rsidSect="00B96E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2ABCF" w14:textId="77777777" w:rsidR="00A70113" w:rsidRPr="00B96EAA" w:rsidRDefault="00A70113">
      <w:r w:rsidRPr="00B96EAA">
        <w:separator/>
      </w:r>
    </w:p>
  </w:endnote>
  <w:endnote w:type="continuationSeparator" w:id="0">
    <w:p w14:paraId="42FEA4B3" w14:textId="77777777" w:rsidR="00A70113" w:rsidRPr="00B96EAA" w:rsidRDefault="00A70113">
      <w:r w:rsidRPr="00B96E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4521" w14:textId="77777777" w:rsidR="00064002" w:rsidRPr="00B96E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A19E" w14:textId="77777777" w:rsidR="00064002" w:rsidRPr="00B96E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3FF1" w14:textId="77777777" w:rsidR="00064002" w:rsidRPr="00B96E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9B09" w14:textId="77777777" w:rsidR="00A70113" w:rsidRPr="00B96EAA" w:rsidRDefault="00A70113">
      <w:r w:rsidRPr="00B96EAA">
        <w:separator/>
      </w:r>
    </w:p>
  </w:footnote>
  <w:footnote w:type="continuationSeparator" w:id="0">
    <w:p w14:paraId="67DEA470" w14:textId="77777777" w:rsidR="00A70113" w:rsidRPr="00B96EAA" w:rsidRDefault="00A70113">
      <w:r w:rsidRPr="00B96E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1EA7F" w14:textId="77777777" w:rsidR="00064002" w:rsidRPr="00B96E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104D" w14:textId="77777777" w:rsidR="00064002" w:rsidRPr="00B96E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836E9" w14:textId="77777777" w:rsidR="00064002" w:rsidRPr="00B96E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7849946">
    <w:abstractNumId w:val="9"/>
  </w:num>
  <w:num w:numId="2" w16cid:durableId="1081677392">
    <w:abstractNumId w:val="9"/>
  </w:num>
  <w:num w:numId="3" w16cid:durableId="741296206">
    <w:abstractNumId w:val="7"/>
  </w:num>
  <w:num w:numId="4" w16cid:durableId="1643653959">
    <w:abstractNumId w:val="7"/>
  </w:num>
  <w:num w:numId="5" w16cid:durableId="481045388">
    <w:abstractNumId w:val="6"/>
  </w:num>
  <w:num w:numId="6" w16cid:durableId="1678270669">
    <w:abstractNumId w:val="6"/>
  </w:num>
  <w:num w:numId="7" w16cid:durableId="172887072">
    <w:abstractNumId w:val="5"/>
  </w:num>
  <w:num w:numId="8" w16cid:durableId="1618221094">
    <w:abstractNumId w:val="5"/>
  </w:num>
  <w:num w:numId="9" w16cid:durableId="304048258">
    <w:abstractNumId w:val="4"/>
  </w:num>
  <w:num w:numId="10" w16cid:durableId="768085038">
    <w:abstractNumId w:val="4"/>
  </w:num>
  <w:num w:numId="11" w16cid:durableId="1557664243">
    <w:abstractNumId w:val="8"/>
  </w:num>
  <w:num w:numId="12" w16cid:durableId="648244457">
    <w:abstractNumId w:val="8"/>
  </w:num>
  <w:num w:numId="13" w16cid:durableId="1683893695">
    <w:abstractNumId w:val="3"/>
  </w:num>
  <w:num w:numId="14" w16cid:durableId="2143303445">
    <w:abstractNumId w:val="3"/>
  </w:num>
  <w:num w:numId="15" w16cid:durableId="1111168893">
    <w:abstractNumId w:val="2"/>
  </w:num>
  <w:num w:numId="16" w16cid:durableId="153037492">
    <w:abstractNumId w:val="2"/>
  </w:num>
  <w:num w:numId="17" w16cid:durableId="1014305709">
    <w:abstractNumId w:val="1"/>
  </w:num>
  <w:num w:numId="18" w16cid:durableId="660886660">
    <w:abstractNumId w:val="1"/>
  </w:num>
  <w:num w:numId="19" w16cid:durableId="316345806">
    <w:abstractNumId w:val="0"/>
  </w:num>
  <w:num w:numId="20" w16cid:durableId="1368335511">
    <w:abstractNumId w:val="0"/>
  </w:num>
  <w:num w:numId="21" w16cid:durableId="158929725">
    <w:abstractNumId w:val="9"/>
  </w:num>
  <w:num w:numId="22" w16cid:durableId="1421482594">
    <w:abstractNumId w:val="7"/>
  </w:num>
  <w:num w:numId="23" w16cid:durableId="1496796870">
    <w:abstractNumId w:val="6"/>
  </w:num>
  <w:num w:numId="24" w16cid:durableId="1647465066">
    <w:abstractNumId w:val="5"/>
  </w:num>
  <w:num w:numId="25" w16cid:durableId="52773391">
    <w:abstractNumId w:val="4"/>
  </w:num>
  <w:num w:numId="26" w16cid:durableId="1270431551">
    <w:abstractNumId w:val="8"/>
  </w:num>
  <w:num w:numId="27" w16cid:durableId="1908418369">
    <w:abstractNumId w:val="3"/>
  </w:num>
  <w:num w:numId="28" w16cid:durableId="1436749483">
    <w:abstractNumId w:val="2"/>
  </w:num>
  <w:num w:numId="29" w16cid:durableId="1099327283">
    <w:abstractNumId w:val="1"/>
  </w:num>
  <w:num w:numId="30" w16cid:durableId="1563951770">
    <w:abstractNumId w:val="0"/>
  </w:num>
  <w:num w:numId="31" w16cid:durableId="2095079694">
    <w:abstractNumId w:val="9"/>
  </w:num>
  <w:num w:numId="32" w16cid:durableId="426193330">
    <w:abstractNumId w:val="7"/>
  </w:num>
  <w:num w:numId="33" w16cid:durableId="1074741979">
    <w:abstractNumId w:val="6"/>
  </w:num>
  <w:num w:numId="34" w16cid:durableId="1319770383">
    <w:abstractNumId w:val="5"/>
  </w:num>
  <w:num w:numId="35" w16cid:durableId="599148108">
    <w:abstractNumId w:val="4"/>
  </w:num>
  <w:num w:numId="36" w16cid:durableId="1957710814">
    <w:abstractNumId w:val="8"/>
  </w:num>
  <w:num w:numId="37" w16cid:durableId="1990093769">
    <w:abstractNumId w:val="3"/>
  </w:num>
  <w:num w:numId="38" w16cid:durableId="706762990">
    <w:abstractNumId w:val="2"/>
  </w:num>
  <w:num w:numId="39" w16cid:durableId="2042823990">
    <w:abstractNumId w:val="1"/>
  </w:num>
  <w:num w:numId="40" w16cid:durableId="2038768488">
    <w:abstractNumId w:val="0"/>
  </w:num>
  <w:num w:numId="41" w16cid:durableId="1676155106">
    <w:abstractNumId w:val="10"/>
  </w:num>
  <w:num w:numId="42" w16cid:durableId="140655288">
    <w:abstractNumId w:val="10"/>
  </w:num>
  <w:num w:numId="43" w16cid:durableId="1622955222">
    <w:abstractNumId w:val="10"/>
  </w:num>
  <w:num w:numId="44" w16cid:durableId="1068773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SL"/>
    <w:docVar w:name="dvnumam" w:val="0"/>
    <w:docVar w:name="dvpe" w:val="783.251"/>
    <w:docVar w:name="dvtitre" w:val="Resolucija Evropskega parlamenta z dne … 2026 o novem kitajskem zakonu o „etnični enotnosti in napredku“ ter vse večjem zatiranju etničnih identitet(2026/2703(RSP))"/>
  </w:docVars>
  <w:rsids>
    <w:rsidRoot w:val="00A701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82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113"/>
    <w:rsid w:val="00A778C7"/>
    <w:rsid w:val="00AB441E"/>
    <w:rsid w:val="00AB6293"/>
    <w:rsid w:val="00AE0928"/>
    <w:rsid w:val="00AF3B82"/>
    <w:rsid w:val="00B12E95"/>
    <w:rsid w:val="00B22876"/>
    <w:rsid w:val="00B558F0"/>
    <w:rsid w:val="00B96EAA"/>
    <w:rsid w:val="00BD48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2B6"/>
    <w:rsid w:val="00F5134D"/>
    <w:rsid w:val="00F74202"/>
    <w:rsid w:val="00F87713"/>
    <w:rsid w:val="00FB4360"/>
    <w:rsid w:val="00FC546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2F73A"/>
  <w15:chartTrackingRefBased/>
  <w15:docId w15:val="{3B780D7E-56F0-4946-8E7A-4C2DB8A1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D483B"/>
    <w:pPr>
      <w:spacing w:after="240"/>
      <w:ind w:left="567" w:hanging="567"/>
    </w:pPr>
  </w:style>
  <w:style w:type="paragraph" w:customStyle="1" w:styleId="EPComma">
    <w:name w:val="EPComma"/>
    <w:basedOn w:val="Normal"/>
    <w:rsid w:val="00BD483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D483B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2026-04-30T10:19:00Z</dcterms:created>
  <dcterms:modified xsi:type="dcterms:W3CDTF">2026-04-30T10:19:00Z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