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E16" w14:paraId="7DC0F2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DE7D77" w14:textId="77777777" w:rsidR="00751A4A" w:rsidRPr="00EC1E16" w:rsidRDefault="00B66941" w:rsidP="0010095E">
            <w:pPr>
              <w:pStyle w:val="EPName"/>
            </w:pPr>
            <w:r w:rsidRPr="00EC1E16">
              <w:t>Parlamento Europeo</w:t>
            </w:r>
          </w:p>
          <w:p w14:paraId="1A801706" w14:textId="77777777" w:rsidR="00751A4A" w:rsidRPr="00EC1E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E16">
              <w:t>2024</w:t>
            </w:r>
            <w:r w:rsidR="00817416" w:rsidRPr="00EC1E16">
              <w:t>-202</w:t>
            </w:r>
            <w:r w:rsidRPr="00EC1E16">
              <w:t>9</w:t>
            </w:r>
          </w:p>
        </w:tc>
        <w:tc>
          <w:tcPr>
            <w:tcW w:w="2268" w:type="dxa"/>
            <w:shd w:val="clear" w:color="auto" w:fill="auto"/>
          </w:tcPr>
          <w:p w14:paraId="3EFFFE06" w14:textId="77777777" w:rsidR="00751A4A" w:rsidRPr="00EC1E16" w:rsidRDefault="00187494" w:rsidP="0010095E">
            <w:pPr>
              <w:pStyle w:val="EPLogo"/>
            </w:pPr>
            <w:r w:rsidRPr="00EC1E16">
              <w:rPr>
                <w:noProof/>
                <w:lang w:eastAsia="ja-JP"/>
              </w:rPr>
              <w:drawing>
                <wp:inline distT="0" distB="0" distL="0" distR="0" wp14:anchorId="3599A908" wp14:editId="62F65F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5611C" w14:textId="77777777" w:rsidR="00D058B8" w:rsidRPr="00EC1E16" w:rsidRDefault="00D058B8" w:rsidP="004C5D52">
      <w:pPr>
        <w:pStyle w:val="LineTop"/>
      </w:pPr>
    </w:p>
    <w:p w14:paraId="2B0B6C61" w14:textId="77777777" w:rsidR="00680577" w:rsidRPr="00EC1E16" w:rsidRDefault="00B66941" w:rsidP="00680577">
      <w:pPr>
        <w:pStyle w:val="EPBodyTA1"/>
      </w:pPr>
      <w:r w:rsidRPr="00EC1E16">
        <w:t>TEXTOS APROBADOS</w:t>
      </w:r>
    </w:p>
    <w:p w14:paraId="70498CCB" w14:textId="77777777" w:rsidR="00D058B8" w:rsidRPr="00EC1E16" w:rsidRDefault="00D058B8" w:rsidP="00D058B8">
      <w:pPr>
        <w:pStyle w:val="LineBottom"/>
      </w:pPr>
    </w:p>
    <w:p w14:paraId="50AB337E" w14:textId="439723ED" w:rsidR="00B66941" w:rsidRPr="00EC1E16" w:rsidRDefault="00B66941" w:rsidP="00B66941">
      <w:pPr>
        <w:pStyle w:val="ATHeading1"/>
      </w:pPr>
      <w:bookmarkStart w:id="0" w:name="TANumber"/>
      <w:r w:rsidRPr="00EC1E16">
        <w:t>P10_</w:t>
      </w:r>
      <w:proofErr w:type="gramStart"/>
      <w:r w:rsidRPr="00EC1E16">
        <w:t>TA(</w:t>
      </w:r>
      <w:proofErr w:type="gramEnd"/>
      <w:r w:rsidRPr="00EC1E16">
        <w:t>2026)0</w:t>
      </w:r>
      <w:r w:rsidR="004F73A5" w:rsidRPr="00EC1E16">
        <w:t>15</w:t>
      </w:r>
      <w:r w:rsidR="00AD01EC" w:rsidRPr="00EC1E16">
        <w:t>3</w:t>
      </w:r>
      <w:bookmarkEnd w:id="0"/>
    </w:p>
    <w:p w14:paraId="52E34A67" w14:textId="77777777" w:rsidR="00B66941" w:rsidRPr="00EC1E16" w:rsidRDefault="00B66941" w:rsidP="00B66941">
      <w:pPr>
        <w:pStyle w:val="ATHeading2"/>
      </w:pPr>
      <w:bookmarkStart w:id="1" w:name="title"/>
      <w:r w:rsidRPr="00EC1E16">
        <w:t>Carencias y deficiencias de la ley de amnistía de Venezuela</w:t>
      </w:r>
      <w:bookmarkEnd w:id="1"/>
    </w:p>
    <w:p w14:paraId="74AA4541" w14:textId="77777777" w:rsidR="00B66941" w:rsidRPr="00EC1E16" w:rsidRDefault="00B66941" w:rsidP="00B66941">
      <w:pPr>
        <w:rPr>
          <w:i/>
          <w:vanish/>
        </w:rPr>
      </w:pPr>
      <w:r w:rsidRPr="00EC1E16">
        <w:rPr>
          <w:i/>
        </w:rPr>
        <w:fldChar w:fldCharType="begin"/>
      </w:r>
      <w:r w:rsidRPr="00EC1E16">
        <w:rPr>
          <w:i/>
        </w:rPr>
        <w:instrText xml:space="preserve"> TC"(</w:instrText>
      </w:r>
      <w:bookmarkStart w:id="2" w:name="DocNumber"/>
      <w:r w:rsidRPr="00EC1E16">
        <w:rPr>
          <w:i/>
        </w:rPr>
        <w:instrText>B10-0217, 0221 y 0231/2026</w:instrText>
      </w:r>
      <w:bookmarkEnd w:id="2"/>
      <w:r w:rsidRPr="00EC1E16">
        <w:rPr>
          <w:i/>
        </w:rPr>
        <w:instrText xml:space="preserve">)"\l3 \n&gt; \* MERGEFORMAT </w:instrText>
      </w:r>
      <w:r w:rsidRPr="00EC1E16">
        <w:rPr>
          <w:i/>
        </w:rPr>
        <w:fldChar w:fldCharType="end"/>
      </w:r>
    </w:p>
    <w:p w14:paraId="432FC7C6" w14:textId="77777777" w:rsidR="00B66941" w:rsidRPr="00EC1E16" w:rsidRDefault="00B66941" w:rsidP="00B66941">
      <w:pPr>
        <w:rPr>
          <w:vanish/>
        </w:rPr>
      </w:pPr>
      <w:bookmarkStart w:id="3" w:name="PE"/>
      <w:r w:rsidRPr="00EC1E16">
        <w:rPr>
          <w:vanish/>
        </w:rPr>
        <w:t>PE783.252</w:t>
      </w:r>
      <w:bookmarkEnd w:id="3"/>
    </w:p>
    <w:p w14:paraId="1B0FC5D5" w14:textId="77777777" w:rsidR="00B66941" w:rsidRPr="00EC1E16" w:rsidRDefault="00B66941" w:rsidP="00B66941">
      <w:pPr>
        <w:pStyle w:val="ATHeading3"/>
      </w:pPr>
      <w:bookmarkStart w:id="4" w:name="Sujet"/>
      <w:r w:rsidRPr="00EC1E16">
        <w:t>Resolución del Parlamento Europeo, de 30 de abril de 2026, sobre las carencias y deficiencias de la ley de amnistía de Venezuela</w:t>
      </w:r>
      <w:bookmarkEnd w:id="4"/>
      <w:r w:rsidRPr="00EC1E16">
        <w:t xml:space="preserve"> </w:t>
      </w:r>
      <w:bookmarkStart w:id="5" w:name="References"/>
      <w:r w:rsidRPr="00EC1E16">
        <w:t>(2026/2704(RSP))</w:t>
      </w:r>
      <w:bookmarkEnd w:id="5"/>
    </w:p>
    <w:p w14:paraId="47253A1F" w14:textId="77777777" w:rsidR="00B66941" w:rsidRPr="00EC1E16" w:rsidRDefault="00B66941" w:rsidP="00B66941"/>
    <w:p w14:paraId="34046F23" w14:textId="77777777" w:rsidR="00006E6E" w:rsidRPr="00EC1E16" w:rsidRDefault="00006E6E" w:rsidP="005B67E2">
      <w:pPr>
        <w:pStyle w:val="EPComma"/>
        <w:spacing w:before="120"/>
      </w:pPr>
      <w:bookmarkStart w:id="6" w:name="TextBodyBegin"/>
      <w:bookmarkEnd w:id="6"/>
      <w:r w:rsidRPr="00EC1E16">
        <w:rPr>
          <w:i/>
          <w:iCs/>
        </w:rPr>
        <w:t>El Parlamento Europeo</w:t>
      </w:r>
      <w:r w:rsidRPr="00EC1E16">
        <w:t>,</w:t>
      </w:r>
    </w:p>
    <w:p w14:paraId="29287080" w14:textId="77777777" w:rsidR="00006E6E" w:rsidRPr="00EC1E16" w:rsidRDefault="00006E6E" w:rsidP="00006E6E">
      <w:pPr>
        <w:pStyle w:val="NormalHanging12a"/>
      </w:pPr>
      <w:r w:rsidRPr="00EC1E16">
        <w:t>–</w:t>
      </w:r>
      <w:r w:rsidRPr="00EC1E16">
        <w:tab/>
        <w:t>Vistas sus Resoluciones sobre Venezuela,</w:t>
      </w:r>
    </w:p>
    <w:p w14:paraId="0F70AFBA" w14:textId="77777777" w:rsidR="00006E6E" w:rsidRPr="00EC1E16" w:rsidRDefault="00006E6E" w:rsidP="00006E6E">
      <w:pPr>
        <w:pStyle w:val="NormalHanging12a"/>
      </w:pPr>
      <w:r w:rsidRPr="00EC1E16">
        <w:t>–</w:t>
      </w:r>
      <w:r w:rsidRPr="00EC1E16">
        <w:tab/>
        <w:t>Vistos el artículo 150, apartado 5, y el artículo 136, apartado 4, de su Reglamento interno,</w:t>
      </w:r>
    </w:p>
    <w:p w14:paraId="71122226" w14:textId="77777777" w:rsidR="00006E6E" w:rsidRPr="00EC1E16" w:rsidRDefault="00006E6E" w:rsidP="00006E6E">
      <w:pPr>
        <w:pStyle w:val="NormalHanging12a"/>
      </w:pPr>
      <w:r w:rsidRPr="00EC1E16">
        <w:t>A.</w:t>
      </w:r>
      <w:r w:rsidRPr="00EC1E16">
        <w:tab/>
        <w:t>Considerando que, el 3 de enero de 2026, los Estados Unidos llevaron a cabo una intervención militar que dio lugar a la extracción y captura de Nicolás Maduro;</w:t>
      </w:r>
    </w:p>
    <w:p w14:paraId="5FB4F2C1" w14:textId="77777777" w:rsidR="00006E6E" w:rsidRPr="00EC1E16" w:rsidRDefault="00006E6E" w:rsidP="00006E6E">
      <w:pPr>
        <w:pStyle w:val="NormalHanging12a"/>
      </w:pPr>
      <w:r w:rsidRPr="00EC1E16">
        <w:t>B.</w:t>
      </w:r>
      <w:r w:rsidRPr="00EC1E16">
        <w:tab/>
        <w:t>Considerando que el régimen venezolano adoptó la Ley de Amnistía para la Convivencia Democrática en febrero de 2026; que esta ley, resultante de la presión extranjera y aprobada precipitadamente por la asamblea ilegítima controlada por el régimen, funciona como una medida provisional limitada y aplicable caso por caso, insuficiente para restablecer los derechos civiles y políticos o para garantizar la reconciliación nacional, y que se ha convertido en un instrumento más del aparato represivo del régimen;</w:t>
      </w:r>
    </w:p>
    <w:p w14:paraId="3BD1C622" w14:textId="77777777" w:rsidR="00006E6E" w:rsidRPr="00EC1E16" w:rsidRDefault="00006E6E" w:rsidP="00006E6E">
      <w:pPr>
        <w:pStyle w:val="NormalHanging12a"/>
        <w:rPr>
          <w:bCs/>
        </w:rPr>
      </w:pPr>
      <w:r w:rsidRPr="00EC1E16">
        <w:t>C.</w:t>
      </w:r>
      <w:r w:rsidRPr="00EC1E16">
        <w:tab/>
        <w:t xml:space="preserve">Considerando que unos 470 presos políticos siguen detenidos injustamente, incluidos militares, abogados, periodistas, defensores de los derechos humanos, extranjeros (entre los que se encuentran ciudadanos de la Unión) y ciudadanos de a pie; </w:t>
      </w:r>
      <w:bookmarkStart w:id="7" w:name="_Hlk228365378"/>
      <w:r w:rsidRPr="00EC1E16">
        <w:t>que la ley se aplica a hechos y delitos políticos específicos, excluyendo a un gran número de detenidos sobre la base de acusaciones falsas o vagas, y que no se aplica automáticamente, lo que obliga a admitir acusaciones falsas ante un poder judicial controlado por el régimen, mientras que las personas beneficiadas siguen enfrentándose a condiciones restrictivas como el arresto domiciliario y la supervisión judicial;</w:t>
      </w:r>
      <w:bookmarkEnd w:id="7"/>
    </w:p>
    <w:p w14:paraId="79AACF07" w14:textId="77777777" w:rsidR="00006E6E" w:rsidRPr="00EC1E16" w:rsidRDefault="00006E6E" w:rsidP="00006E6E">
      <w:pPr>
        <w:pStyle w:val="NormalHanging12a"/>
      </w:pPr>
      <w:r w:rsidRPr="00EC1E16">
        <w:t>D.</w:t>
      </w:r>
      <w:r w:rsidRPr="00EC1E16">
        <w:tab/>
        <w:t>Considerando que la ley no elimina las sanciones jurídicas y administrativas, como las prohibiciones políticas o las incautaciones de activos, en particular para la oposición democrática en el exilio a la que se deniega el derecho de retorno, lo que le impide participar en un futuro proceso democrático;</w:t>
      </w:r>
    </w:p>
    <w:p w14:paraId="28D54717" w14:textId="77777777" w:rsidR="00006E6E" w:rsidRPr="00EC1E16" w:rsidRDefault="00006E6E" w:rsidP="00006E6E">
      <w:pPr>
        <w:pStyle w:val="NormalHanging12a"/>
      </w:pPr>
      <w:r w:rsidRPr="00EC1E16">
        <w:lastRenderedPageBreak/>
        <w:t>E.</w:t>
      </w:r>
      <w:r w:rsidRPr="00EC1E16">
        <w:tab/>
        <w:t>Considerando que, el 23 de abril de 2026, Delcy Rodríguez anunció el fin de la ley de amnistía, violando la Constitución y la independencia del poder judicial;</w:t>
      </w:r>
    </w:p>
    <w:p w14:paraId="19150776" w14:textId="77777777" w:rsidR="00006E6E" w:rsidRPr="00EC1E16" w:rsidRDefault="00006E6E" w:rsidP="00006E6E">
      <w:pPr>
        <w:pStyle w:val="NormalHanging12a"/>
        <w:rPr>
          <w:bCs/>
        </w:rPr>
      </w:pPr>
      <w:r w:rsidRPr="00EC1E16">
        <w:t>1.</w:t>
      </w:r>
      <w:r w:rsidRPr="00EC1E16">
        <w:tab/>
        <w:t>Lamenta que la ley de amnistía no haya permitido liberar incondicionalmente a todos los presos políticos, ya que sigue habiendo al menos 470 detenidos injustamente en condiciones inhumanas, y que su derogación prematura, su alcance limitado, la falta de supervisión independiente y su aplicación discriminatoria no hayan proporcionado ninguna base para la reconciliación política;</w:t>
      </w:r>
    </w:p>
    <w:p w14:paraId="56CC05FE" w14:textId="77777777" w:rsidR="00006E6E" w:rsidRPr="00EC1E16" w:rsidRDefault="00006E6E" w:rsidP="00006E6E">
      <w:pPr>
        <w:pStyle w:val="NormalHanging12a"/>
      </w:pPr>
      <w:r w:rsidRPr="00EC1E16">
        <w:t>2.</w:t>
      </w:r>
      <w:r w:rsidRPr="00EC1E16">
        <w:tab/>
        <w:t>Pide la liberación plena e incondicional de todas las personas detenidas arbitrariamente por motivos políticos; insiste en que todas ellas recuperen plenamente sus derechos civiles y políticos; subraya que la ley de amnistía no debe aplicarse en ningún caso para proteger a los responsables de violaciones de los derechos humanos, a quienes debe exigírseles plena responsabilidad;</w:t>
      </w:r>
    </w:p>
    <w:p w14:paraId="6C0ED017" w14:textId="77777777" w:rsidR="00006E6E" w:rsidRPr="00EC1E16" w:rsidRDefault="00006E6E" w:rsidP="00006E6E">
      <w:pPr>
        <w:pStyle w:val="NormalHanging12a"/>
        <w:rPr>
          <w:bCs/>
        </w:rPr>
      </w:pPr>
      <w:r w:rsidRPr="00EC1E16">
        <w:t>3.</w:t>
      </w:r>
      <w:r w:rsidRPr="00EC1E16">
        <w:tab/>
        <w:t>Insta al régimen a que ponga fin inmediatamente a la represión y a que reforme las principales instituciones judiciales, policiales y electorales, también mediante el cierre de todas las instalaciones utilizadas para la detención arbitraria, los malos tratos y la tortura; pide el fin de la persecución política, el levantamiento incondicional de todas las restricciones impuestas a los presos políticos y garantías de un retorno seguro sin represalias;</w:t>
      </w:r>
    </w:p>
    <w:p w14:paraId="0F51F500" w14:textId="77777777" w:rsidR="00006E6E" w:rsidRPr="00EC1E16" w:rsidRDefault="00006E6E" w:rsidP="00006E6E">
      <w:pPr>
        <w:pStyle w:val="NormalHanging12a"/>
      </w:pPr>
      <w:r w:rsidRPr="00EC1E16">
        <w:t>4.</w:t>
      </w:r>
      <w:r w:rsidRPr="00EC1E16">
        <w:tab/>
        <w:t>Recuerda que, en cualquier caso, debe respetarse el Derecho internacional, incluida la Carta de las Naciones Unidas;</w:t>
      </w:r>
    </w:p>
    <w:p w14:paraId="5630B12E" w14:textId="77777777" w:rsidR="00006E6E" w:rsidRPr="00EC1E16" w:rsidRDefault="00006E6E" w:rsidP="00006E6E">
      <w:pPr>
        <w:pStyle w:val="NormalHanging12a"/>
      </w:pPr>
      <w:r w:rsidRPr="00EC1E16">
        <w:t>5.</w:t>
      </w:r>
      <w:r w:rsidRPr="00EC1E16">
        <w:tab/>
        <w:t>Reitera firmemente que, hasta que se adopten medidas significativas hacia una transición pacífica a la democracia liderada por Venezuela, que respete su soberanía, incluida la liberación incondicional de todos los presos políticos, la retirada y anulación de todos los cargos por motivos políticos contra la oposición democrática al régimen y el establecimiento de una hoja de ruta creíble para unas elecciones libres y justas, el Consejo no debe levantar ninguna sanción impuesta a los responsables de violaciones de los derechos humanos; exige a la Unión que haga todo lo posible para lograr estos resultados;</w:t>
      </w:r>
    </w:p>
    <w:p w14:paraId="250A03AF" w14:textId="0B7AA9D6" w:rsidR="00B21604" w:rsidRPr="00EC1E16" w:rsidRDefault="00006E6E" w:rsidP="00B21604">
      <w:pPr>
        <w:pStyle w:val="NormalHanging12a"/>
      </w:pPr>
      <w:r w:rsidRPr="00EC1E16">
        <w:t>6.</w:t>
      </w:r>
      <w:r w:rsidRPr="00EC1E16">
        <w:tab/>
        <w:t>Encarga a su presidenta que transmita la presente Resolución al Consejo, a la Comisión y a la VP/AR.</w:t>
      </w:r>
    </w:p>
    <w:p w14:paraId="256F79D9" w14:textId="273337E3" w:rsidR="00E365E1" w:rsidRPr="00EC1E16" w:rsidRDefault="00E365E1" w:rsidP="00B66941"/>
    <w:sectPr w:rsidR="00E365E1" w:rsidRPr="00EC1E16" w:rsidSect="00B216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6D71" w14:textId="77777777" w:rsidR="00B66941" w:rsidRPr="00B21604" w:rsidRDefault="00B66941">
      <w:r w:rsidRPr="00B21604">
        <w:separator/>
      </w:r>
    </w:p>
  </w:endnote>
  <w:endnote w:type="continuationSeparator" w:id="0">
    <w:p w14:paraId="150CF1E4" w14:textId="77777777" w:rsidR="00B66941" w:rsidRPr="00B21604" w:rsidRDefault="00B66941">
      <w:r w:rsidRPr="00B216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9473" w14:textId="77777777" w:rsidR="00064002" w:rsidRPr="00B216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5B50" w14:textId="77777777" w:rsidR="00064002" w:rsidRPr="00B216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B71EC" w14:textId="77777777" w:rsidR="00064002" w:rsidRPr="00B216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E010" w14:textId="77777777" w:rsidR="00B66941" w:rsidRPr="00B21604" w:rsidRDefault="00B66941">
      <w:r w:rsidRPr="00B21604">
        <w:separator/>
      </w:r>
    </w:p>
  </w:footnote>
  <w:footnote w:type="continuationSeparator" w:id="0">
    <w:p w14:paraId="203989C1" w14:textId="77777777" w:rsidR="00B66941" w:rsidRPr="00B21604" w:rsidRDefault="00B66941">
      <w:r w:rsidRPr="00B216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6C63" w14:textId="77777777" w:rsidR="00064002" w:rsidRPr="00B216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B248" w14:textId="77777777" w:rsidR="00064002" w:rsidRPr="00B216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2013" w14:textId="77777777" w:rsidR="00064002" w:rsidRPr="00B216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6041689">
    <w:abstractNumId w:val="9"/>
  </w:num>
  <w:num w:numId="2" w16cid:durableId="1295794765">
    <w:abstractNumId w:val="9"/>
  </w:num>
  <w:num w:numId="3" w16cid:durableId="672411927">
    <w:abstractNumId w:val="7"/>
  </w:num>
  <w:num w:numId="4" w16cid:durableId="991560084">
    <w:abstractNumId w:val="7"/>
  </w:num>
  <w:num w:numId="5" w16cid:durableId="1033043968">
    <w:abstractNumId w:val="6"/>
  </w:num>
  <w:num w:numId="6" w16cid:durableId="252397195">
    <w:abstractNumId w:val="6"/>
  </w:num>
  <w:num w:numId="7" w16cid:durableId="1047729595">
    <w:abstractNumId w:val="5"/>
  </w:num>
  <w:num w:numId="8" w16cid:durableId="1858544227">
    <w:abstractNumId w:val="5"/>
  </w:num>
  <w:num w:numId="9" w16cid:durableId="1858813396">
    <w:abstractNumId w:val="4"/>
  </w:num>
  <w:num w:numId="10" w16cid:durableId="1449817230">
    <w:abstractNumId w:val="4"/>
  </w:num>
  <w:num w:numId="11" w16cid:durableId="2107723022">
    <w:abstractNumId w:val="8"/>
  </w:num>
  <w:num w:numId="12" w16cid:durableId="1299267092">
    <w:abstractNumId w:val="8"/>
  </w:num>
  <w:num w:numId="13" w16cid:durableId="920675046">
    <w:abstractNumId w:val="3"/>
  </w:num>
  <w:num w:numId="14" w16cid:durableId="1539901363">
    <w:abstractNumId w:val="3"/>
  </w:num>
  <w:num w:numId="15" w16cid:durableId="122506215">
    <w:abstractNumId w:val="2"/>
  </w:num>
  <w:num w:numId="16" w16cid:durableId="1682660631">
    <w:abstractNumId w:val="2"/>
  </w:num>
  <w:num w:numId="17" w16cid:durableId="401216901">
    <w:abstractNumId w:val="1"/>
  </w:num>
  <w:num w:numId="18" w16cid:durableId="421147059">
    <w:abstractNumId w:val="1"/>
  </w:num>
  <w:num w:numId="19" w16cid:durableId="1252668169">
    <w:abstractNumId w:val="0"/>
  </w:num>
  <w:num w:numId="20" w16cid:durableId="892697472">
    <w:abstractNumId w:val="0"/>
  </w:num>
  <w:num w:numId="21" w16cid:durableId="2003966896">
    <w:abstractNumId w:val="9"/>
  </w:num>
  <w:num w:numId="22" w16cid:durableId="156968121">
    <w:abstractNumId w:val="7"/>
  </w:num>
  <w:num w:numId="23" w16cid:durableId="553738155">
    <w:abstractNumId w:val="6"/>
  </w:num>
  <w:num w:numId="24" w16cid:durableId="981740477">
    <w:abstractNumId w:val="5"/>
  </w:num>
  <w:num w:numId="25" w16cid:durableId="1447307892">
    <w:abstractNumId w:val="4"/>
  </w:num>
  <w:num w:numId="26" w16cid:durableId="127362298">
    <w:abstractNumId w:val="8"/>
  </w:num>
  <w:num w:numId="27" w16cid:durableId="1025985149">
    <w:abstractNumId w:val="3"/>
  </w:num>
  <w:num w:numId="28" w16cid:durableId="744298423">
    <w:abstractNumId w:val="2"/>
  </w:num>
  <w:num w:numId="29" w16cid:durableId="209002496">
    <w:abstractNumId w:val="1"/>
  </w:num>
  <w:num w:numId="30" w16cid:durableId="1434473432">
    <w:abstractNumId w:val="0"/>
  </w:num>
  <w:num w:numId="31" w16cid:durableId="1245188327">
    <w:abstractNumId w:val="9"/>
  </w:num>
  <w:num w:numId="32" w16cid:durableId="253712136">
    <w:abstractNumId w:val="7"/>
  </w:num>
  <w:num w:numId="33" w16cid:durableId="1929538009">
    <w:abstractNumId w:val="6"/>
  </w:num>
  <w:num w:numId="34" w16cid:durableId="1716350337">
    <w:abstractNumId w:val="5"/>
  </w:num>
  <w:num w:numId="35" w16cid:durableId="160124852">
    <w:abstractNumId w:val="4"/>
  </w:num>
  <w:num w:numId="36" w16cid:durableId="520822552">
    <w:abstractNumId w:val="8"/>
  </w:num>
  <w:num w:numId="37" w16cid:durableId="1985043522">
    <w:abstractNumId w:val="3"/>
  </w:num>
  <w:num w:numId="38" w16cid:durableId="1083916766">
    <w:abstractNumId w:val="2"/>
  </w:num>
  <w:num w:numId="39" w16cid:durableId="1814710112">
    <w:abstractNumId w:val="1"/>
  </w:num>
  <w:num w:numId="40" w16cid:durableId="679815321">
    <w:abstractNumId w:val="0"/>
  </w:num>
  <w:num w:numId="41" w16cid:durableId="1953513248">
    <w:abstractNumId w:val="10"/>
  </w:num>
  <w:num w:numId="42" w16cid:durableId="428546820">
    <w:abstractNumId w:val="10"/>
  </w:num>
  <w:num w:numId="43" w16cid:durableId="2117018011">
    <w:abstractNumId w:val="10"/>
  </w:num>
  <w:num w:numId="44" w16cid:durableId="519704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, 0221 y 0231/2026"/>
    <w:docVar w:name="dvlangue" w:val="ES"/>
    <w:docVar w:name="dvnumam" w:val="0"/>
    <w:docVar w:name="dvpe" w:val="783.252"/>
    <w:docVar w:name="dvtitre" w:val="Resolución del Parlamento Europeo, de 30 de abril de 2026, sobre las carencias y deficiencias de la ley de amnistía de Venezuela(2026/2704(RSP))"/>
  </w:docVars>
  <w:rsids>
    <w:rsidRoot w:val="00B66941"/>
    <w:rsid w:val="00002272"/>
    <w:rsid w:val="00006E6E"/>
    <w:rsid w:val="00064002"/>
    <w:rsid w:val="000677B9"/>
    <w:rsid w:val="000831BA"/>
    <w:rsid w:val="000A42CC"/>
    <w:rsid w:val="000E68A4"/>
    <w:rsid w:val="000E7DD9"/>
    <w:rsid w:val="0010095E"/>
    <w:rsid w:val="00125B37"/>
    <w:rsid w:val="00187494"/>
    <w:rsid w:val="001A2900"/>
    <w:rsid w:val="001F32AE"/>
    <w:rsid w:val="00216A7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3A5"/>
    <w:rsid w:val="0050519A"/>
    <w:rsid w:val="005072A1"/>
    <w:rsid w:val="00514517"/>
    <w:rsid w:val="00545827"/>
    <w:rsid w:val="00560270"/>
    <w:rsid w:val="005B67E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1EC"/>
    <w:rsid w:val="00AE0928"/>
    <w:rsid w:val="00AF3B82"/>
    <w:rsid w:val="00B12E95"/>
    <w:rsid w:val="00B21604"/>
    <w:rsid w:val="00B22876"/>
    <w:rsid w:val="00B558F0"/>
    <w:rsid w:val="00B66941"/>
    <w:rsid w:val="00BD48FE"/>
    <w:rsid w:val="00BD5DDC"/>
    <w:rsid w:val="00BD7BD8"/>
    <w:rsid w:val="00BE6ADC"/>
    <w:rsid w:val="00C05BFE"/>
    <w:rsid w:val="00C23CD4"/>
    <w:rsid w:val="00C61C0C"/>
    <w:rsid w:val="00C941CB"/>
    <w:rsid w:val="00CC2357"/>
    <w:rsid w:val="00CF071A"/>
    <w:rsid w:val="00D0045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E1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3D9E5"/>
  <w15:chartTrackingRefBased/>
  <w15:docId w15:val="{7BB2D66C-E248-426A-8E0F-1465B7E5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06E6E"/>
    <w:pPr>
      <w:spacing w:after="240"/>
      <w:ind w:left="567" w:hanging="567"/>
    </w:pPr>
  </w:style>
  <w:style w:type="paragraph" w:customStyle="1" w:styleId="EPComma">
    <w:name w:val="EPComma"/>
    <w:basedOn w:val="Normal"/>
    <w:rsid w:val="00006E6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06E6E"/>
    <w:rPr>
      <w:sz w:val="24"/>
      <w:lang w:val="es-ES_tradnl"/>
    </w:rPr>
  </w:style>
  <w:style w:type="paragraph" w:styleId="Revision">
    <w:name w:val="Revision"/>
    <w:hidden/>
    <w:uiPriority w:val="99"/>
    <w:semiHidden/>
    <w:rsid w:val="00BD5DDC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MLG_PE_RELEC</cp:lastModifiedBy>
  <cp:revision>2</cp:revision>
  <cp:lastPrinted>2004-11-19T15:42:00Z</cp:lastPrinted>
  <dcterms:created xsi:type="dcterms:W3CDTF">2026-04-30T11:04:00Z</dcterms:created>
  <dcterms:modified xsi:type="dcterms:W3CDTF">2026-04-30T11:04:00Z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B10-0217, 0221 y 0231/2026</vt:lpwstr>
  </property>
  <property fmtid="{D5CDD505-2E9C-101B-9397-08002B2CF9AE}" pid="4" name="&lt;Type&gt;">
    <vt:lpwstr>RR</vt:lpwstr>
  </property>
</Properties>
</file>