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ADB" w14:paraId="34CE5B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F44158" w14:textId="77777777" w:rsidR="00751A4A" w:rsidRPr="007B5ADB" w:rsidRDefault="00BB5527" w:rsidP="0010095E">
            <w:pPr>
              <w:pStyle w:val="EPName"/>
            </w:pPr>
            <w:r w:rsidRPr="007B5ADB">
              <w:t>Parlamento europeo</w:t>
            </w:r>
          </w:p>
          <w:p w14:paraId="587BD902" w14:textId="77777777" w:rsidR="00751A4A" w:rsidRPr="007B5A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ADB">
              <w:t>2024</w:t>
            </w:r>
            <w:r w:rsidR="00817416" w:rsidRPr="007B5ADB">
              <w:t>-202</w:t>
            </w:r>
            <w:r w:rsidRPr="007B5ADB">
              <w:t>9</w:t>
            </w:r>
          </w:p>
        </w:tc>
        <w:tc>
          <w:tcPr>
            <w:tcW w:w="2268" w:type="dxa"/>
            <w:shd w:val="clear" w:color="auto" w:fill="auto"/>
          </w:tcPr>
          <w:p w14:paraId="22410E4D" w14:textId="77777777" w:rsidR="00751A4A" w:rsidRPr="007B5ADB" w:rsidRDefault="00187494" w:rsidP="0010095E">
            <w:pPr>
              <w:pStyle w:val="EPLogo"/>
            </w:pPr>
            <w:r w:rsidRPr="007B5ADB">
              <w:rPr>
                <w:noProof/>
                <w:lang w:eastAsia="ja-JP"/>
              </w:rPr>
              <w:drawing>
                <wp:inline distT="0" distB="0" distL="0" distR="0" wp14:anchorId="7F5F3373" wp14:editId="0245CF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868763" w14:textId="77777777" w:rsidR="00D058B8" w:rsidRPr="007B5ADB" w:rsidRDefault="00D058B8" w:rsidP="004C5D52">
      <w:pPr>
        <w:pStyle w:val="LineTop"/>
      </w:pPr>
    </w:p>
    <w:p w14:paraId="2304C020" w14:textId="77777777" w:rsidR="00680577" w:rsidRPr="007B5ADB" w:rsidRDefault="00BB5527" w:rsidP="00680577">
      <w:pPr>
        <w:pStyle w:val="EPBodyTA1"/>
      </w:pPr>
      <w:r w:rsidRPr="007B5ADB">
        <w:t>TESTI APPROVATI</w:t>
      </w:r>
    </w:p>
    <w:p w14:paraId="084B597B" w14:textId="77777777" w:rsidR="00D058B8" w:rsidRPr="007B5ADB" w:rsidRDefault="00D058B8" w:rsidP="00D058B8">
      <w:pPr>
        <w:pStyle w:val="LineBottom"/>
      </w:pPr>
    </w:p>
    <w:p w14:paraId="4DB46C98" w14:textId="1D496FA5" w:rsidR="00BB5527" w:rsidRPr="007B5ADB" w:rsidRDefault="00BB5527" w:rsidP="00BB5527">
      <w:pPr>
        <w:pStyle w:val="ATHeading1"/>
      </w:pPr>
      <w:bookmarkStart w:id="0" w:name="TANumber"/>
      <w:r w:rsidRPr="007B5ADB">
        <w:t>P10_TA(2026)0</w:t>
      </w:r>
      <w:bookmarkEnd w:id="0"/>
      <w:r w:rsidR="007B5ADB" w:rsidRPr="007B5ADB">
        <w:t>153</w:t>
      </w:r>
    </w:p>
    <w:p w14:paraId="1DB6E3CE" w14:textId="77777777" w:rsidR="00BB5527" w:rsidRPr="007B5ADB" w:rsidRDefault="00BB5527" w:rsidP="00BB5527">
      <w:pPr>
        <w:pStyle w:val="ATHeading2"/>
      </w:pPr>
      <w:bookmarkStart w:id="1" w:name="title"/>
      <w:r w:rsidRPr="007B5ADB">
        <w:t>Lacune e carenze della "legge di amnistia" in Venezuela</w:t>
      </w:r>
      <w:bookmarkEnd w:id="1"/>
    </w:p>
    <w:p w14:paraId="0C4E0E7C" w14:textId="49982884" w:rsidR="00BB5527" w:rsidRPr="007B5ADB" w:rsidRDefault="00BB5527" w:rsidP="00BB5527">
      <w:pPr>
        <w:rPr>
          <w:i/>
          <w:vanish/>
        </w:rPr>
      </w:pPr>
      <w:r w:rsidRPr="007B5ADB">
        <w:rPr>
          <w:i/>
        </w:rPr>
        <w:fldChar w:fldCharType="begin"/>
      </w:r>
      <w:r w:rsidRPr="007B5ADB">
        <w:rPr>
          <w:i/>
        </w:rPr>
        <w:instrText xml:space="preserve"> TC"(</w:instrText>
      </w:r>
      <w:bookmarkStart w:id="2" w:name="DocNumber"/>
      <w:r w:rsidRPr="007B5ADB">
        <w:rPr>
          <w:i/>
        </w:rPr>
        <w:instrText>B10-0217</w:instrText>
      </w:r>
      <w:r w:rsidR="00630534" w:rsidRPr="007B5ADB">
        <w:rPr>
          <w:i/>
        </w:rPr>
        <w:instrText>, 0221 e 0231</w:instrText>
      </w:r>
      <w:r w:rsidRPr="007B5ADB">
        <w:rPr>
          <w:i/>
        </w:rPr>
        <w:instrText>/2026</w:instrText>
      </w:r>
      <w:bookmarkEnd w:id="2"/>
      <w:r w:rsidRPr="007B5ADB">
        <w:rPr>
          <w:i/>
        </w:rPr>
        <w:instrText xml:space="preserve">)"\l3 \n&gt; \* MERGEFORMAT </w:instrText>
      </w:r>
      <w:r w:rsidRPr="007B5ADB">
        <w:rPr>
          <w:i/>
        </w:rPr>
        <w:fldChar w:fldCharType="end"/>
      </w:r>
    </w:p>
    <w:p w14:paraId="298E6AD0" w14:textId="77777777" w:rsidR="00BB5527" w:rsidRPr="007B5ADB" w:rsidRDefault="00BB5527" w:rsidP="00BB5527">
      <w:pPr>
        <w:rPr>
          <w:vanish/>
        </w:rPr>
      </w:pPr>
      <w:bookmarkStart w:id="3" w:name="PE"/>
      <w:r w:rsidRPr="007B5ADB">
        <w:rPr>
          <w:vanish/>
        </w:rPr>
        <w:t>PE783.252</w:t>
      </w:r>
      <w:bookmarkEnd w:id="3"/>
    </w:p>
    <w:p w14:paraId="5B7B8827" w14:textId="4D1A33EA" w:rsidR="00BB5527" w:rsidRPr="007B5ADB" w:rsidRDefault="00BB5527" w:rsidP="003B3E76">
      <w:pPr>
        <w:pStyle w:val="ATHeading3"/>
      </w:pPr>
      <w:bookmarkStart w:id="4" w:name="Sujet"/>
      <w:r w:rsidRPr="007B5ADB">
        <w:t>Risoluzione del Parlamento europeo del 30 aprile 2026 sulle lacune e le carenze della "legge di amnistia" in Venezuela</w:t>
      </w:r>
      <w:bookmarkEnd w:id="4"/>
      <w:r w:rsidRPr="007B5ADB">
        <w:t xml:space="preserve"> </w:t>
      </w:r>
      <w:bookmarkStart w:id="5" w:name="References"/>
      <w:r w:rsidRPr="007B5ADB">
        <w:t>(2026/2704(RSP))</w:t>
      </w:r>
      <w:bookmarkEnd w:id="5"/>
    </w:p>
    <w:p w14:paraId="55CBF3A5" w14:textId="77777777" w:rsidR="00F97EA6" w:rsidRPr="007B5ADB" w:rsidRDefault="00F97EA6" w:rsidP="00F97EA6">
      <w:pPr>
        <w:pStyle w:val="EPComma"/>
      </w:pPr>
      <w:bookmarkStart w:id="6" w:name="TextBodyBegin"/>
      <w:bookmarkEnd w:id="6"/>
      <w:r w:rsidRPr="007B5ADB">
        <w:rPr>
          <w:i/>
        </w:rPr>
        <w:t>Il Parlamento europeo</w:t>
      </w:r>
      <w:r w:rsidRPr="007B5ADB">
        <w:t>,</w:t>
      </w:r>
    </w:p>
    <w:p w14:paraId="0C4EEDF7" w14:textId="77777777" w:rsidR="00F97EA6" w:rsidRPr="007B5ADB" w:rsidRDefault="00F97EA6" w:rsidP="00F97EA6">
      <w:pPr>
        <w:pStyle w:val="NormalHanging12a"/>
      </w:pPr>
      <w:r w:rsidRPr="007B5ADB">
        <w:t>–</w:t>
      </w:r>
      <w:r w:rsidRPr="007B5ADB">
        <w:tab/>
        <w:t>viste le sue risoluzioni sul Venezuela,</w:t>
      </w:r>
    </w:p>
    <w:p w14:paraId="4B0BDB38" w14:textId="77777777" w:rsidR="00F97EA6" w:rsidRPr="007B5ADB" w:rsidRDefault="00F97EA6" w:rsidP="00F97EA6">
      <w:pPr>
        <w:pStyle w:val="NormalHanging12a"/>
      </w:pPr>
      <w:r w:rsidRPr="007B5ADB">
        <w:t>–</w:t>
      </w:r>
      <w:r w:rsidRPr="007B5ADB">
        <w:tab/>
        <w:t>visti l'articolo 150, paragrafo 5, e l'articolo 136, paragrafo 4, del suo regolamento,</w:t>
      </w:r>
    </w:p>
    <w:p w14:paraId="20E5DFEB" w14:textId="0CAA746C" w:rsidR="00F97EA6" w:rsidRPr="007B5ADB" w:rsidRDefault="00F97EA6" w:rsidP="00F97EA6">
      <w:pPr>
        <w:pStyle w:val="NormalHanging12a"/>
      </w:pPr>
      <w:r w:rsidRPr="007B5ADB">
        <w:t>A.</w:t>
      </w:r>
      <w:r w:rsidRPr="007B5ADB">
        <w:tab/>
        <w:t xml:space="preserve">considerando che, il 3 gennaio 2026, gli Stati Uniti hanno condotto un intervento militare che ha portato </w:t>
      </w:r>
      <w:r w:rsidR="00A83ED6" w:rsidRPr="007B5ADB">
        <w:t xml:space="preserve">al prelevamento </w:t>
      </w:r>
      <w:r w:rsidRPr="007B5ADB">
        <w:t>e al rapimento di Nicolás Maduro;</w:t>
      </w:r>
    </w:p>
    <w:p w14:paraId="2DCBF56B" w14:textId="77777777" w:rsidR="00F97EA6" w:rsidRPr="007B5ADB" w:rsidRDefault="00F97EA6" w:rsidP="00F97EA6">
      <w:pPr>
        <w:pStyle w:val="NormalHanging12a"/>
      </w:pPr>
      <w:r w:rsidRPr="007B5ADB">
        <w:t>B.</w:t>
      </w:r>
      <w:r w:rsidRPr="007B5ADB">
        <w:tab/>
        <w:t>considerando che, nel febbraio 2026, il regime venezuelano ha adottato la "legge di amnistia per la coesistenza democratica"; che tale legge, che è il risultato di pressioni straniere ed è stata approvata precipitosamente dall'assemblea illegittima controllata dal regime, funziona come una misura di emergenza limitata, applicabile caso per caso, che è insufficiente per ripristinare i diritti civili e politici e garantire la riconciliazione nazionale ed è diventata uno strumento supplementare dell'apparato repressivo del regime;</w:t>
      </w:r>
    </w:p>
    <w:p w14:paraId="0492C272" w14:textId="16F3A910" w:rsidR="00F97EA6" w:rsidRPr="007B5ADB" w:rsidRDefault="00F97EA6" w:rsidP="00F97EA6">
      <w:pPr>
        <w:pStyle w:val="NormalHanging12a"/>
        <w:rPr>
          <w:bCs/>
        </w:rPr>
      </w:pPr>
      <w:r w:rsidRPr="007B5ADB">
        <w:t>C.</w:t>
      </w:r>
      <w:r w:rsidRPr="007B5ADB">
        <w:tab/>
        <w:t xml:space="preserve">considerando che circa 470 prigionieri politici rimangono ingiustamente detenuti, tra cui militari, avvocati, giornalisti, difensori dei diritti umani, stranieri (compresi cittadini dell'UE) e comuni cittadini; </w:t>
      </w:r>
      <w:bookmarkStart w:id="7" w:name="_Hlk228365378"/>
      <w:r w:rsidRPr="007B5ADB">
        <w:t>che tale legge si applica a eventi e reati politici specifici, escludendo un gran numero di detenuti sulla base di accuse false o vaghe, e non è applicata automaticamente, forzando ammission</w:t>
      </w:r>
      <w:r w:rsidR="00A83ED6" w:rsidRPr="007B5ADB">
        <w:t>i</w:t>
      </w:r>
      <w:r w:rsidRPr="007B5ADB">
        <w:t xml:space="preserve"> </w:t>
      </w:r>
      <w:r w:rsidR="00A83ED6" w:rsidRPr="007B5ADB">
        <w:t xml:space="preserve">in relazione a </w:t>
      </w:r>
      <w:r w:rsidRPr="007B5ADB">
        <w:t xml:space="preserve">false accuse dinanzi a una magistratura controllata dal regime, mentre i beneficiari </w:t>
      </w:r>
      <w:r w:rsidR="00A83ED6" w:rsidRPr="007B5ADB">
        <w:t xml:space="preserve">sono </w:t>
      </w:r>
      <w:r w:rsidRPr="007B5ADB">
        <w:t xml:space="preserve">ancora </w:t>
      </w:r>
      <w:r w:rsidR="00A83ED6" w:rsidRPr="007B5ADB">
        <w:t xml:space="preserve">soggetti a </w:t>
      </w:r>
      <w:r w:rsidRPr="007B5ADB">
        <w:t>condizioni restrittive quali gli arresti domiciliari e la vigilanza giudiziaria;</w:t>
      </w:r>
      <w:bookmarkEnd w:id="7"/>
    </w:p>
    <w:p w14:paraId="0D3A4837" w14:textId="77777777" w:rsidR="00F97EA6" w:rsidRPr="007B5ADB" w:rsidRDefault="00F97EA6" w:rsidP="00F97EA6">
      <w:pPr>
        <w:pStyle w:val="NormalHanging12a"/>
      </w:pPr>
      <w:r w:rsidRPr="007B5ADB">
        <w:t>D.</w:t>
      </w:r>
      <w:r w:rsidRPr="007B5ADB">
        <w:tab/>
        <w:t>considerando che la legge non abolisce le sanzioni giuridiche e amministrative, come i divieti politici o i sequestri di beni, in particolare per l'opposizione democratica in esilio a cui è negato il diritto di ritorno, il che le impedisce di partecipare a un futuro processo democratico;</w:t>
      </w:r>
    </w:p>
    <w:p w14:paraId="0FF10D52" w14:textId="77777777" w:rsidR="00F97EA6" w:rsidRPr="007B5ADB" w:rsidRDefault="00F97EA6" w:rsidP="00F97EA6">
      <w:pPr>
        <w:pStyle w:val="NormalHanging12a"/>
      </w:pPr>
      <w:r w:rsidRPr="007B5ADB">
        <w:t>E.</w:t>
      </w:r>
      <w:r w:rsidRPr="007B5ADB">
        <w:tab/>
        <w:t xml:space="preserve">considerando che, il 23 aprile 2026, </w:t>
      </w:r>
      <w:proofErr w:type="spellStart"/>
      <w:r w:rsidRPr="007B5ADB">
        <w:t>Delcy</w:t>
      </w:r>
      <w:proofErr w:type="spellEnd"/>
      <w:r w:rsidRPr="007B5ADB">
        <w:t xml:space="preserve"> Rodriguez ha annunciato la fine della legge di amnistia, violando la Costituzione e l'indipendenza della magistratura;</w:t>
      </w:r>
    </w:p>
    <w:p w14:paraId="2D98C421" w14:textId="77777777" w:rsidR="00F97EA6" w:rsidRPr="007B5ADB" w:rsidRDefault="00F97EA6" w:rsidP="00F97EA6">
      <w:pPr>
        <w:pStyle w:val="NormalHanging12a"/>
        <w:rPr>
          <w:bCs/>
        </w:rPr>
      </w:pPr>
      <w:r w:rsidRPr="007B5ADB">
        <w:t>1.</w:t>
      </w:r>
      <w:r w:rsidRPr="007B5ADB">
        <w:tab/>
        <w:t xml:space="preserve">deplora il fatto che la "legge di amnistia" non abbia permesso di rilasciare incondizionatamente tutti i prigionieri politici, di cui almeno 470 sono tuttora detenuti </w:t>
      </w:r>
      <w:r w:rsidRPr="007B5ADB">
        <w:lastRenderedPageBreak/>
        <w:t>ingiustamente in condizioni disumane, e deplora che la sua cessazione prematura, la sua portata limitata, la mancanza di un monitoraggio indipendente e l'attuazione discriminatoria non abbiano fornito alcuna base per la riconciliazione politica;</w:t>
      </w:r>
    </w:p>
    <w:p w14:paraId="58A8E873" w14:textId="77777777" w:rsidR="00F97EA6" w:rsidRPr="007B5ADB" w:rsidRDefault="00F97EA6" w:rsidP="00F97EA6">
      <w:pPr>
        <w:pStyle w:val="NormalHanging12a"/>
      </w:pPr>
      <w:r w:rsidRPr="007B5ADB">
        <w:t>2.</w:t>
      </w:r>
      <w:r w:rsidRPr="007B5ADB">
        <w:tab/>
        <w:t>chiede la liberazione piena e incondizionata di tutte le persone detenute arbitrariamente per motivi politici; insiste affinché tutti godano nuovamente dei loro pieni diritti civili e politici; sottolinea che la legge di amnistia non deve in alcun caso essere applicata per proteggere i responsabili di violazioni dei diritti umani, che devono essere chiamati a rispondere pienamente delle loro azioni;</w:t>
      </w:r>
    </w:p>
    <w:p w14:paraId="62EA6209" w14:textId="77777777" w:rsidR="00F97EA6" w:rsidRPr="007B5ADB" w:rsidRDefault="00F97EA6" w:rsidP="00F97EA6">
      <w:pPr>
        <w:pStyle w:val="NormalHanging12a"/>
        <w:rPr>
          <w:bCs/>
        </w:rPr>
      </w:pPr>
      <w:r w:rsidRPr="007B5ADB">
        <w:t>3.</w:t>
      </w:r>
      <w:r w:rsidRPr="007B5ADB">
        <w:tab/>
        <w:t>esorta il regime a porre immediatamente fine alla repressione e a riformare le principali istituzioni giudiziarie, di contrasto ed elettorali, in particolare chiudendo tutte le strutture utilizzate per la detenzione arbitraria, i maltrattamenti e la tortura; chiede la fine della persecuzione politica, la revoca incondizionata di tutte le restrizioni nei confronti dei prigionieri politici e la garanzia di un ritorno sicuro senza rappresaglie;</w:t>
      </w:r>
    </w:p>
    <w:p w14:paraId="54BFE070" w14:textId="77777777" w:rsidR="00F97EA6" w:rsidRPr="007B5ADB" w:rsidRDefault="00F97EA6" w:rsidP="00F97EA6">
      <w:pPr>
        <w:pStyle w:val="NormalHanging12a"/>
      </w:pPr>
      <w:r w:rsidRPr="007B5ADB">
        <w:t>4.</w:t>
      </w:r>
      <w:r w:rsidRPr="007B5ADB">
        <w:tab/>
        <w:t>ricorda che, in ogni caso, il diritto internazionale, compresa la Carta delle Nazioni Unite, deve essere rispettato;</w:t>
      </w:r>
    </w:p>
    <w:p w14:paraId="60121B7A" w14:textId="77777777" w:rsidR="00F97EA6" w:rsidRPr="007B5ADB" w:rsidRDefault="00F97EA6" w:rsidP="00F97EA6">
      <w:pPr>
        <w:pStyle w:val="NormalHanging12a"/>
      </w:pPr>
      <w:r w:rsidRPr="007B5ADB">
        <w:t>5.</w:t>
      </w:r>
      <w:r w:rsidRPr="007B5ADB">
        <w:tab/>
        <w:t>ribadisce con fermezza che, fino a quando non saranno compiuti passi significativi in vista di una transizione pacifica verso la democrazia guidata dal Venezuela, nel rispetto della sua sovranità, compresi il rilascio incondizionato di tutti i prigionieri politici, il ritiro e l'annullamento di tutte le accuse di matrice politica contro l'opposizione democratica al regime e l'istituzione di una tabella di marcia credibile verso elezioni libere ed eque, il Consiglio non dovrebbe revocare le sanzioni imposte alle persone responsabili di violazioni dei diritti umani; invita l'UE a fare tutto il possibile per conseguire tali risultati;</w:t>
      </w:r>
    </w:p>
    <w:p w14:paraId="31B4FBA7" w14:textId="0BFE810E" w:rsidR="00560830" w:rsidRPr="007B5ADB" w:rsidRDefault="00F97EA6" w:rsidP="00560830">
      <w:pPr>
        <w:pStyle w:val="NormalHanging12a"/>
      </w:pPr>
      <w:r w:rsidRPr="007B5ADB">
        <w:t>6.</w:t>
      </w:r>
      <w:r w:rsidRPr="007B5ADB">
        <w:tab/>
        <w:t>incarica la sua Presidente di trasmettere la presente risoluzione al Consiglio, alla Commissione e alla vicepresidente della Commissione</w:t>
      </w:r>
      <w:r w:rsidR="003B3E76" w:rsidRPr="007B5ADB">
        <w:t> </w:t>
      </w:r>
      <w:r w:rsidRPr="007B5ADB">
        <w:t>/</w:t>
      </w:r>
      <w:r w:rsidR="003B3E76" w:rsidRPr="007B5ADB">
        <w:t> </w:t>
      </w:r>
      <w:r w:rsidRPr="007B5ADB">
        <w:t>alta rappresentante dell'Unione per gli affari esteri e la politica di sicurezza.</w:t>
      </w:r>
    </w:p>
    <w:p w14:paraId="38615C9D" w14:textId="44F54BCE" w:rsidR="00E365E1" w:rsidRPr="007B5ADB" w:rsidRDefault="00E365E1" w:rsidP="00BB5527"/>
    <w:sectPr w:rsidR="00E365E1" w:rsidRPr="007B5ADB" w:rsidSect="005608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16DBB" w14:textId="77777777" w:rsidR="00BB5527" w:rsidRPr="00560830" w:rsidRDefault="00BB5527">
      <w:r w:rsidRPr="00560830">
        <w:separator/>
      </w:r>
    </w:p>
  </w:endnote>
  <w:endnote w:type="continuationSeparator" w:id="0">
    <w:p w14:paraId="04A633B9" w14:textId="77777777" w:rsidR="00BB5527" w:rsidRPr="00560830" w:rsidRDefault="00BB5527">
      <w:r w:rsidRPr="005608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C9E8" w14:textId="77777777" w:rsidR="00064002" w:rsidRPr="005608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A7B9" w14:textId="77777777" w:rsidR="00064002" w:rsidRPr="005608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4849" w14:textId="77777777" w:rsidR="00064002" w:rsidRPr="005608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5073" w14:textId="77777777" w:rsidR="00BB5527" w:rsidRPr="00560830" w:rsidRDefault="00BB5527">
      <w:r w:rsidRPr="00560830">
        <w:separator/>
      </w:r>
    </w:p>
  </w:footnote>
  <w:footnote w:type="continuationSeparator" w:id="0">
    <w:p w14:paraId="51E7991B" w14:textId="77777777" w:rsidR="00BB5527" w:rsidRPr="00560830" w:rsidRDefault="00BB5527">
      <w:r w:rsidRPr="005608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5C97" w14:textId="77777777" w:rsidR="00064002" w:rsidRPr="005608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658A" w14:textId="77777777" w:rsidR="00064002" w:rsidRPr="005608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ACF0" w14:textId="77777777" w:rsidR="00064002" w:rsidRPr="005608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5362305">
    <w:abstractNumId w:val="9"/>
  </w:num>
  <w:num w:numId="2" w16cid:durableId="1707635685">
    <w:abstractNumId w:val="9"/>
  </w:num>
  <w:num w:numId="3" w16cid:durableId="1086993375">
    <w:abstractNumId w:val="7"/>
  </w:num>
  <w:num w:numId="4" w16cid:durableId="1012607383">
    <w:abstractNumId w:val="7"/>
  </w:num>
  <w:num w:numId="5" w16cid:durableId="1199781665">
    <w:abstractNumId w:val="6"/>
  </w:num>
  <w:num w:numId="6" w16cid:durableId="1552963104">
    <w:abstractNumId w:val="6"/>
  </w:num>
  <w:num w:numId="7" w16cid:durableId="2138835019">
    <w:abstractNumId w:val="5"/>
  </w:num>
  <w:num w:numId="8" w16cid:durableId="722172385">
    <w:abstractNumId w:val="5"/>
  </w:num>
  <w:num w:numId="9" w16cid:durableId="558713760">
    <w:abstractNumId w:val="4"/>
  </w:num>
  <w:num w:numId="10" w16cid:durableId="1050150531">
    <w:abstractNumId w:val="4"/>
  </w:num>
  <w:num w:numId="11" w16cid:durableId="1634558348">
    <w:abstractNumId w:val="8"/>
  </w:num>
  <w:num w:numId="12" w16cid:durableId="1384332473">
    <w:abstractNumId w:val="8"/>
  </w:num>
  <w:num w:numId="13" w16cid:durableId="657029825">
    <w:abstractNumId w:val="3"/>
  </w:num>
  <w:num w:numId="14" w16cid:durableId="1264339345">
    <w:abstractNumId w:val="3"/>
  </w:num>
  <w:num w:numId="15" w16cid:durableId="758453135">
    <w:abstractNumId w:val="2"/>
  </w:num>
  <w:num w:numId="16" w16cid:durableId="1651130595">
    <w:abstractNumId w:val="2"/>
  </w:num>
  <w:num w:numId="17" w16cid:durableId="1913198499">
    <w:abstractNumId w:val="1"/>
  </w:num>
  <w:num w:numId="18" w16cid:durableId="706636672">
    <w:abstractNumId w:val="1"/>
  </w:num>
  <w:num w:numId="19" w16cid:durableId="365983666">
    <w:abstractNumId w:val="0"/>
  </w:num>
  <w:num w:numId="20" w16cid:durableId="1952201213">
    <w:abstractNumId w:val="0"/>
  </w:num>
  <w:num w:numId="21" w16cid:durableId="1841000377">
    <w:abstractNumId w:val="9"/>
  </w:num>
  <w:num w:numId="22" w16cid:durableId="1651787155">
    <w:abstractNumId w:val="7"/>
  </w:num>
  <w:num w:numId="23" w16cid:durableId="340133305">
    <w:abstractNumId w:val="6"/>
  </w:num>
  <w:num w:numId="24" w16cid:durableId="2064984455">
    <w:abstractNumId w:val="5"/>
  </w:num>
  <w:num w:numId="25" w16cid:durableId="490219040">
    <w:abstractNumId w:val="4"/>
  </w:num>
  <w:num w:numId="26" w16cid:durableId="171602240">
    <w:abstractNumId w:val="8"/>
  </w:num>
  <w:num w:numId="27" w16cid:durableId="567035610">
    <w:abstractNumId w:val="3"/>
  </w:num>
  <w:num w:numId="28" w16cid:durableId="1763143866">
    <w:abstractNumId w:val="2"/>
  </w:num>
  <w:num w:numId="29" w16cid:durableId="64886807">
    <w:abstractNumId w:val="1"/>
  </w:num>
  <w:num w:numId="30" w16cid:durableId="1070037305">
    <w:abstractNumId w:val="0"/>
  </w:num>
  <w:num w:numId="31" w16cid:durableId="901519820">
    <w:abstractNumId w:val="9"/>
  </w:num>
  <w:num w:numId="32" w16cid:durableId="142546599">
    <w:abstractNumId w:val="7"/>
  </w:num>
  <w:num w:numId="33" w16cid:durableId="2118332022">
    <w:abstractNumId w:val="6"/>
  </w:num>
  <w:num w:numId="34" w16cid:durableId="925503099">
    <w:abstractNumId w:val="5"/>
  </w:num>
  <w:num w:numId="35" w16cid:durableId="410858645">
    <w:abstractNumId w:val="4"/>
  </w:num>
  <w:num w:numId="36" w16cid:durableId="697895077">
    <w:abstractNumId w:val="8"/>
  </w:num>
  <w:num w:numId="37" w16cid:durableId="1785811374">
    <w:abstractNumId w:val="3"/>
  </w:num>
  <w:num w:numId="38" w16cid:durableId="763722141">
    <w:abstractNumId w:val="2"/>
  </w:num>
  <w:num w:numId="39" w16cid:durableId="105007618">
    <w:abstractNumId w:val="1"/>
  </w:num>
  <w:num w:numId="40" w16cid:durableId="494108050">
    <w:abstractNumId w:val="0"/>
  </w:num>
  <w:num w:numId="41" w16cid:durableId="1917280109">
    <w:abstractNumId w:val="10"/>
  </w:num>
  <w:num w:numId="42" w16cid:durableId="829058282">
    <w:abstractNumId w:val="10"/>
  </w:num>
  <w:num w:numId="43" w16cid:durableId="1367295904">
    <w:abstractNumId w:val="10"/>
  </w:num>
  <w:num w:numId="44" w16cid:durableId="5059433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/2026"/>
    <w:docVar w:name="dvlangue" w:val="IT"/>
    <w:docVar w:name="dvnumam" w:val="0"/>
    <w:docVar w:name="dvpe" w:val="783.252"/>
    <w:docVar w:name="dvtitre" w:val="Risoluzione del Parlamento europeo del 30 aprile 2026 sulle lacune e le carenze della &quot;legge di amnistia&quot; in Venezuela(2026/2704(RSP))"/>
  </w:docVars>
  <w:rsids>
    <w:rsidRoot w:val="00BB552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3E7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830"/>
    <w:rsid w:val="005C2568"/>
    <w:rsid w:val="005F1B17"/>
    <w:rsid w:val="006037C0"/>
    <w:rsid w:val="0063053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AD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E44"/>
    <w:rsid w:val="00930C23"/>
    <w:rsid w:val="0093193B"/>
    <w:rsid w:val="009509D8"/>
    <w:rsid w:val="00950B64"/>
    <w:rsid w:val="00981893"/>
    <w:rsid w:val="00A1687D"/>
    <w:rsid w:val="00A1777E"/>
    <w:rsid w:val="00A43E52"/>
    <w:rsid w:val="00A4678D"/>
    <w:rsid w:val="00A778C7"/>
    <w:rsid w:val="00A83ED6"/>
    <w:rsid w:val="00AB441E"/>
    <w:rsid w:val="00AB6293"/>
    <w:rsid w:val="00AE0928"/>
    <w:rsid w:val="00AF3B82"/>
    <w:rsid w:val="00B12E95"/>
    <w:rsid w:val="00B22876"/>
    <w:rsid w:val="00B558F0"/>
    <w:rsid w:val="00BB552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EA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F333D"/>
  <w15:chartTrackingRefBased/>
  <w15:docId w15:val="{ECF8ED17-CAC6-4F70-A215-539CFAC2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97EA6"/>
    <w:pPr>
      <w:spacing w:after="240"/>
      <w:ind w:left="567" w:hanging="567"/>
    </w:pPr>
  </w:style>
  <w:style w:type="paragraph" w:customStyle="1" w:styleId="EPComma">
    <w:name w:val="EPComma"/>
    <w:basedOn w:val="Normal"/>
    <w:rsid w:val="00F97EA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97EA6"/>
    <w:rPr>
      <w:sz w:val="24"/>
      <w:lang w:val="it-IT"/>
    </w:rPr>
  </w:style>
  <w:style w:type="character" w:styleId="CommentReference">
    <w:name w:val="annotation reference"/>
    <w:basedOn w:val="DefaultParagraphFont"/>
    <w:rsid w:val="003B3E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3E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3E7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3B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3E76"/>
    <w:rPr>
      <w:b/>
      <w:bCs/>
      <w:lang w:val="it-IT"/>
    </w:rPr>
  </w:style>
  <w:style w:type="paragraph" w:styleId="Revision">
    <w:name w:val="Revision"/>
    <w:hidden/>
    <w:uiPriority w:val="99"/>
    <w:semiHidden/>
    <w:rsid w:val="00A83ED6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AR_rev</dc:creator>
  <cp:keywords/>
  <cp:lastModifiedBy>AR_rev</cp:lastModifiedBy>
  <cp:revision>2</cp:revision>
  <cp:lastPrinted>2004-11-19T15:42:00Z</cp:lastPrinted>
  <dcterms:created xsi:type="dcterms:W3CDTF">2026-04-30T13:21:00Z</dcterms:created>
  <dcterms:modified xsi:type="dcterms:W3CDTF">2026-04-30T13:21:00Z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B10-0217/2026</vt:lpwstr>
  </property>
  <property fmtid="{D5CDD505-2E9C-101B-9397-08002B2CF9AE}" pid="4" name="&lt;Type&gt;">
    <vt:lpwstr>RR</vt:lpwstr>
  </property>
</Properties>
</file>