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77D7A" w14:paraId="6FD5C70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53446FA" w14:textId="77777777" w:rsidR="00751A4A" w:rsidRPr="00E77D7A" w:rsidRDefault="00803363" w:rsidP="0010095E">
            <w:pPr>
              <w:pStyle w:val="EPName"/>
            </w:pPr>
            <w:r w:rsidRPr="00E77D7A">
              <w:t>Parlamento Europeu</w:t>
            </w:r>
          </w:p>
          <w:p w14:paraId="11939D78" w14:textId="77777777" w:rsidR="00751A4A" w:rsidRPr="00E77D7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77D7A">
              <w:t>2024</w:t>
            </w:r>
            <w:r w:rsidR="00817416" w:rsidRPr="00E77D7A">
              <w:t>-202</w:t>
            </w:r>
            <w:r w:rsidRPr="00E77D7A">
              <w:t>9</w:t>
            </w:r>
          </w:p>
        </w:tc>
        <w:tc>
          <w:tcPr>
            <w:tcW w:w="2268" w:type="dxa"/>
            <w:shd w:val="clear" w:color="auto" w:fill="auto"/>
          </w:tcPr>
          <w:p w14:paraId="670CC45B" w14:textId="77777777" w:rsidR="00751A4A" w:rsidRPr="00E77D7A" w:rsidRDefault="00187494" w:rsidP="0010095E">
            <w:pPr>
              <w:pStyle w:val="EPLogo"/>
            </w:pPr>
            <w:r w:rsidRPr="00E77D7A">
              <w:rPr>
                <w:noProof/>
                <w:lang w:eastAsia="ja-JP"/>
              </w:rPr>
              <w:drawing>
                <wp:inline distT="0" distB="0" distL="0" distR="0" wp14:anchorId="663D90BB" wp14:editId="62E63F5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7403313" w14:textId="77777777" w:rsidR="00D058B8" w:rsidRPr="00E77D7A" w:rsidRDefault="00D058B8" w:rsidP="004C5D52">
      <w:pPr>
        <w:pStyle w:val="LineTop"/>
      </w:pPr>
    </w:p>
    <w:p w14:paraId="74F44547" w14:textId="77777777" w:rsidR="00680577" w:rsidRPr="00E77D7A" w:rsidRDefault="00803363" w:rsidP="00680577">
      <w:pPr>
        <w:pStyle w:val="EPBodyTA1"/>
      </w:pPr>
      <w:r w:rsidRPr="00E77D7A">
        <w:t>TEXTOS APROVADOS</w:t>
      </w:r>
    </w:p>
    <w:p w14:paraId="5A12ABDA" w14:textId="77777777" w:rsidR="00D058B8" w:rsidRPr="00E77D7A" w:rsidRDefault="00D058B8" w:rsidP="00D058B8">
      <w:pPr>
        <w:pStyle w:val="LineBottom"/>
      </w:pPr>
    </w:p>
    <w:p w14:paraId="1957BC2A" w14:textId="7791FD3F" w:rsidR="00803363" w:rsidRPr="00E77D7A" w:rsidRDefault="00803363" w:rsidP="00803363">
      <w:pPr>
        <w:pStyle w:val="ATHeading1"/>
      </w:pPr>
      <w:bookmarkStart w:id="0" w:name="TANumber"/>
      <w:r w:rsidRPr="00E77D7A">
        <w:t>P10_TA(2026)0</w:t>
      </w:r>
      <w:r w:rsidR="00E77D7A" w:rsidRPr="00E77D7A">
        <w:t>153</w:t>
      </w:r>
      <w:bookmarkEnd w:id="0"/>
    </w:p>
    <w:p w14:paraId="55DA554C" w14:textId="77777777" w:rsidR="00803363" w:rsidRPr="00E77D7A" w:rsidRDefault="00803363" w:rsidP="00803363">
      <w:pPr>
        <w:pStyle w:val="ATHeading2"/>
      </w:pPr>
      <w:bookmarkStart w:id="1" w:name="title"/>
      <w:r w:rsidRPr="00E77D7A">
        <w:t>Lacunas e insuficiências da «lei de amnistia» na Venezuela</w:t>
      </w:r>
      <w:bookmarkEnd w:id="1"/>
    </w:p>
    <w:p w14:paraId="34072DBC" w14:textId="77777777" w:rsidR="00803363" w:rsidRPr="00E77D7A" w:rsidRDefault="00803363" w:rsidP="00803363">
      <w:pPr>
        <w:rPr>
          <w:i/>
          <w:vanish/>
        </w:rPr>
      </w:pPr>
      <w:r w:rsidRPr="00E77D7A">
        <w:rPr>
          <w:i/>
        </w:rPr>
        <w:fldChar w:fldCharType="begin"/>
      </w:r>
      <w:r w:rsidRPr="00E77D7A">
        <w:rPr>
          <w:i/>
        </w:rPr>
        <w:instrText xml:space="preserve"> TC"(</w:instrText>
      </w:r>
      <w:bookmarkStart w:id="2" w:name="DocNumber"/>
      <w:r w:rsidRPr="00E77D7A">
        <w:rPr>
          <w:i/>
        </w:rPr>
        <w:instrText>B10-0217, 0221 e 0231/2026</w:instrText>
      </w:r>
      <w:bookmarkEnd w:id="2"/>
      <w:r w:rsidRPr="00E77D7A">
        <w:rPr>
          <w:i/>
        </w:rPr>
        <w:instrText xml:space="preserve">)"\l3 \n&gt; \* MERGEFORMAT </w:instrText>
      </w:r>
      <w:r w:rsidRPr="00E77D7A">
        <w:rPr>
          <w:i/>
        </w:rPr>
        <w:fldChar w:fldCharType="end"/>
      </w:r>
    </w:p>
    <w:p w14:paraId="12725912" w14:textId="77777777" w:rsidR="00803363" w:rsidRPr="00E77D7A" w:rsidRDefault="00803363" w:rsidP="00803363">
      <w:pPr>
        <w:rPr>
          <w:vanish/>
        </w:rPr>
      </w:pPr>
      <w:bookmarkStart w:id="3" w:name="PE"/>
      <w:r w:rsidRPr="00E77D7A">
        <w:rPr>
          <w:vanish/>
        </w:rPr>
        <w:t>PE783.252</w:t>
      </w:r>
      <w:bookmarkEnd w:id="3"/>
    </w:p>
    <w:p w14:paraId="07B39537" w14:textId="0A515E8B" w:rsidR="00803363" w:rsidRPr="00E77D7A" w:rsidRDefault="00803363" w:rsidP="00803363">
      <w:pPr>
        <w:pStyle w:val="ATHeading3"/>
      </w:pPr>
      <w:bookmarkStart w:id="4" w:name="Sujet"/>
      <w:r w:rsidRPr="00E77D7A">
        <w:t xml:space="preserve">Resolução do Parlamento Europeu, de </w:t>
      </w:r>
      <w:r w:rsidR="00E11A63" w:rsidRPr="00E77D7A">
        <w:t>30</w:t>
      </w:r>
      <w:r w:rsidRPr="00E77D7A">
        <w:t xml:space="preserve"> de </w:t>
      </w:r>
      <w:r w:rsidR="00E11A63" w:rsidRPr="00E77D7A">
        <w:t>abril</w:t>
      </w:r>
      <w:r w:rsidRPr="00E77D7A">
        <w:t xml:space="preserve"> de 2026, sobre as lacunas e insuficiências da «lei da amnistia» na Venezuela</w:t>
      </w:r>
      <w:bookmarkEnd w:id="4"/>
      <w:r w:rsidRPr="00E77D7A">
        <w:t xml:space="preserve"> </w:t>
      </w:r>
      <w:bookmarkStart w:id="5" w:name="References"/>
      <w:r w:rsidRPr="00E77D7A">
        <w:t>(2026/2704(RSP))</w:t>
      </w:r>
      <w:bookmarkEnd w:id="5"/>
    </w:p>
    <w:p w14:paraId="3857F800" w14:textId="77777777" w:rsidR="00753B1E" w:rsidRPr="00E77D7A" w:rsidRDefault="00753B1E" w:rsidP="00753B1E">
      <w:pPr>
        <w:pStyle w:val="EPComma"/>
      </w:pPr>
      <w:bookmarkStart w:id="6" w:name="TextBodyBegin"/>
      <w:bookmarkEnd w:id="6"/>
      <w:r w:rsidRPr="00E77D7A">
        <w:rPr>
          <w:i/>
        </w:rPr>
        <w:t>O Parlamento Europeu</w:t>
      </w:r>
      <w:r w:rsidRPr="00E77D7A">
        <w:t>,</w:t>
      </w:r>
    </w:p>
    <w:p w14:paraId="21D1F79C" w14:textId="77777777" w:rsidR="00753B1E" w:rsidRPr="00E77D7A" w:rsidRDefault="00753B1E" w:rsidP="00753B1E">
      <w:pPr>
        <w:pStyle w:val="NormalHanging12a"/>
      </w:pPr>
      <w:r w:rsidRPr="00E77D7A">
        <w:t>–</w:t>
      </w:r>
      <w:r w:rsidRPr="00E77D7A">
        <w:tab/>
        <w:t>Tendo em conta as suas resoluções sobre a Venezuela,</w:t>
      </w:r>
    </w:p>
    <w:p w14:paraId="0F14ECD3" w14:textId="77777777" w:rsidR="00753B1E" w:rsidRPr="00E77D7A" w:rsidRDefault="00753B1E" w:rsidP="00753B1E">
      <w:pPr>
        <w:pStyle w:val="NormalHanging12a"/>
      </w:pPr>
      <w:r w:rsidRPr="00E77D7A">
        <w:t>–</w:t>
      </w:r>
      <w:r w:rsidRPr="00E77D7A">
        <w:tab/>
        <w:t>Tendo em conta o artigo 150.º, n.º 5, e o artigo 136.º, n.º 4, do seu Regimento,</w:t>
      </w:r>
    </w:p>
    <w:p w14:paraId="30CE0344" w14:textId="77777777" w:rsidR="00753B1E" w:rsidRPr="00E77D7A" w:rsidRDefault="00753B1E" w:rsidP="00753B1E">
      <w:pPr>
        <w:pStyle w:val="NormalHanging12a"/>
      </w:pPr>
      <w:r w:rsidRPr="00E77D7A">
        <w:t>A.</w:t>
      </w:r>
      <w:r w:rsidRPr="00E77D7A">
        <w:tab/>
        <w:t>Considerando que, em 3 de janeiro de 2026, os Estados Unidos realizaram uma intervenção militar que resultou na extração e no rapto de Nicolás Maduro;</w:t>
      </w:r>
    </w:p>
    <w:p w14:paraId="6A600C69" w14:textId="78DC8CC9" w:rsidR="00753B1E" w:rsidRPr="00E77D7A" w:rsidRDefault="00753B1E" w:rsidP="00753B1E">
      <w:pPr>
        <w:pStyle w:val="NormalHanging12a"/>
      </w:pPr>
      <w:r w:rsidRPr="00E77D7A">
        <w:t>B.</w:t>
      </w:r>
      <w:r w:rsidRPr="00E77D7A">
        <w:tab/>
        <w:t>Considerando que o regime venezuelano adotou a «Lei da Amnistia para a Coexistência Democrática» em fevereiro de 2026</w:t>
      </w:r>
      <w:r w:rsidR="00E11A63" w:rsidRPr="00E77D7A">
        <w:t>; considerando que</w:t>
      </w:r>
      <w:r w:rsidRPr="00E77D7A">
        <w:t xml:space="preserve"> esta lei, resultado de pressões estrangeiras e aprovada com a maior rapidez pela assembleia controlada pelo regime ilegítimo, funciona como uma medida de emergência limitada e pontual, insuficiente para restabelecer os direitos civis e políticos ou garantir a reconciliação nacional, tendo</w:t>
      </w:r>
      <w:r w:rsidRPr="00E77D7A">
        <w:noBreakHyphen/>
        <w:t>se tornado um instrumento adicional do aparelho repressivo do regime;</w:t>
      </w:r>
    </w:p>
    <w:p w14:paraId="01C907A4" w14:textId="4011F753" w:rsidR="00753B1E" w:rsidRPr="00E77D7A" w:rsidRDefault="00753B1E" w:rsidP="00753B1E">
      <w:pPr>
        <w:pStyle w:val="NormalHanging12a"/>
        <w:rPr>
          <w:bCs/>
        </w:rPr>
      </w:pPr>
      <w:r w:rsidRPr="00E77D7A">
        <w:t>C.</w:t>
      </w:r>
      <w:r w:rsidRPr="00E77D7A">
        <w:tab/>
        <w:t>Considerando que cerca de 470 presos políticos continuam detidos injustamente, incluindo militares, advogados, jornalistas, defensores dos direitos humanos, estrangeiros (alguns dos quais cidadãos da UE) e cidadãos comuns</w:t>
      </w:r>
      <w:bookmarkStart w:id="7" w:name="_Hlk228365378"/>
      <w:r w:rsidR="00E11A63" w:rsidRPr="00E77D7A">
        <w:t>; considerando que</w:t>
      </w:r>
      <w:r w:rsidRPr="00E77D7A">
        <w:t xml:space="preserve"> a lei se aplica a eventos políticos e crimes específicos, excluindo um grande número de detidos acusados de crimes infundados ou vagos, e não é aplicada automaticamente — obrigando à admissão de falsas acusações perante um sistema judicial controlado pelo regime, continuando os detidos a enfrentar condições restritivas, tais como prisão domiciliária e controlo judicial;</w:t>
      </w:r>
      <w:bookmarkEnd w:id="7"/>
    </w:p>
    <w:p w14:paraId="1836DCD9" w14:textId="77777777" w:rsidR="00753B1E" w:rsidRPr="00E77D7A" w:rsidRDefault="00753B1E" w:rsidP="00753B1E">
      <w:pPr>
        <w:pStyle w:val="NormalHanging12a"/>
      </w:pPr>
      <w:r w:rsidRPr="00E77D7A">
        <w:t>D.</w:t>
      </w:r>
      <w:r w:rsidRPr="00E77D7A">
        <w:tab/>
        <w:t>Considerando que a lei não elimina as sanções jurídicas e administrativas, tais como as proibições políticas ou as apreensões de bens, em particular para a oposição democrática no exílio a quem foi negado o direito de regresso, impedindo</w:t>
      </w:r>
      <w:r w:rsidRPr="00E77D7A">
        <w:noBreakHyphen/>
        <w:t>a de participar num futuro processo democrático;</w:t>
      </w:r>
    </w:p>
    <w:p w14:paraId="0BC32224" w14:textId="2987BA6E" w:rsidR="00753B1E" w:rsidRPr="00E77D7A" w:rsidRDefault="00753B1E" w:rsidP="00753B1E">
      <w:pPr>
        <w:pStyle w:val="NormalHanging12a"/>
      </w:pPr>
      <w:r w:rsidRPr="00E77D7A">
        <w:t>E.</w:t>
      </w:r>
      <w:r w:rsidRPr="00E77D7A">
        <w:tab/>
        <w:t>Considerando que, em 23 de abril</w:t>
      </w:r>
      <w:r w:rsidR="00071495">
        <w:t xml:space="preserve"> de 2026</w:t>
      </w:r>
      <w:r w:rsidRPr="00E77D7A">
        <w:t>, Delcy Rodríguez anunciou o fim da lei da amnistia, em violação da Constituição e da independência do poder judicial;</w:t>
      </w:r>
    </w:p>
    <w:p w14:paraId="58017720" w14:textId="77777777" w:rsidR="00753B1E" w:rsidRPr="00E77D7A" w:rsidRDefault="00753B1E" w:rsidP="00753B1E">
      <w:pPr>
        <w:pStyle w:val="NormalHanging12a"/>
        <w:rPr>
          <w:bCs/>
        </w:rPr>
      </w:pPr>
      <w:r w:rsidRPr="00E77D7A">
        <w:t>1.</w:t>
      </w:r>
      <w:r w:rsidRPr="00E77D7A">
        <w:tab/>
        <w:t xml:space="preserve">Lamenta que a «lei da amnistia» não tenha libertado incondicionalmente todos os presos políticos, uma vez que pelo menos 470 continuam injustamente detidos em condições </w:t>
      </w:r>
      <w:r w:rsidRPr="00E77D7A">
        <w:lastRenderedPageBreak/>
        <w:t>desumanas, e lamenta que a sua cessação prematura, âmbito limitado, falta de controlo independente e aplicação discriminatória não tenham proporcionado nenhuma base para a reconciliação política;</w:t>
      </w:r>
    </w:p>
    <w:p w14:paraId="4B43DB5E" w14:textId="77777777" w:rsidR="00753B1E" w:rsidRPr="00E77D7A" w:rsidRDefault="00753B1E" w:rsidP="00753B1E">
      <w:pPr>
        <w:pStyle w:val="NormalHanging12a"/>
      </w:pPr>
      <w:r w:rsidRPr="00E77D7A">
        <w:t>2.</w:t>
      </w:r>
      <w:r w:rsidRPr="00E77D7A">
        <w:tab/>
        <w:t>Apela à libertação total e incondicional de todas as pessoas detidas arbitrariamente por razões políticas; insiste em que todos recuperem plenamente os seus direitos civis e políticos; salienta que a lei da amnistia não deve, em circunstância alguma, ser aplicada para proteger os responsáveis por violações dos direitos humanos, que devem ser plenamente responsabilizados;</w:t>
      </w:r>
    </w:p>
    <w:p w14:paraId="05438FB3" w14:textId="77777777" w:rsidR="00753B1E" w:rsidRPr="00E77D7A" w:rsidRDefault="00753B1E" w:rsidP="00753B1E">
      <w:pPr>
        <w:pStyle w:val="NormalHanging12a"/>
        <w:rPr>
          <w:bCs/>
        </w:rPr>
      </w:pPr>
      <w:r w:rsidRPr="00E77D7A">
        <w:t>3.</w:t>
      </w:r>
      <w:r w:rsidRPr="00E77D7A">
        <w:tab/>
        <w:t>Exorta o regime a pôr imediatamente termo à repressão e a reformar as principais instituições judiciais, policiais e eleitorais, incluindo o encerramento de todas as instalações utilizadas para detenções arbitrárias, maus</w:t>
      </w:r>
      <w:r w:rsidRPr="00E77D7A">
        <w:noBreakHyphen/>
        <w:t>tratos e tortura; apela ao fim da perseguição política, ao levantamento incondicional de todas as restrições impostas aos presos políticos e à garantia de um regresso seguro sem represálias;</w:t>
      </w:r>
    </w:p>
    <w:p w14:paraId="0BEC84BF" w14:textId="77777777" w:rsidR="00753B1E" w:rsidRPr="00E77D7A" w:rsidRDefault="00753B1E" w:rsidP="00753B1E">
      <w:pPr>
        <w:pStyle w:val="NormalHanging12a"/>
      </w:pPr>
      <w:r w:rsidRPr="00E77D7A">
        <w:t>4.</w:t>
      </w:r>
      <w:r w:rsidRPr="00E77D7A">
        <w:tab/>
        <w:t>Recorda que, em todas as circunstâncias, o direito internacional, incluindo a Carta das Nações Unidas, tem de ser respeitado;</w:t>
      </w:r>
    </w:p>
    <w:p w14:paraId="0BAD4824" w14:textId="77777777" w:rsidR="00753B1E" w:rsidRPr="00E77D7A" w:rsidRDefault="00753B1E" w:rsidP="00753B1E">
      <w:pPr>
        <w:pStyle w:val="NormalHanging12a"/>
      </w:pPr>
      <w:r w:rsidRPr="00E77D7A">
        <w:t>5.</w:t>
      </w:r>
      <w:r w:rsidRPr="00E77D7A">
        <w:tab/>
        <w:t>Reitera firmemente que, enquanto não forem tomadas medidas significativas no sentido de uma transição pacífica para a democracia liderada pela Venezuela, que respeite a sua soberania, incluindo a libertação incondicional de todos os presos políticos, a retirada e anulação de todas as acusações com motivações políticas contra a oposição democrática ao regime e o estabelecimento de um roteiro credível para a realização de eleições livres e justas, o Conselho não deve levantar nenhumas sanções impostas aos responsáveis por violações dos direitos humanos; insta a UE a fazer tudo o que estiver ao seu alcance para alcançar estes resultados;</w:t>
      </w:r>
    </w:p>
    <w:p w14:paraId="138A90FD" w14:textId="4DF464DE" w:rsidR="00E365E1" w:rsidRPr="00E77D7A" w:rsidRDefault="00753B1E" w:rsidP="00E77D7A">
      <w:pPr>
        <w:pStyle w:val="NormalHanging12a"/>
      </w:pPr>
      <w:r w:rsidRPr="00E77D7A">
        <w:t>6.</w:t>
      </w:r>
      <w:r w:rsidRPr="00E77D7A">
        <w:tab/>
        <w:t>Encarrega a sua Presidente de transmitir a presente resolução ao Conselho, à Comissão e à VP/HR.</w:t>
      </w:r>
    </w:p>
    <w:sectPr w:rsidR="00E365E1" w:rsidRPr="00E77D7A" w:rsidSect="00FF5A8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B9294" w14:textId="77777777" w:rsidR="00803363" w:rsidRPr="00FF5A80" w:rsidRDefault="00803363">
      <w:r w:rsidRPr="00FF5A80">
        <w:separator/>
      </w:r>
    </w:p>
  </w:endnote>
  <w:endnote w:type="continuationSeparator" w:id="0">
    <w:p w14:paraId="3DBAE62D" w14:textId="77777777" w:rsidR="00803363" w:rsidRPr="00FF5A80" w:rsidRDefault="00803363">
      <w:r w:rsidRPr="00FF5A8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4D30C" w14:textId="77777777" w:rsidR="00064002" w:rsidRPr="00FF5A8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278B8" w14:textId="77777777" w:rsidR="00064002" w:rsidRPr="00FF5A8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54C96" w14:textId="77777777" w:rsidR="00064002" w:rsidRPr="00FF5A8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C54699" w14:textId="77777777" w:rsidR="00803363" w:rsidRPr="00FF5A80" w:rsidRDefault="00803363">
      <w:r w:rsidRPr="00FF5A80">
        <w:separator/>
      </w:r>
    </w:p>
  </w:footnote>
  <w:footnote w:type="continuationSeparator" w:id="0">
    <w:p w14:paraId="49E8F619" w14:textId="77777777" w:rsidR="00803363" w:rsidRPr="00FF5A80" w:rsidRDefault="00803363">
      <w:r w:rsidRPr="00FF5A8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AD31F" w14:textId="77777777" w:rsidR="00064002" w:rsidRPr="00FF5A8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E1536" w14:textId="77777777" w:rsidR="00064002" w:rsidRPr="00FF5A8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43CDD" w14:textId="77777777" w:rsidR="00064002" w:rsidRPr="00FF5A8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4867307">
    <w:abstractNumId w:val="9"/>
  </w:num>
  <w:num w:numId="2" w16cid:durableId="140006837">
    <w:abstractNumId w:val="9"/>
  </w:num>
  <w:num w:numId="3" w16cid:durableId="96145920">
    <w:abstractNumId w:val="7"/>
  </w:num>
  <w:num w:numId="4" w16cid:durableId="864367757">
    <w:abstractNumId w:val="7"/>
  </w:num>
  <w:num w:numId="5" w16cid:durableId="1364092260">
    <w:abstractNumId w:val="6"/>
  </w:num>
  <w:num w:numId="6" w16cid:durableId="2038500371">
    <w:abstractNumId w:val="6"/>
  </w:num>
  <w:num w:numId="7" w16cid:durableId="177698502">
    <w:abstractNumId w:val="5"/>
  </w:num>
  <w:num w:numId="8" w16cid:durableId="1197812434">
    <w:abstractNumId w:val="5"/>
  </w:num>
  <w:num w:numId="9" w16cid:durableId="1291590924">
    <w:abstractNumId w:val="4"/>
  </w:num>
  <w:num w:numId="10" w16cid:durableId="97338205">
    <w:abstractNumId w:val="4"/>
  </w:num>
  <w:num w:numId="11" w16cid:durableId="2091197293">
    <w:abstractNumId w:val="8"/>
  </w:num>
  <w:num w:numId="12" w16cid:durableId="1502358227">
    <w:abstractNumId w:val="8"/>
  </w:num>
  <w:num w:numId="13" w16cid:durableId="2019844336">
    <w:abstractNumId w:val="3"/>
  </w:num>
  <w:num w:numId="14" w16cid:durableId="61409201">
    <w:abstractNumId w:val="3"/>
  </w:num>
  <w:num w:numId="15" w16cid:durableId="1262952430">
    <w:abstractNumId w:val="2"/>
  </w:num>
  <w:num w:numId="16" w16cid:durableId="1184590017">
    <w:abstractNumId w:val="2"/>
  </w:num>
  <w:num w:numId="17" w16cid:durableId="2019623450">
    <w:abstractNumId w:val="1"/>
  </w:num>
  <w:num w:numId="18" w16cid:durableId="34670451">
    <w:abstractNumId w:val="1"/>
  </w:num>
  <w:num w:numId="19" w16cid:durableId="1366519557">
    <w:abstractNumId w:val="0"/>
  </w:num>
  <w:num w:numId="20" w16cid:durableId="1753114019">
    <w:abstractNumId w:val="0"/>
  </w:num>
  <w:num w:numId="21" w16cid:durableId="1117027075">
    <w:abstractNumId w:val="9"/>
  </w:num>
  <w:num w:numId="22" w16cid:durableId="244459525">
    <w:abstractNumId w:val="7"/>
  </w:num>
  <w:num w:numId="23" w16cid:durableId="958609225">
    <w:abstractNumId w:val="6"/>
  </w:num>
  <w:num w:numId="24" w16cid:durableId="286742352">
    <w:abstractNumId w:val="5"/>
  </w:num>
  <w:num w:numId="25" w16cid:durableId="528766059">
    <w:abstractNumId w:val="4"/>
  </w:num>
  <w:num w:numId="26" w16cid:durableId="1730959804">
    <w:abstractNumId w:val="8"/>
  </w:num>
  <w:num w:numId="27" w16cid:durableId="68230729">
    <w:abstractNumId w:val="3"/>
  </w:num>
  <w:num w:numId="28" w16cid:durableId="208810833">
    <w:abstractNumId w:val="2"/>
  </w:num>
  <w:num w:numId="29" w16cid:durableId="1775396585">
    <w:abstractNumId w:val="1"/>
  </w:num>
  <w:num w:numId="30" w16cid:durableId="1739665382">
    <w:abstractNumId w:val="0"/>
  </w:num>
  <w:num w:numId="31" w16cid:durableId="796028762">
    <w:abstractNumId w:val="9"/>
  </w:num>
  <w:num w:numId="32" w16cid:durableId="1488519346">
    <w:abstractNumId w:val="7"/>
  </w:num>
  <w:num w:numId="33" w16cid:durableId="217279335">
    <w:abstractNumId w:val="6"/>
  </w:num>
  <w:num w:numId="34" w16cid:durableId="568805256">
    <w:abstractNumId w:val="5"/>
  </w:num>
  <w:num w:numId="35" w16cid:durableId="1207369906">
    <w:abstractNumId w:val="4"/>
  </w:num>
  <w:num w:numId="36" w16cid:durableId="1774208869">
    <w:abstractNumId w:val="8"/>
  </w:num>
  <w:num w:numId="37" w16cid:durableId="130289121">
    <w:abstractNumId w:val="3"/>
  </w:num>
  <w:num w:numId="38" w16cid:durableId="4598848">
    <w:abstractNumId w:val="2"/>
  </w:num>
  <w:num w:numId="39" w16cid:durableId="73868303">
    <w:abstractNumId w:val="1"/>
  </w:num>
  <w:num w:numId="40" w16cid:durableId="968320878">
    <w:abstractNumId w:val="0"/>
  </w:num>
  <w:num w:numId="41" w16cid:durableId="119226698">
    <w:abstractNumId w:val="10"/>
  </w:num>
  <w:num w:numId="42" w16cid:durableId="807473270">
    <w:abstractNumId w:val="10"/>
  </w:num>
  <w:num w:numId="43" w16cid:durableId="1255241411">
    <w:abstractNumId w:val="10"/>
  </w:num>
  <w:num w:numId="44" w16cid:durableId="64003675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217, 0221 e 0231/2026"/>
    <w:docVar w:name="dvlangue" w:val="PT"/>
    <w:docVar w:name="dvnumam" w:val="0"/>
    <w:docVar w:name="dvpe" w:val="783.252"/>
    <w:docVar w:name="dvtitre" w:val="Resolução do Parlamento Europeu, de ... de ... de 2026,_x000d__x000a_ sobre as lacunas e insuficiências da «lei da amnistia» na Venezuela(2026/2704(RSP))"/>
  </w:docVars>
  <w:rsids>
    <w:rsidRoot w:val="00803363"/>
    <w:rsid w:val="00002272"/>
    <w:rsid w:val="00064002"/>
    <w:rsid w:val="000677B9"/>
    <w:rsid w:val="00071495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5F5868"/>
    <w:rsid w:val="005F734C"/>
    <w:rsid w:val="006037C0"/>
    <w:rsid w:val="006631B6"/>
    <w:rsid w:val="00680577"/>
    <w:rsid w:val="006F74FA"/>
    <w:rsid w:val="00731ADD"/>
    <w:rsid w:val="00734777"/>
    <w:rsid w:val="00747932"/>
    <w:rsid w:val="00751A4A"/>
    <w:rsid w:val="00753B1E"/>
    <w:rsid w:val="00756632"/>
    <w:rsid w:val="00762C74"/>
    <w:rsid w:val="00786EC0"/>
    <w:rsid w:val="007D1690"/>
    <w:rsid w:val="007E22AD"/>
    <w:rsid w:val="00803363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1F28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11A63"/>
    <w:rsid w:val="00E365E1"/>
    <w:rsid w:val="00E77D7A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2508"/>
    <w:rsid w:val="00FF5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5CCEC8"/>
  <w15:chartTrackingRefBased/>
  <w15:docId w15:val="{872D4C94-828D-4E72-8389-66F7CA97B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753B1E"/>
    <w:pPr>
      <w:spacing w:after="240"/>
      <w:ind w:left="567" w:hanging="567"/>
    </w:pPr>
  </w:style>
  <w:style w:type="paragraph" w:customStyle="1" w:styleId="EPComma">
    <w:name w:val="EPComma"/>
    <w:basedOn w:val="Normal"/>
    <w:rsid w:val="00753B1E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753B1E"/>
    <w:rPr>
      <w:sz w:val="24"/>
      <w:lang w:val="pt-PT"/>
    </w:rPr>
  </w:style>
  <w:style w:type="paragraph" w:styleId="Revision">
    <w:name w:val="Revision"/>
    <w:hidden/>
    <w:uiPriority w:val="99"/>
    <w:semiHidden/>
    <w:rsid w:val="00E11A63"/>
    <w:rPr>
      <w:sz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624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Teresa_RELEC</dc:creator>
  <cp:keywords/>
  <cp:lastModifiedBy>CAMPS Beatriz</cp:lastModifiedBy>
  <cp:revision>3</cp:revision>
  <cp:lastPrinted>2004-11-19T15:42:00Z</cp:lastPrinted>
  <dcterms:created xsi:type="dcterms:W3CDTF">2026-04-30T10:46:00Z</dcterms:created>
  <dcterms:modified xsi:type="dcterms:W3CDTF">2026-06-03T14:09:00Z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B10-0217, 0221 e 0231/2026</vt:lpwstr>
  </property>
  <property fmtid="{D5CDD505-2E9C-101B-9397-08002B2CF9AE}" pid="4" name="&lt;Type&gt;">
    <vt:lpwstr>RR</vt:lpwstr>
  </property>
</Properties>
</file>