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2E31" w14:paraId="5AA249E7" w14:textId="77777777" w:rsidTr="0010095E">
        <w:trPr>
          <w:trHeight w:hRule="exact" w:val="1418"/>
        </w:trPr>
        <w:tc>
          <w:tcPr>
            <w:tcW w:w="6804" w:type="dxa"/>
            <w:shd w:val="clear" w:color="auto" w:fill="auto"/>
            <w:vAlign w:val="center"/>
          </w:tcPr>
          <w:p w14:paraId="418E0EF8" w14:textId="6705AC4A" w:rsidR="00751A4A" w:rsidRPr="002D2E31" w:rsidRDefault="00AF2943" w:rsidP="0010095E">
            <w:pPr>
              <w:pStyle w:val="EPName"/>
            </w:pPr>
            <w:r w:rsidRPr="002D2E31">
              <w:t>Европейски</w:t>
            </w:r>
            <w:r w:rsidR="00B764AB" w:rsidRPr="002D2E31">
              <w:t xml:space="preserve"> парламент</w:t>
            </w:r>
          </w:p>
          <w:p w14:paraId="01E11BBC" w14:textId="24DD6415" w:rsidR="00751A4A" w:rsidRPr="002D2E31" w:rsidRDefault="005F1B17" w:rsidP="00AF2943">
            <w:pPr>
              <w:rPr>
                <w:rStyle w:val="HideTWBExt"/>
                <w:noProof w:val="0"/>
                <w:vanish w:val="0"/>
                <w:color w:val="auto"/>
              </w:rPr>
            </w:pPr>
            <w:r w:rsidRPr="002D2E31">
              <w:t>2024</w:t>
            </w:r>
            <w:r w:rsidR="00AF2943">
              <w:rPr>
                <w:lang w:val="en-GB"/>
              </w:rPr>
              <w:t> – </w:t>
            </w:r>
            <w:r w:rsidR="00817416" w:rsidRPr="002D2E31">
              <w:t>202</w:t>
            </w:r>
            <w:r w:rsidRPr="002D2E31">
              <w:t>9</w:t>
            </w:r>
          </w:p>
        </w:tc>
        <w:tc>
          <w:tcPr>
            <w:tcW w:w="2268" w:type="dxa"/>
            <w:shd w:val="clear" w:color="auto" w:fill="auto"/>
          </w:tcPr>
          <w:p w14:paraId="33F1B465" w14:textId="77777777" w:rsidR="00751A4A" w:rsidRPr="002D2E31" w:rsidRDefault="00187494" w:rsidP="0010095E">
            <w:pPr>
              <w:pStyle w:val="EPLogo"/>
            </w:pPr>
            <w:r w:rsidRPr="002D2E31">
              <w:rPr>
                <w:noProof/>
                <w:lang w:eastAsia="ja-JP"/>
              </w:rPr>
              <w:drawing>
                <wp:inline distT="0" distB="0" distL="0" distR="0" wp14:anchorId="1BA08B0F" wp14:editId="790373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FA1124" w14:textId="77777777" w:rsidR="00D058B8" w:rsidRPr="002D2E31" w:rsidRDefault="00D058B8" w:rsidP="004C5D52">
      <w:pPr>
        <w:pStyle w:val="LineTop"/>
      </w:pPr>
    </w:p>
    <w:p w14:paraId="7A704CF8" w14:textId="77777777" w:rsidR="00680577" w:rsidRPr="002D2E31" w:rsidRDefault="00B764AB" w:rsidP="00680577">
      <w:pPr>
        <w:pStyle w:val="EPBodyTA1"/>
      </w:pPr>
      <w:r w:rsidRPr="002D2E31">
        <w:t>ПРИЕТИ ТЕКСТОВЕ</w:t>
      </w:r>
    </w:p>
    <w:p w14:paraId="4145BD74" w14:textId="77777777" w:rsidR="00D058B8" w:rsidRPr="002D2E31" w:rsidRDefault="00D058B8" w:rsidP="00D058B8">
      <w:pPr>
        <w:pStyle w:val="LineBottom"/>
      </w:pPr>
    </w:p>
    <w:p w14:paraId="2B81F29E" w14:textId="30938633" w:rsidR="00B764AB" w:rsidRPr="002D2E31" w:rsidRDefault="00B764AB" w:rsidP="00B764AB">
      <w:pPr>
        <w:pStyle w:val="ATHeading1"/>
      </w:pPr>
      <w:bookmarkStart w:id="0" w:name="TANumber"/>
      <w:r w:rsidRPr="002D2E31">
        <w:t>P10_TA(2026)0</w:t>
      </w:r>
      <w:r w:rsidR="00035C52">
        <w:t>155</w:t>
      </w:r>
      <w:bookmarkEnd w:id="0"/>
    </w:p>
    <w:p w14:paraId="33456B52" w14:textId="77777777" w:rsidR="00B764AB" w:rsidRPr="002D2E31" w:rsidRDefault="00B764AB" w:rsidP="00B764AB">
      <w:pPr>
        <w:pStyle w:val="ATHeading2"/>
      </w:pPr>
      <w:bookmarkStart w:id="1" w:name="title"/>
      <w:r w:rsidRPr="002D2E31">
        <w:t>Бюджетна прогноза за приходите и разходите за финансовата 2027 година – Раздел I  Европейски парламент</w:t>
      </w:r>
      <w:bookmarkEnd w:id="1"/>
    </w:p>
    <w:p w14:paraId="0932ED0D" w14:textId="77777777" w:rsidR="00B764AB" w:rsidRPr="002D2E31" w:rsidRDefault="00B764AB" w:rsidP="00B764AB">
      <w:pPr>
        <w:rPr>
          <w:i/>
          <w:vanish/>
        </w:rPr>
      </w:pPr>
      <w:r w:rsidRPr="002D2E31">
        <w:rPr>
          <w:i/>
        </w:rPr>
        <w:fldChar w:fldCharType="begin"/>
      </w:r>
      <w:r w:rsidRPr="002D2E31">
        <w:rPr>
          <w:i/>
        </w:rPr>
        <w:instrText xml:space="preserve"> TC"(</w:instrText>
      </w:r>
      <w:bookmarkStart w:id="2" w:name="DocNumber"/>
      <w:r w:rsidRPr="002D2E31">
        <w:rPr>
          <w:i/>
        </w:rPr>
        <w:instrText>A10-0124/2026</w:instrText>
      </w:r>
      <w:bookmarkEnd w:id="2"/>
      <w:r w:rsidRPr="002D2E31">
        <w:rPr>
          <w:i/>
        </w:rPr>
        <w:instrText xml:space="preserve"> - Докладчик: Михалис Хаджипандела)"\l3 \n&gt; \* MERGEFORMAT </w:instrText>
      </w:r>
      <w:r w:rsidRPr="002D2E31">
        <w:rPr>
          <w:i/>
        </w:rPr>
        <w:fldChar w:fldCharType="end"/>
      </w:r>
    </w:p>
    <w:p w14:paraId="01BCD169" w14:textId="77777777" w:rsidR="00B764AB" w:rsidRPr="002D2E31" w:rsidRDefault="00B764AB" w:rsidP="00B764AB">
      <w:pPr>
        <w:rPr>
          <w:vanish/>
        </w:rPr>
      </w:pPr>
      <w:bookmarkStart w:id="3" w:name="Commission"/>
      <w:r w:rsidRPr="002D2E31">
        <w:rPr>
          <w:vanish/>
        </w:rPr>
        <w:t>Комисия по бюджети</w:t>
      </w:r>
      <w:bookmarkEnd w:id="3"/>
    </w:p>
    <w:p w14:paraId="43BA59C6" w14:textId="77777777" w:rsidR="00B764AB" w:rsidRPr="002D2E31" w:rsidRDefault="00B764AB" w:rsidP="00B764AB">
      <w:pPr>
        <w:rPr>
          <w:vanish/>
        </w:rPr>
      </w:pPr>
      <w:bookmarkStart w:id="4" w:name="PE"/>
      <w:r w:rsidRPr="002D2E31">
        <w:rPr>
          <w:vanish/>
        </w:rPr>
        <w:t>PE785.303</w:t>
      </w:r>
      <w:bookmarkEnd w:id="4"/>
    </w:p>
    <w:p w14:paraId="5F12D659" w14:textId="5E6D73E9" w:rsidR="00B764AB" w:rsidRPr="002D2E31" w:rsidRDefault="00B764AB" w:rsidP="00B764AB">
      <w:pPr>
        <w:pStyle w:val="ATHeading3"/>
      </w:pPr>
      <w:bookmarkStart w:id="5" w:name="Sujet"/>
      <w:r w:rsidRPr="002D2E31">
        <w:t xml:space="preserve">Резолюция на Европейския парламент от </w:t>
      </w:r>
      <w:r w:rsidR="00AF2943">
        <w:rPr>
          <w:lang w:val="en-GB"/>
        </w:rPr>
        <w:t xml:space="preserve">30 </w:t>
      </w:r>
      <w:r w:rsidR="00AF2943">
        <w:t>април</w:t>
      </w:r>
      <w:r w:rsidRPr="002D2E31">
        <w:t xml:space="preserve"> 2026 г. относно бюджетната прогноза за приходите и разходите на Европейския парламент за финансовата 2027 година</w:t>
      </w:r>
      <w:bookmarkEnd w:id="5"/>
      <w:r w:rsidRPr="002D2E31">
        <w:t xml:space="preserve"> </w:t>
      </w:r>
      <w:bookmarkStart w:id="6" w:name="References"/>
      <w:r w:rsidRPr="002D2E31">
        <w:t>(2025/2247(BUI))</w:t>
      </w:r>
      <w:bookmarkEnd w:id="6"/>
    </w:p>
    <w:p w14:paraId="51805AFB" w14:textId="77777777" w:rsidR="007C1253" w:rsidRPr="002D2E31" w:rsidRDefault="007C1253" w:rsidP="007C1253">
      <w:pPr>
        <w:pStyle w:val="Institutionquiagit"/>
        <w:spacing w:before="480"/>
        <w:rPr>
          <w:i w:val="0"/>
        </w:rPr>
      </w:pPr>
      <w:bookmarkStart w:id="7" w:name="TextBodyBegin"/>
      <w:bookmarkEnd w:id="7"/>
      <w:r w:rsidRPr="002D2E31">
        <w:t>Европейският парламент</w:t>
      </w:r>
      <w:r w:rsidRPr="002D2E31">
        <w:rPr>
          <w:i w:val="0"/>
        </w:rPr>
        <w:t>,</w:t>
      </w:r>
    </w:p>
    <w:p w14:paraId="442F2CC5" w14:textId="77777777" w:rsidR="007C1253" w:rsidRPr="002D2E31" w:rsidRDefault="007C1253" w:rsidP="007C1253">
      <w:pPr>
        <w:pStyle w:val="Action"/>
        <w:tabs>
          <w:tab w:val="clear" w:pos="357"/>
        </w:tabs>
        <w:spacing w:after="120"/>
        <w:ind w:left="567" w:hanging="567"/>
        <w:outlineLvl w:val="0"/>
      </w:pPr>
      <w:r w:rsidRPr="002D2E31">
        <w:t>–</w:t>
      </w:r>
      <w:r w:rsidRPr="002D2E31">
        <w:tab/>
        <w:t>като взе предвид член 314 от Договора за функционирането на Европейския съюз,</w:t>
      </w:r>
    </w:p>
    <w:p w14:paraId="60D55662" w14:textId="77777777" w:rsidR="007C1253" w:rsidRPr="002D2E31" w:rsidRDefault="007C1253" w:rsidP="007C1253">
      <w:pPr>
        <w:widowControl/>
        <w:spacing w:after="240"/>
        <w:ind w:left="567" w:hanging="567"/>
        <w:rPr>
          <w:color w:val="000000"/>
        </w:rPr>
      </w:pPr>
      <w:r w:rsidRPr="002D2E31">
        <w:rPr>
          <w:color w:val="000000"/>
        </w:rPr>
        <w:t>–</w:t>
      </w:r>
      <w:r w:rsidRPr="002D2E31">
        <w:rPr>
          <w:color w:val="000000"/>
        </w:rPr>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 (преработен текст)</w:t>
      </w:r>
      <w:r w:rsidRPr="002D2E31">
        <w:rPr>
          <w:color w:val="000000"/>
          <w:vertAlign w:val="superscript"/>
        </w:rPr>
        <w:footnoteReference w:id="1"/>
      </w:r>
      <w:r w:rsidRPr="002D2E31">
        <w:rPr>
          <w:color w:val="000000"/>
        </w:rPr>
        <w:t xml:space="preserve"> („Финансовия регламент“),</w:t>
      </w:r>
    </w:p>
    <w:p w14:paraId="735FDF1D" w14:textId="77777777" w:rsidR="007C1253" w:rsidRPr="002D2E31" w:rsidRDefault="007C1253" w:rsidP="007C1253">
      <w:pPr>
        <w:spacing w:after="240"/>
        <w:ind w:left="567" w:hanging="567"/>
        <w:rPr>
          <w:color w:val="000000"/>
        </w:rPr>
      </w:pPr>
      <w:r w:rsidRPr="002D2E31">
        <w:rPr>
          <w:color w:val="000000"/>
        </w:rPr>
        <w:t>–</w:t>
      </w:r>
      <w:r w:rsidRPr="002D2E31">
        <w:rPr>
          <w:color w:val="000000"/>
        </w:rPr>
        <w:tab/>
        <w:t xml:space="preserve">като взе предвид Регламент (ЕС, Евратом) 2020/2093 на Съвета от 17 декември 2020 г. за определяне на </w:t>
      </w:r>
      <w:sdt>
        <w:sdtPr>
          <w:tag w:val="goog_rdk_0"/>
          <w:id w:val="399490220"/>
        </w:sdtPr>
        <w:sdtEndPr/>
        <w:sdtContent/>
      </w:sdt>
      <w:sdt>
        <w:sdtPr>
          <w:tag w:val="goog_rdk_1"/>
          <w:id w:val="-2088213729"/>
        </w:sdtPr>
        <w:sdtEndPr/>
        <w:sdtContent/>
      </w:sdt>
      <w:r w:rsidRPr="002D2E31">
        <w:rPr>
          <w:color w:val="000000"/>
        </w:rPr>
        <w:t>многогодишната финансова рамка за годините 2021—2027</w:t>
      </w:r>
      <w:r w:rsidRPr="002D2E31">
        <w:rPr>
          <w:color w:val="000000"/>
          <w:vertAlign w:val="superscript"/>
        </w:rPr>
        <w:footnoteReference w:id="2"/>
      </w:r>
      <w:r w:rsidRPr="002D2E31">
        <w:rPr>
          <w:color w:val="000000"/>
        </w:rPr>
        <w:t xml:space="preserve"> и съвместната декларация, договорена между Парламента, Съвета и Комисията във връзка с това</w:t>
      </w:r>
      <w:r w:rsidRPr="002D2E31">
        <w:rPr>
          <w:color w:val="000000"/>
          <w:vertAlign w:val="superscript"/>
        </w:rPr>
        <w:footnoteReference w:id="3"/>
      </w:r>
      <w:r w:rsidRPr="002D2E31">
        <w:rPr>
          <w:color w:val="000000"/>
        </w:rPr>
        <w:t>, както и съответните едностранни декларации</w:t>
      </w:r>
      <w:r w:rsidRPr="002D2E31">
        <w:rPr>
          <w:color w:val="000000"/>
          <w:vertAlign w:val="superscript"/>
        </w:rPr>
        <w:footnoteReference w:id="4"/>
      </w:r>
      <w:r w:rsidRPr="002D2E31">
        <w:rPr>
          <w:color w:val="000000"/>
        </w:rPr>
        <w:t>,</w:t>
      </w:r>
    </w:p>
    <w:p w14:paraId="3FFF62DB" w14:textId="77777777" w:rsidR="007C1253" w:rsidRPr="002D2E31" w:rsidRDefault="007C1253" w:rsidP="007C1253">
      <w:pPr>
        <w:spacing w:after="240"/>
        <w:ind w:left="567" w:hanging="567"/>
        <w:rPr>
          <w:color w:val="000000" w:themeColor="text1"/>
        </w:rPr>
      </w:pPr>
      <w:r w:rsidRPr="002D2E31">
        <w:rPr>
          <w:color w:val="000000"/>
        </w:rPr>
        <w:t>–</w:t>
      </w:r>
      <w:r w:rsidRPr="002D2E31">
        <w:rPr>
          <w:color w:val="000000"/>
        </w:rPr>
        <w:tab/>
        <w:t>като взе предвид Регламент (ЕС, Евратом) 2022/2496 на Съвета от 15 декември 2022 г. за изменение на Регламент (ЕС, Евратом) 2020/2093 за определяне на многогодишната финансова рамка за годините 2021—2027</w:t>
      </w:r>
      <w:r w:rsidRPr="002D2E31">
        <w:rPr>
          <w:color w:val="000000"/>
          <w:vertAlign w:val="superscript"/>
        </w:rPr>
        <w:footnoteReference w:id="5"/>
      </w:r>
      <w:r w:rsidRPr="002D2E31">
        <w:rPr>
          <w:color w:val="000000"/>
        </w:rPr>
        <w:t>,</w:t>
      </w:r>
    </w:p>
    <w:p w14:paraId="43804732" w14:textId="77777777" w:rsidR="007C1253" w:rsidRPr="002D2E31" w:rsidRDefault="007C1253" w:rsidP="007C1253">
      <w:pPr>
        <w:spacing w:after="240"/>
        <w:ind w:left="567" w:hanging="567"/>
      </w:pPr>
      <w:r w:rsidRPr="002D2E31">
        <w:t>–</w:t>
      </w:r>
      <w:r w:rsidRPr="002D2E31">
        <w:tab/>
      </w:r>
      <w:r w:rsidRPr="002D2E31">
        <w:rPr>
          <w:color w:val="000000"/>
        </w:rPr>
        <w:t>като взе предвид Регламент (ЕС, Евратом) 2024/765 на Съвета за изменение на Регламент (ЕС, Евратом) 2020/2093 за определяне на многогодишната финансова рамка за годините 2021—2027</w:t>
      </w:r>
      <w:r w:rsidRPr="002D2E31">
        <w:rPr>
          <w:rStyle w:val="FootnoteReference"/>
          <w:color w:val="000000"/>
        </w:rPr>
        <w:footnoteReference w:id="6"/>
      </w:r>
      <w:r w:rsidRPr="002D2E31">
        <w:rPr>
          <w:color w:val="000000"/>
        </w:rPr>
        <w:t xml:space="preserve"> („преразглеждане на МФР“),</w:t>
      </w:r>
    </w:p>
    <w:p w14:paraId="2B3828A0" w14:textId="77777777" w:rsidR="007C1253" w:rsidRPr="002D2E31" w:rsidRDefault="007C1253" w:rsidP="007C1253">
      <w:pPr>
        <w:spacing w:after="240"/>
        <w:ind w:left="567" w:hanging="567"/>
        <w:rPr>
          <w:color w:val="000000"/>
        </w:rPr>
      </w:pPr>
      <w:r w:rsidRPr="002D2E31">
        <w:rPr>
          <w:color w:val="000000"/>
        </w:rPr>
        <w:t>–</w:t>
      </w:r>
      <w:r w:rsidRPr="002D2E31">
        <w:rPr>
          <w:color w:val="000000"/>
        </w:rPr>
        <w:tab/>
        <w:t xml:space="preserve">като взе предвид Междуинституционалното споразумение от 16 декември 2020 г. между Европейския парламент, Съвета на Европейския съюз и Европейската </w:t>
      </w:r>
      <w:r w:rsidRPr="002D2E31">
        <w:rPr>
          <w:color w:val="000000"/>
        </w:rPr>
        <w:lastRenderedPageBreak/>
        <w:t>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2D2E31">
        <w:rPr>
          <w:color w:val="000000"/>
          <w:vertAlign w:val="superscript"/>
        </w:rPr>
        <w:footnoteReference w:id="7"/>
      </w:r>
      <w:r w:rsidRPr="002D2E31">
        <w:rPr>
          <w:color w:val="000000"/>
        </w:rPr>
        <w:t>,</w:t>
      </w:r>
    </w:p>
    <w:p w14:paraId="247B4556" w14:textId="77777777" w:rsidR="007C1253" w:rsidRPr="002D2E31" w:rsidRDefault="007C1253" w:rsidP="007C1253">
      <w:pPr>
        <w:spacing w:after="240"/>
        <w:ind w:left="567" w:hanging="567"/>
      </w:pPr>
      <w:r w:rsidRPr="002D2E31">
        <w:t>–</w:t>
      </w:r>
      <w:r w:rsidRPr="002D2E31">
        <w:tab/>
        <w:t>като взе предвид своята законодателна резолюция от 16 декември 2020 г. относно проекта за регламент на Съвета за определяне на многогодишната финансова рамка за годините 2021—2027</w:t>
      </w:r>
      <w:r w:rsidRPr="002D2E31">
        <w:rPr>
          <w:vertAlign w:val="superscript"/>
        </w:rPr>
        <w:footnoteReference w:id="8"/>
      </w:r>
      <w:r w:rsidRPr="002D2E31">
        <w:t>,</w:t>
      </w:r>
    </w:p>
    <w:p w14:paraId="281FCB76" w14:textId="77777777" w:rsidR="007C1253" w:rsidRPr="002D2E31" w:rsidRDefault="007C1253" w:rsidP="007C1253">
      <w:pPr>
        <w:spacing w:after="240"/>
        <w:ind w:left="567" w:hanging="567"/>
        <w:rPr>
          <w:color w:val="000000"/>
        </w:rPr>
      </w:pPr>
      <w:r w:rsidRPr="002D2E31">
        <w:rPr>
          <w:color w:val="000000"/>
        </w:rPr>
        <w:t>–</w:t>
      </w:r>
      <w:r w:rsidRPr="002D2E31">
        <w:rPr>
          <w:color w:val="000000"/>
        </w:rPr>
        <w:tab/>
        <w:t>като взе предвид своята резолюция от 15 декември 2022 г. относно подобряването на многогодишната финансова рамка за периода 2021—2027 г.: устойчив бюджет на ЕС, адаптиран към новите предизвикателства</w:t>
      </w:r>
      <w:r w:rsidRPr="002D2E31">
        <w:rPr>
          <w:color w:val="000000"/>
          <w:vertAlign w:val="superscript"/>
        </w:rPr>
        <w:footnoteReference w:id="9"/>
      </w:r>
      <w:r w:rsidRPr="002D2E31">
        <w:rPr>
          <w:color w:val="000000"/>
        </w:rPr>
        <w:t>,</w:t>
      </w:r>
    </w:p>
    <w:p w14:paraId="66CD31D3" w14:textId="77777777" w:rsidR="007C1253" w:rsidRPr="002D2E31" w:rsidRDefault="007C1253" w:rsidP="007C1253">
      <w:pPr>
        <w:spacing w:after="240"/>
        <w:ind w:left="567" w:hanging="567"/>
      </w:pPr>
      <w:r w:rsidRPr="002D2E31">
        <w:t>–</w:t>
      </w:r>
      <w:r w:rsidRPr="002D2E31">
        <w:tab/>
        <w:t>като взе предвид своята резолюция от 3 октомври 2023 г. относно предложението за междинно преразглеждане на многогодишната финансова рамка за периода 2021—2027 г.</w:t>
      </w:r>
      <w:r w:rsidRPr="002D2E31">
        <w:rPr>
          <w:vertAlign w:val="superscript"/>
        </w:rPr>
        <w:footnoteReference w:id="10"/>
      </w:r>
      <w:r w:rsidRPr="002D2E31">
        <w:t>,</w:t>
      </w:r>
    </w:p>
    <w:p w14:paraId="68FD6230" w14:textId="77777777" w:rsidR="007C1253" w:rsidRPr="002D2E31" w:rsidRDefault="007C1253" w:rsidP="007C1253">
      <w:pPr>
        <w:spacing w:after="240"/>
        <w:ind w:left="567" w:hanging="567"/>
        <w:rPr>
          <w:color w:val="000000"/>
        </w:rPr>
      </w:pPr>
      <w:r w:rsidRPr="002D2E31">
        <w:rPr>
          <w:color w:val="000000"/>
        </w:rPr>
        <w:t>–</w:t>
      </w:r>
      <w:r w:rsidRPr="002D2E31">
        <w:rPr>
          <w:color w:val="000000"/>
        </w:rPr>
        <w:tab/>
        <w:t>като взе предвид своята резолюция от 27 февруари 2024 г. относно проекта на регламент на Съвета за изменение на Регламент (EC, Евратом) 2020/2093 за определяне на многогодишната финансова рамка за годините 2021—2027</w:t>
      </w:r>
      <w:r w:rsidRPr="002D2E31">
        <w:rPr>
          <w:color w:val="000000"/>
          <w:vertAlign w:val="superscript"/>
        </w:rPr>
        <w:footnoteReference w:id="11"/>
      </w:r>
      <w:r w:rsidRPr="002D2E31">
        <w:rPr>
          <w:color w:val="000000"/>
        </w:rPr>
        <w:t>,</w:t>
      </w:r>
    </w:p>
    <w:p w14:paraId="5BACB2E9" w14:textId="77777777" w:rsidR="007C1253" w:rsidRPr="002D2E31" w:rsidRDefault="007C1253" w:rsidP="007C1253">
      <w:pPr>
        <w:spacing w:after="240"/>
        <w:ind w:left="567" w:hanging="567"/>
        <w:rPr>
          <w:color w:val="000000"/>
        </w:rPr>
      </w:pPr>
      <w:r w:rsidRPr="002D2E31">
        <w:rPr>
          <w:color w:val="000000"/>
        </w:rPr>
        <w:t>–</w:t>
      </w:r>
      <w:r w:rsidRPr="002D2E31">
        <w:rPr>
          <w:color w:val="000000"/>
        </w:rPr>
        <w:tab/>
        <w:t>като взе предвид общия бюджет на Европейския съюз за финансовата 2026 година</w:t>
      </w:r>
      <w:r w:rsidRPr="002D2E31">
        <w:t>, приет окончателно на 26 ноември 2025 г.</w:t>
      </w:r>
      <w:r w:rsidRPr="002D2E31">
        <w:rPr>
          <w:color w:val="000000"/>
          <w:vertAlign w:val="superscript"/>
        </w:rPr>
        <w:footnoteReference w:id="12"/>
      </w:r>
      <w:r w:rsidRPr="002D2E31">
        <w:t>,</w:t>
      </w:r>
      <w:r w:rsidRPr="002D2E31">
        <w:rPr>
          <w:color w:val="000000"/>
        </w:rPr>
        <w:t xml:space="preserve"> и съвместните декларации, договорени между Парламента, Съвета и Комисията, които са поместени в приложение,</w:t>
      </w:r>
    </w:p>
    <w:p w14:paraId="0B588EEE" w14:textId="77777777" w:rsidR="007C1253" w:rsidRPr="002D2E31" w:rsidRDefault="007C1253" w:rsidP="007C1253">
      <w:pPr>
        <w:pStyle w:val="Action"/>
        <w:tabs>
          <w:tab w:val="clear" w:pos="357"/>
        </w:tabs>
        <w:spacing w:after="120"/>
        <w:ind w:left="567" w:hanging="567"/>
        <w:outlineLvl w:val="0"/>
      </w:pPr>
      <w:r w:rsidRPr="002D2E31">
        <w:t>–</w:t>
      </w:r>
      <w:r w:rsidRPr="002D2E31">
        <w:tab/>
        <w:t>като взе предвид доклада на генералния секретар до Бюрото относно изготвянето на предварителния проект на бюджетна прогноза на Парламента за финансовата 2027 година,</w:t>
      </w:r>
    </w:p>
    <w:p w14:paraId="5F7004B8" w14:textId="77777777" w:rsidR="007C1253" w:rsidRPr="002D2E31" w:rsidRDefault="007C1253" w:rsidP="007C1253">
      <w:pPr>
        <w:pStyle w:val="Action"/>
        <w:tabs>
          <w:tab w:val="clear" w:pos="357"/>
        </w:tabs>
        <w:spacing w:after="120"/>
        <w:ind w:left="567" w:hanging="567"/>
        <w:outlineLvl w:val="0"/>
      </w:pPr>
      <w:r w:rsidRPr="002D2E31">
        <w:t>–</w:t>
      </w:r>
      <w:r w:rsidRPr="002D2E31">
        <w:tab/>
        <w:t>като взе предвид предварителния проект на бюджетна прогноза, изготвен от Бюрото на 9 март 2026 г. съгласно член 25, параграф 7 и член 104, параграф 1 от Правилника за дейността на Парламента,</w:t>
      </w:r>
    </w:p>
    <w:p w14:paraId="6771F2E3" w14:textId="77777777" w:rsidR="007C1253" w:rsidRPr="002D2E31" w:rsidRDefault="007C1253" w:rsidP="007C1253">
      <w:pPr>
        <w:pStyle w:val="Action"/>
        <w:tabs>
          <w:tab w:val="clear" w:pos="357"/>
        </w:tabs>
        <w:spacing w:after="120"/>
        <w:ind w:left="567" w:hanging="567"/>
        <w:outlineLvl w:val="0"/>
      </w:pPr>
      <w:r w:rsidRPr="002D2E31">
        <w:t>–</w:t>
      </w:r>
      <w:r w:rsidRPr="002D2E31">
        <w:tab/>
        <w:t>като взе предвид проекта на бюджетна прогноза, изготвен от комисията по бюджети съгласно член 104, параграф 2 от Правилника за дейността на Парламента,</w:t>
      </w:r>
    </w:p>
    <w:p w14:paraId="197FEBD3" w14:textId="77777777" w:rsidR="007C1253" w:rsidRPr="002D2E31" w:rsidRDefault="007C1253" w:rsidP="007C1253">
      <w:pPr>
        <w:pStyle w:val="Action"/>
        <w:tabs>
          <w:tab w:val="clear" w:pos="357"/>
        </w:tabs>
        <w:spacing w:after="120"/>
        <w:ind w:left="567" w:hanging="567"/>
        <w:outlineLvl w:val="0"/>
      </w:pPr>
      <w:r w:rsidRPr="002D2E31">
        <w:t>–</w:t>
      </w:r>
      <w:r w:rsidRPr="002D2E31">
        <w:tab/>
        <w:t>като взе предвид член 104 от своя Правилник за дейността,</w:t>
      </w:r>
    </w:p>
    <w:p w14:paraId="5B86ACB5" w14:textId="77777777" w:rsidR="007C1253" w:rsidRPr="002D2E31" w:rsidRDefault="007C1253" w:rsidP="007C1253">
      <w:pPr>
        <w:pStyle w:val="Action"/>
        <w:tabs>
          <w:tab w:val="clear" w:pos="357"/>
        </w:tabs>
        <w:ind w:left="567" w:hanging="567"/>
        <w:outlineLvl w:val="0"/>
      </w:pPr>
      <w:r w:rsidRPr="002D2E31">
        <w:t>–</w:t>
      </w:r>
      <w:r w:rsidRPr="002D2E31">
        <w:tab/>
        <w:t>като взе предвид доклада на комисията по бюджети (A10-0124/2026),</w:t>
      </w:r>
    </w:p>
    <w:p w14:paraId="589C784A" w14:textId="77777777" w:rsidR="007C1253" w:rsidRPr="002D2E31" w:rsidRDefault="007C1253" w:rsidP="007C1253">
      <w:pPr>
        <w:pStyle w:val="Action"/>
        <w:tabs>
          <w:tab w:val="clear" w:pos="357"/>
        </w:tabs>
        <w:spacing w:after="120"/>
        <w:ind w:left="567" w:hanging="567"/>
        <w:outlineLvl w:val="0"/>
      </w:pPr>
      <w:r w:rsidRPr="002D2E31">
        <w:t>А.</w:t>
      </w:r>
      <w:r w:rsidRPr="002D2E31">
        <w:tab/>
        <w:t>като има предвид, че бюджетът, предложен на 9 февруари 2026 г. от генералния секретар за предварителния проект на бюджетна прогноза на Парламента за 2027 г., възлиза на 2 665 474 853 EUR и представлява увеличение с 2,33%, или 60 618 266 EUR, спрямо бюджета за 2026 г.;</w:t>
      </w:r>
    </w:p>
    <w:p w14:paraId="05BF953D" w14:textId="77777777" w:rsidR="007C1253" w:rsidRPr="002D2E31" w:rsidRDefault="007C1253" w:rsidP="007C1253">
      <w:pPr>
        <w:pStyle w:val="Action"/>
        <w:tabs>
          <w:tab w:val="clear" w:pos="357"/>
        </w:tabs>
        <w:spacing w:after="120"/>
        <w:ind w:left="567" w:hanging="567"/>
        <w:outlineLvl w:val="0"/>
      </w:pPr>
      <w:r w:rsidRPr="002D2E31">
        <w:t>Б.</w:t>
      </w:r>
      <w:r w:rsidRPr="002D2E31">
        <w:tab/>
        <w:t xml:space="preserve">като има предвид, че увеличението от 2,33%, предложено от генералния секретар, </w:t>
      </w:r>
      <w:r w:rsidRPr="002D2E31">
        <w:lastRenderedPageBreak/>
        <w:t>се дължи на увеличение с 2,01% на нормативно установените финансови задължения и с 2,89% на разходите, които не са нормативно установени;</w:t>
      </w:r>
    </w:p>
    <w:p w14:paraId="21CCFD49" w14:textId="77777777" w:rsidR="007C1253" w:rsidRPr="002D2E31" w:rsidRDefault="007C1253" w:rsidP="007C1253">
      <w:pPr>
        <w:pStyle w:val="Action"/>
        <w:tabs>
          <w:tab w:val="clear" w:pos="357"/>
        </w:tabs>
        <w:ind w:left="567" w:hanging="567"/>
        <w:outlineLvl w:val="0"/>
      </w:pPr>
      <w:r w:rsidRPr="002D2E31">
        <w:t>В.</w:t>
      </w:r>
      <w:r w:rsidRPr="002D2E31">
        <w:tab/>
        <w:t>като има предвид, че според Евростат годишната инфлация в Съюза беше 2,3% през декември 2025 г., което представлява намаление спрямо 2,7% през декември 2024 г.; като има предвид, че равнището на разходите по функция 7 от многогодишната финансова рамка (МФР) за периода 2021—2027 г. се основава на годишно увеличение от 2%;</w:t>
      </w:r>
    </w:p>
    <w:p w14:paraId="501D8EDE" w14:textId="77777777" w:rsidR="007C1253" w:rsidRPr="002D2E31" w:rsidRDefault="007C1253" w:rsidP="007C1253">
      <w:pPr>
        <w:pStyle w:val="Action"/>
        <w:tabs>
          <w:tab w:val="clear" w:pos="357"/>
        </w:tabs>
        <w:ind w:left="567" w:hanging="567"/>
        <w:outlineLvl w:val="0"/>
      </w:pPr>
      <w:r w:rsidRPr="002D2E31">
        <w:t>Г.</w:t>
      </w:r>
      <w:r w:rsidRPr="002D2E31">
        <w:tab/>
        <w:t>като има предвид, че доверието в Парламента зависи от способността му да изпълнява основните си бюджетни, законодателни и контролни функции, придържайки се към най-високите стандарти, като същевременно дава пример на другите институции на Съюза за внимателно и ефикасно планиране на разходите си и тяхното изпълнение, както и за отразяване на преобладаващата икономическа действителност;</w:t>
      </w:r>
    </w:p>
    <w:p w14:paraId="18FEC114" w14:textId="77777777" w:rsidR="007C1253" w:rsidRPr="002D2E31" w:rsidRDefault="007C1253" w:rsidP="007C1253">
      <w:pPr>
        <w:pStyle w:val="NormalHanging12a"/>
        <w:rPr>
          <w:b/>
          <w:i/>
        </w:rPr>
      </w:pPr>
      <w:r w:rsidRPr="002D2E31">
        <w:rPr>
          <w:b/>
          <w:i/>
        </w:rPr>
        <w:t>Обща рамка</w:t>
      </w:r>
    </w:p>
    <w:p w14:paraId="0041DB5C" w14:textId="77777777" w:rsidR="007C1253" w:rsidRPr="002D2E31" w:rsidRDefault="007C1253" w:rsidP="007C1253">
      <w:pPr>
        <w:widowControl/>
        <w:spacing w:after="240"/>
        <w:ind w:left="567" w:hanging="567"/>
        <w:rPr>
          <w:color w:val="000000"/>
        </w:rPr>
      </w:pPr>
      <w:r w:rsidRPr="002D2E31">
        <w:rPr>
          <w:color w:val="000000"/>
        </w:rPr>
        <w:t>1.</w:t>
      </w:r>
      <w:r w:rsidRPr="002D2E31">
        <w:rPr>
          <w:color w:val="000000"/>
        </w:rPr>
        <w:tab/>
        <w:t>изразява загриженост относно положението на функция 7 в действащата МФР; припомня, че ограниченията са резултат от съкращенията, които Съветът приложи към вече много ниското първоначално предложение на Комисията при договарянето на МФР за периода 2021—2027 г., както и от кумулативното въздействие на по-високата от очакваната инфлация в продължение на няколко години; изразява съжаление, че Съветът се противопостави на предложението на Комисията за увеличаване на тавана на функция 7 при преразглеждането на МФР, считано от 2024 г.; посочва, че въпросът за тавана на функция 7 не беше решен при преразглеждането на МФР; подчертава, че прогнозираният отрицателен марж за 2027 г. предполага използването на специални инструменти по функция 7 за тази цел; подчертава, че прибягването до специални инструменти следва да продължи да бъде изключение, надлежно обосновано и ограничено до непредвидени обстоятелства;</w:t>
      </w:r>
    </w:p>
    <w:p w14:paraId="798909A6" w14:textId="77777777" w:rsidR="007C1253" w:rsidRPr="002D2E31" w:rsidRDefault="007C1253" w:rsidP="007C1253">
      <w:pPr>
        <w:widowControl/>
        <w:spacing w:after="240"/>
        <w:ind w:left="567" w:hanging="567"/>
        <w:rPr>
          <w:color w:val="000000"/>
        </w:rPr>
      </w:pPr>
      <w:r w:rsidRPr="002D2E31">
        <w:rPr>
          <w:color w:val="000000"/>
        </w:rPr>
        <w:t>2.</w:t>
      </w:r>
      <w:r w:rsidRPr="002D2E31">
        <w:rPr>
          <w:color w:val="000000"/>
        </w:rPr>
        <w:tab/>
        <w:t xml:space="preserve">одобрява споразумението, постигнато на 15 април 2026 г. в рамките на помирителната процедура между Бюрото и комисията по бюджети, за определяне на увеличението спрямо бюджета за 2026 г. на 1,98%, което съответства на общо равнище на бюджетната прогноза от 2 656 435 753 EUR за 2027 г., и за съответно намаляване на бюджетните кредити, предложени по следните бюджетни редове, с общо 10 554 000 EUR: </w:t>
      </w:r>
    </w:p>
    <w:p w14:paraId="19440C1C" w14:textId="77777777" w:rsidR="007C1253" w:rsidRPr="002D2E31" w:rsidRDefault="007C1253" w:rsidP="007C1253">
      <w:pPr>
        <w:widowControl/>
        <w:spacing w:after="240"/>
        <w:ind w:left="567"/>
        <w:rPr>
          <w:color w:val="000000"/>
        </w:rPr>
      </w:pPr>
      <w:r w:rsidRPr="002D2E31">
        <w:rPr>
          <w:color w:val="000000"/>
        </w:rPr>
        <w:t>1 0 0 6 — Надбавка за общи разходи, 1 4 0 5 01 — Разходи за устен превод: външен устен превод, 1 4 2 — Външни преводачески услуги, 1 6 1 2 07 — Обучение и развитие: външно обучение за Генералната дирекция за информационни технологии и киберсигурност, 2 0 0 7 04 — Строителство на сгради и оборудване на помещения: Бюра за връзка/центрове „</w:t>
      </w:r>
      <w:proofErr w:type="spellStart"/>
      <w:r w:rsidRPr="002D2E31">
        <w:rPr>
          <w:color w:val="000000"/>
        </w:rPr>
        <w:t>Europa</w:t>
      </w:r>
      <w:proofErr w:type="spellEnd"/>
      <w:r w:rsidRPr="002D2E31">
        <w:rPr>
          <w:color w:val="000000"/>
        </w:rPr>
        <w:t xml:space="preserve"> </w:t>
      </w:r>
      <w:proofErr w:type="spellStart"/>
      <w:r w:rsidRPr="002D2E31">
        <w:rPr>
          <w:color w:val="000000"/>
        </w:rPr>
        <w:t>Experience</w:t>
      </w:r>
      <w:proofErr w:type="spellEnd"/>
      <w:r w:rsidRPr="002D2E31">
        <w:rPr>
          <w:color w:val="000000"/>
        </w:rPr>
        <w:t xml:space="preserve">“, 2 1 0 0 02 — ИТ управление и киберсигурност — Сигурност, рискове и съответствие в областта на ИКТ, 2 1 0 0 03 — ИТ управление и киберсигурност — Пределни технологии, 2 1 0 1 02 — Управление на бизнес приложения — Предоставяне на ИТ решения, 2 1 0 1 13 — Управление на бизнес приложения — Генерална дирекция по финанси, 2 1 0 2 03 — Инфраструктурно и оперативно управление — Телекомуникации, 2 1 0 2 04 — Инфраструктурно и оперативно управление — Корпоративна инфраструктура, 2 1 0 2 05 — Инфраструктурно и оперативно управление — Софтуер — Инфраструктура, 2 1 0 2 07 — </w:t>
      </w:r>
      <w:r w:rsidRPr="002D2E31">
        <w:rPr>
          <w:color w:val="000000"/>
        </w:rPr>
        <w:lastRenderedPageBreak/>
        <w:t xml:space="preserve">Инфраструктурно и оперативно управление — Управление на печата, 2 1 0 3 01 — Цифрова работна среда: услуги и оборудване — Индивидуално ИТ оборудване, 2 1 2 0 01 — Обзавеждане: закупуване, наемане, обновяване, поддръжка и поправка на мебелно обзавеждане, 2 1 6 0 01 — Транспорт за членове на ЕП, други лица и вещи: транспорт за членове на ЕП (наем и експлоатация), 3 0 0 0 02 — Командировъчни разходи и разходи за пътувания между трите места на работа: командировки извън трите места на работа, 3 0 0 0 03 — Командировъчни разходи и разходи за пътувания между трите места на работа: обучение и развитие, 3 2 1 0 01 — Разходи във връзка с услугите в областта на парламентарните изследвания, включително библиотека, исторически архиви, оценка на </w:t>
      </w:r>
      <w:proofErr w:type="spellStart"/>
      <w:r w:rsidRPr="002D2E31">
        <w:rPr>
          <w:color w:val="000000"/>
        </w:rPr>
        <w:t>научнотехнологичните</w:t>
      </w:r>
      <w:proofErr w:type="spellEnd"/>
      <w:r w:rsidRPr="002D2E31">
        <w:rPr>
          <w:color w:val="000000"/>
        </w:rPr>
        <w:t xml:space="preserve"> възможности (STOA) и Европейски център на научните медии: оценка на въздействието и европейска добавена стойност, 3 2 2 0 09 — Разходи за документация: абонаменти и мониторинг на медиите, 3 2 4 2 01 — Разходи за публикации, разпространяване на информация и участие в обществени мероприятия: информационни кампании, 3 2 4 3 01 — Центрове за посетители на Европейския парламент: </w:t>
      </w:r>
      <w:proofErr w:type="spellStart"/>
      <w:r w:rsidRPr="002D2E31">
        <w:rPr>
          <w:color w:val="000000"/>
        </w:rPr>
        <w:t>Парламентариум</w:t>
      </w:r>
      <w:proofErr w:type="spellEnd"/>
      <w:r w:rsidRPr="002D2E31">
        <w:rPr>
          <w:color w:val="000000"/>
        </w:rPr>
        <w:t xml:space="preserve"> и центрове „</w:t>
      </w:r>
      <w:proofErr w:type="spellStart"/>
      <w:r w:rsidRPr="002D2E31">
        <w:rPr>
          <w:color w:val="000000"/>
        </w:rPr>
        <w:t>Europa</w:t>
      </w:r>
      <w:proofErr w:type="spellEnd"/>
      <w:r w:rsidRPr="002D2E31">
        <w:rPr>
          <w:color w:val="000000"/>
        </w:rPr>
        <w:t xml:space="preserve"> </w:t>
      </w:r>
      <w:proofErr w:type="spellStart"/>
      <w:r w:rsidRPr="002D2E31">
        <w:rPr>
          <w:color w:val="000000"/>
        </w:rPr>
        <w:t>Experience</w:t>
      </w:r>
      <w:proofErr w:type="spellEnd"/>
      <w:r w:rsidRPr="002D2E31">
        <w:rPr>
          <w:color w:val="000000"/>
        </w:rPr>
        <w:t xml:space="preserve">“, 3 2 4 3 02 — Центрове за посетители на Европейския парламент: Дом на европейската история, 10 1 — Резерв за непредвидени разходи. </w:t>
      </w:r>
    </w:p>
    <w:p w14:paraId="62915820" w14:textId="77777777" w:rsidR="007C1253" w:rsidRPr="002D2E31" w:rsidRDefault="007C1253" w:rsidP="007C1253">
      <w:pPr>
        <w:widowControl/>
        <w:spacing w:after="240"/>
        <w:ind w:left="567"/>
        <w:rPr>
          <w:color w:val="000000"/>
        </w:rPr>
      </w:pPr>
      <w:r w:rsidRPr="002D2E31">
        <w:rPr>
          <w:color w:val="000000"/>
        </w:rPr>
        <w:t>освен това беше взето решение за повишаване на равнището на разходите в предварителния проект на бюджетна прогноза, одобрен от Бюрото на 9 март 2026 г., с 1 514 900 EUR, както и за съответно увеличение на бюджетните кредити, предложени по следните бюджетни редове:</w:t>
      </w:r>
    </w:p>
    <w:p w14:paraId="7CEEA82D" w14:textId="77777777" w:rsidR="007C1253" w:rsidRPr="002D2E31" w:rsidRDefault="007C1253" w:rsidP="007C1253">
      <w:pPr>
        <w:widowControl/>
        <w:spacing w:after="240"/>
        <w:ind w:left="567"/>
        <w:rPr>
          <w:color w:val="000000"/>
        </w:rPr>
      </w:pPr>
      <w:r w:rsidRPr="002D2E31">
        <w:rPr>
          <w:color w:val="000000"/>
        </w:rPr>
        <w:t xml:space="preserve">4 0 3 — Финансиране на европейските политически фондации и 4 4 0 — Разходи за заседания и други дейности на бивши членове на Европейския парламент. </w:t>
      </w:r>
    </w:p>
    <w:p w14:paraId="6AB6BD68" w14:textId="77777777" w:rsidR="007C1253" w:rsidRPr="002D2E31" w:rsidRDefault="007C1253" w:rsidP="007C1253">
      <w:pPr>
        <w:widowControl/>
        <w:spacing w:after="240"/>
        <w:ind w:left="567" w:hanging="567"/>
        <w:rPr>
          <w:color w:val="000000"/>
        </w:rPr>
      </w:pPr>
      <w:r w:rsidRPr="002D2E31">
        <w:rPr>
          <w:color w:val="000000"/>
        </w:rPr>
        <w:t>3.</w:t>
      </w:r>
      <w:r w:rsidRPr="002D2E31">
        <w:rPr>
          <w:color w:val="000000"/>
        </w:rPr>
        <w:tab/>
        <w:t>припомня, че почти две трети от бюджета се определят от нормативно установените задължения; припомня, че понастоящем прогнозата на Комисията за индексацията на заплатите в съответствие с Правилника за длъжностните лица и Устава на членовете на Европейския парламент през юли 2026 г. е 2,2%, а през юли 2027 г. — 2,3%;</w:t>
      </w:r>
    </w:p>
    <w:p w14:paraId="7F8D30BE" w14:textId="77777777" w:rsidR="007C1253" w:rsidRPr="002D2E31" w:rsidRDefault="007C1253" w:rsidP="007C1253">
      <w:pPr>
        <w:widowControl/>
        <w:spacing w:after="240"/>
        <w:ind w:left="567" w:hanging="567"/>
        <w:rPr>
          <w:color w:val="000000"/>
        </w:rPr>
      </w:pPr>
      <w:r w:rsidRPr="002D2E31">
        <w:rPr>
          <w:color w:val="000000"/>
        </w:rPr>
        <w:t>4.</w:t>
      </w:r>
      <w:r w:rsidRPr="002D2E31">
        <w:rPr>
          <w:color w:val="000000"/>
        </w:rPr>
        <w:tab/>
        <w:t>отбелязва, че от увеличението в размер на 51,6 милиона евро спрямо бюджета за 2026 г., 32,6 милиона евро се дължат на нормативно установени финансови задължения, главно за актуализации на заплатите на длъжностните лица и срочно наетите служители (16,2 милиона евро) и на договорно наетите служители (1,7 милиона евро); отбелязва, че от 2027 г. нататък за всички стажанти в Люксембург се предвижда извънредна пряка помощ (до 500 EUR на месец стаж), за да им се помогне да посрещнат нарастващите жилищни разходи; призовава за гарантиране на достъпността на стажовете за младите хора в условията на нарастващи разходи за живот, независимо от мястото на работа; приветства решението на Бюрото да се откаже от индексацията на надбавката за общи разходи през 2026 г.;</w:t>
      </w:r>
    </w:p>
    <w:p w14:paraId="6693F3CA" w14:textId="77777777" w:rsidR="007C1253" w:rsidRPr="002D2E31" w:rsidRDefault="007C1253" w:rsidP="007C1253">
      <w:pPr>
        <w:widowControl/>
        <w:spacing w:after="240"/>
        <w:ind w:left="567" w:hanging="567"/>
        <w:rPr>
          <w:b/>
          <w:i/>
          <w:color w:val="000000"/>
        </w:rPr>
      </w:pPr>
      <w:r w:rsidRPr="002D2E31">
        <w:rPr>
          <w:color w:val="000000"/>
        </w:rPr>
        <w:t>5.</w:t>
      </w:r>
      <w:r w:rsidRPr="002D2E31">
        <w:rPr>
          <w:b/>
          <w:i/>
          <w:color w:val="000000"/>
        </w:rPr>
        <w:tab/>
      </w:r>
      <w:r w:rsidRPr="002D2E31">
        <w:rPr>
          <w:color w:val="000000"/>
        </w:rPr>
        <w:t xml:space="preserve">отбелязва, че сумата, предвидена за надбавките за парламентарни сътрудници, се изчислява въз основа на тенденциите от предходните години; подчертава, че при никакви обстоятелства членовете на ЕП не могат да бъдат лишени от правото си да използват пълноценно тази надбавка, в съответствие с приложимите правила, поради липса на средства по този бюджетен ред; изисква от генералния секретар да следи отблизо положението, да информира комисията по бюджети относно </w:t>
      </w:r>
      <w:r w:rsidRPr="002D2E31">
        <w:rPr>
          <w:color w:val="000000"/>
        </w:rPr>
        <w:lastRenderedPageBreak/>
        <w:t>усвояването на средствата от бюджетния ред и да предприеме съответните действия, когато съществува опасност от недостиг на финансови ресурси;</w:t>
      </w:r>
    </w:p>
    <w:p w14:paraId="54FC7582" w14:textId="77777777" w:rsidR="007C1253" w:rsidRPr="002D2E31" w:rsidRDefault="007C1253" w:rsidP="007C1253">
      <w:pPr>
        <w:widowControl/>
        <w:spacing w:after="240"/>
        <w:ind w:left="567" w:hanging="567"/>
        <w:rPr>
          <w:color w:val="000000"/>
        </w:rPr>
      </w:pPr>
      <w:r w:rsidRPr="002D2E31">
        <w:rPr>
          <w:color w:val="000000"/>
        </w:rPr>
        <w:t>6.</w:t>
      </w:r>
      <w:r w:rsidRPr="002D2E31">
        <w:rPr>
          <w:color w:val="000000"/>
        </w:rPr>
        <w:tab/>
        <w:t xml:space="preserve">отбелязва, че и за 2027 г., четвърта поредна година, Парламентът не заяви никакви допълнителни длъжности; </w:t>
      </w:r>
    </w:p>
    <w:p w14:paraId="7434CFFE" w14:textId="77777777" w:rsidR="007C1253" w:rsidRPr="002D2E31" w:rsidRDefault="007C1253" w:rsidP="007C1253">
      <w:pPr>
        <w:widowControl/>
        <w:spacing w:after="240"/>
        <w:ind w:left="567" w:hanging="567"/>
        <w:rPr>
          <w:color w:val="000000"/>
        </w:rPr>
      </w:pPr>
      <w:r w:rsidRPr="002D2E31">
        <w:rPr>
          <w:color w:val="000000"/>
        </w:rPr>
        <w:t>7.</w:t>
      </w:r>
      <w:r w:rsidRPr="002D2E31">
        <w:rPr>
          <w:color w:val="000000"/>
        </w:rPr>
        <w:tab/>
        <w:t xml:space="preserve">отбелязва, че увеличението на разходите, които не са нормативно установени, за периода 2026—2027 г. е 2%; </w:t>
      </w:r>
    </w:p>
    <w:p w14:paraId="291C4653" w14:textId="77777777" w:rsidR="007C1253" w:rsidRPr="002D2E31" w:rsidRDefault="007C1253" w:rsidP="007C1253">
      <w:pPr>
        <w:widowControl/>
        <w:spacing w:after="240"/>
        <w:ind w:left="567" w:hanging="567"/>
        <w:rPr>
          <w:color w:val="000000"/>
        </w:rPr>
      </w:pPr>
      <w:r w:rsidRPr="002D2E31">
        <w:rPr>
          <w:color w:val="000000"/>
        </w:rPr>
        <w:t>8.</w:t>
      </w:r>
      <w:r w:rsidRPr="002D2E31">
        <w:rPr>
          <w:color w:val="000000"/>
        </w:rPr>
        <w:tab/>
        <w:t>приветства текущата работа на генералния секретар в съответствие с предложените на 16 юни 2025 г. от председателя Мецола реформи в областта на административното сътрудничество, планирането и опростяването, насочени към повишаване на ефективността, ефективно използване на ресурсите и постигане на икономии, когато това е възможно; призовава за укрепени механизми за докладване с цел повишаване на прозрачността и отчетността; изисква от генералния секретар да предоставя редовно на комисията по бюджети актуална информация за изпълнението на плана за действие за административно опростяване и за неговото въздействие върху бюджета и служителите;</w:t>
      </w:r>
    </w:p>
    <w:p w14:paraId="3CC2AC27" w14:textId="77777777" w:rsidR="007C1253" w:rsidRPr="002D2E31" w:rsidRDefault="007C1253" w:rsidP="007C1253">
      <w:pPr>
        <w:pStyle w:val="action0"/>
        <w:ind w:left="0" w:firstLine="0"/>
        <w:rPr>
          <w:b/>
          <w:i/>
        </w:rPr>
      </w:pPr>
      <w:r w:rsidRPr="002D2E31">
        <w:rPr>
          <w:b/>
          <w:i/>
        </w:rPr>
        <w:t>Укрепване на основните функции на Парламента</w:t>
      </w:r>
    </w:p>
    <w:p w14:paraId="13533162" w14:textId="77777777" w:rsidR="007C1253" w:rsidRPr="002D2E31" w:rsidRDefault="007C1253" w:rsidP="007C1253">
      <w:pPr>
        <w:widowControl/>
        <w:spacing w:after="240"/>
        <w:ind w:left="567" w:hanging="567"/>
        <w:rPr>
          <w:color w:val="000000"/>
        </w:rPr>
      </w:pPr>
      <w:r w:rsidRPr="002D2E31">
        <w:t>9.</w:t>
      </w:r>
      <w:r w:rsidRPr="002D2E31">
        <w:tab/>
        <w:t xml:space="preserve">отбелязва четирите нови тематични генерални дирекции (ГД), които започнаха работа от януари 2025 г. и които отговарят за законодателните, бюджетните и контролните дейности с цел да се подобри функционирането на Парламента като </w:t>
      </w:r>
      <w:proofErr w:type="spellStart"/>
      <w:r w:rsidRPr="002D2E31">
        <w:t>съзаконодател</w:t>
      </w:r>
      <w:proofErr w:type="spellEnd"/>
      <w:r w:rsidRPr="002D2E31">
        <w:t>, като едно от подразделенията на бюджетния орган и като орган по освобождаване от отговорност във връзка с изпълнението на бюджета;</w:t>
      </w:r>
    </w:p>
    <w:p w14:paraId="799A2E93" w14:textId="77777777" w:rsidR="007C1253" w:rsidRDefault="007C1253" w:rsidP="007C1253">
      <w:pPr>
        <w:widowControl/>
        <w:spacing w:after="240"/>
        <w:ind w:left="567" w:hanging="567"/>
        <w:rPr>
          <w:b/>
          <w:i/>
        </w:rPr>
      </w:pPr>
      <w:r w:rsidRPr="002D2E31">
        <w:t>10.</w:t>
      </w:r>
      <w:r w:rsidRPr="002D2E31">
        <w:tab/>
        <w:t xml:space="preserve">отбелязва преразпределението на вътрешни ресурси, що се отнася до броя разпределени длъжности (+ 15% между 2024 и 2026 г.), бюджетния пакет за външни служители (позиция 1 4 0 0 — от 3,2 милиона евро през 2024 г. на 8 милиона евро през 2027 г.) и бюджета за външен експертен опит (позиция 3 2 0 0 — от 3,2 милиона евро през 2024 г. на 7,7 милиона евро през 2027 г.) с цел укрепване на експертния опит, предоставян на членовете на ЕП; подчертава необходимостта да се гарантира, че тези увеличения остават обосновани, пропорционални и носят ясна добавена стойност; изисква от генералния секретар да предоставя редовно на комисията по бюджети актуална информация за промените и усвояването на ресурсите в четирите нови генерални дирекции; подчертава необходимостта да се гарантира изпълнението на важната цел за укрепване на капацитета на Парламента да подпомага работата на членовете на ЕП; подчертава също решаващата роля на политическите групи </w:t>
      </w:r>
      <w:bookmarkStart w:id="8" w:name="_Hlk227243597"/>
      <w:r w:rsidRPr="002D2E31">
        <w:t xml:space="preserve">за предоставянето на експертен опит и политическа подкрепа </w:t>
      </w:r>
      <w:bookmarkEnd w:id="8"/>
      <w:r w:rsidRPr="002D2E31">
        <w:t>на членовете на ЕП в тяхната законодателна и парламентарна дейност;</w:t>
      </w:r>
      <w:r w:rsidRPr="002D2E31">
        <w:rPr>
          <w:b/>
          <w:i/>
        </w:rPr>
        <w:t xml:space="preserve"> </w:t>
      </w:r>
    </w:p>
    <w:p w14:paraId="2FFA2C96" w14:textId="5B2BFB3E" w:rsidR="00035C52" w:rsidRPr="002D2E31" w:rsidRDefault="00035C52" w:rsidP="007C1253">
      <w:pPr>
        <w:widowControl/>
        <w:spacing w:after="240"/>
        <w:ind w:left="567" w:hanging="567"/>
      </w:pPr>
      <w:r w:rsidRPr="00035C52">
        <w:t>1</w:t>
      </w:r>
      <w:r>
        <w:t>1</w:t>
      </w:r>
      <w:r w:rsidRPr="00035C52">
        <w:t>.</w:t>
      </w:r>
      <w:r w:rsidRPr="00035C52">
        <w:tab/>
        <w:t xml:space="preserve">припомня, че задължението за защита на финансовите интереси на Съюза се прилага еднакво за всички бенефициенти на средства на Съюза, включително политическите групи, действащи в рамките на Парламента; отбелязва, че разследванията и действията по събиране на вземания във връзка с предполагаемото присвояване на средства на Съюза от бившата група „Идентичност и демокрация“, понастоящем в новата си конфигурация като групата „Патриоти за Европа“, подчертават значението на надеждния вътрешен контрол, ефективната последваща проверка и механизмите за бързо събиране на вземания в рамките на администрацията на Парламента; призовава </w:t>
      </w:r>
      <w:r w:rsidRPr="00035C52">
        <w:lastRenderedPageBreak/>
        <w:t>администрацията на Парламента незабавно да приключи всички неприключени производства по събиране на вземания и да предаде всички данни за неправомерни разходи на OLAF и Европейската прокуратура; подчертава, че надеждността на структурата на Съюза за борба с измамите зависи от последователното ѝ прилагане по отношение на всички бенефициенти, включително тези в рамките на самия Парламент;</w:t>
      </w:r>
    </w:p>
    <w:p w14:paraId="2AF9C387" w14:textId="77777777" w:rsidR="007C1253" w:rsidRPr="002D2E31" w:rsidRDefault="007C1253" w:rsidP="007C1253">
      <w:pPr>
        <w:spacing w:after="240"/>
        <w:rPr>
          <w:b/>
          <w:i/>
          <w:color w:val="000000"/>
        </w:rPr>
      </w:pPr>
      <w:r w:rsidRPr="002D2E31">
        <w:rPr>
          <w:b/>
          <w:i/>
          <w:color w:val="000000"/>
        </w:rPr>
        <w:t xml:space="preserve">Цифров преход </w:t>
      </w:r>
    </w:p>
    <w:p w14:paraId="4ACECAEA" w14:textId="57D3C068" w:rsidR="007C1253" w:rsidRPr="002D2E31" w:rsidRDefault="00B85C29" w:rsidP="007C1253">
      <w:pPr>
        <w:pStyle w:val="action0"/>
        <w:ind w:left="567" w:hanging="567"/>
      </w:pPr>
      <w:r>
        <w:t>12</w:t>
      </w:r>
      <w:r w:rsidR="007C1253" w:rsidRPr="002D2E31">
        <w:t>.</w:t>
      </w:r>
      <w:r w:rsidR="007C1253" w:rsidRPr="002D2E31">
        <w:tab/>
      </w:r>
      <w:r w:rsidR="007C1253" w:rsidRPr="002D2E31">
        <w:rPr>
          <w:color w:val="000000"/>
        </w:rPr>
        <w:t>отбелязва, че като цяло бюджетът за информационни технологии съставлява 7,6% от общия бюджет в бюджетната прогноза за 2027 г. и възлиза на 202,4 милиона евро; подчертава значението на стабилната инфраструктура за киберсигурност в условията на голяма геополитическа нестабилност; припомня планираното постепенно увеличение на бюджетните кредити за киберсигурност на 10% от бюджета на Парламента за ИКТ;</w:t>
      </w:r>
      <w:r w:rsidR="007C1253" w:rsidRPr="002D2E31">
        <w:t xml:space="preserve"> отбелязва, че планираното увеличение следва да се осъществи възможно най-скоро;</w:t>
      </w:r>
    </w:p>
    <w:p w14:paraId="7A4B47AC" w14:textId="71892EF1" w:rsidR="007C1253" w:rsidRPr="002D2E31" w:rsidRDefault="00B85C29" w:rsidP="007C1253">
      <w:pPr>
        <w:pStyle w:val="action0"/>
        <w:ind w:left="567" w:hanging="567"/>
      </w:pPr>
      <w:r>
        <w:t>13</w:t>
      </w:r>
      <w:r w:rsidR="007C1253" w:rsidRPr="002D2E31">
        <w:t>.</w:t>
      </w:r>
      <w:r w:rsidR="007C1253" w:rsidRPr="002D2E31">
        <w:tab/>
        <w:t>подчертава, че киберсигурността на Парламента е основен приоритет в условията на геополитическа несигурност; отбелязва, че общата сума, разпределена за киберсигурност, е 16,9 милиона евро, което включва увеличение на средствата по централизирания ред за киберсигурност с 54% спрямо 2026 г.; припомня, че инвестициите в киберсигурност са от основно значение за защитата на демократичния глас на Парламента и на Съюза и за обезпечаване на правилното функциониране на Парламента;</w:t>
      </w:r>
    </w:p>
    <w:p w14:paraId="35099B6E" w14:textId="36DAD999" w:rsidR="007C1253" w:rsidRPr="002D2E31" w:rsidRDefault="00B85C29" w:rsidP="007C1253">
      <w:pPr>
        <w:pStyle w:val="action0"/>
        <w:ind w:left="567" w:hanging="567"/>
      </w:pPr>
      <w:r>
        <w:t>14</w:t>
      </w:r>
      <w:r w:rsidR="007C1253" w:rsidRPr="002D2E31">
        <w:t>.</w:t>
      </w:r>
      <w:r w:rsidR="007C1253" w:rsidRPr="002D2E31">
        <w:tab/>
        <w:t>подчертава, че Парламентът трябва да бъде в челните редици при възприемането на по-цифрови методи на работа; приветства инвестициите в изкуствен интелект (ИИ) в размер на 1 милион евро; призовава за увеличаване на използването на ИИ, за да се повиши ефективността и да се укрепи суверенитетът в тази област, като същевременно се вземат предвид свързаните с това рискове, включително в областта на етиката и защитата на данните; подчертава, че при внедряването на ИИ иновациите трябва да се балансират с необходимите предпазни мерки; подчертава потенциала на ИИ за рационализиране на административните процеси; насърчава разработването на ясни насоки и гаранции, за да се осигури отговорното и прозрачно прилагане на ИИ, като се насърчават иновациите и същевременно се отстояват основните права, сигурността и отчетността; подчертава, че развитието на ИИ ще бъде наблюдавано отблизо в съответствие с установените от Бюрото принципи; подчертава, че инвестициите в ИИ следва да се съсредоточат не само върху административната ефективност, но и върху повишаването на демократичната прозрачност и ангажираността на гражданите;</w:t>
      </w:r>
    </w:p>
    <w:p w14:paraId="4C9C8DDF" w14:textId="04DA9AC7" w:rsidR="007C1253" w:rsidRPr="002D2E31" w:rsidRDefault="00B85C29" w:rsidP="007C1253">
      <w:pPr>
        <w:pStyle w:val="action0"/>
        <w:spacing w:after="0"/>
        <w:ind w:left="567" w:hanging="567"/>
        <w:rPr>
          <w:bCs/>
          <w:iCs/>
        </w:rPr>
      </w:pPr>
      <w:r>
        <w:t>15</w:t>
      </w:r>
      <w:r w:rsidR="007C1253" w:rsidRPr="002D2E31">
        <w:t>.</w:t>
      </w:r>
      <w:r w:rsidR="007C1253" w:rsidRPr="002D2E31">
        <w:tab/>
        <w:t xml:space="preserve">подчертава, че предвид геополитическия контекст и инвестициите, които Европейският съюз ще трябва да направи за своята стратегическа автономност, Европейски парламент трябва да даде пример; отбелязва подготовката на консолидиран план за действие, насочен към укрепване на позицията на Парламента относно цифровия суверенитет; очаква да получава редовно актуална информация относно постигнатия напредък; подчертава, че е важно да се осигури високо равнище на киберсигурност, защита на данните и устойчивост в цифровата инфраструктура на Парламента; подчертава необходимостта от внимателна оценка на рисковете, свързани със зависимостта от неевропейски доставчици, включително чрез оценки на риска; подчертава, че е важно да се поддържат сигурни, конкурентни и надеждни решения, включително, когато е осъществимо, </w:t>
      </w:r>
      <w:r w:rsidR="007C1253" w:rsidRPr="002D2E31">
        <w:lastRenderedPageBreak/>
        <w:t>чрез даване на приоритет на европейските доставчици; призовава за редовна оценка на комуникационните канали и цифровите инструменти на Парламента въз основа на критерии за сигурност и спазване на правото на ЕС, координирано с другите институции на ЕС, с цел да се осигури защитата на парламентарните данни и целостта на комуникациите на Парламента;</w:t>
      </w:r>
    </w:p>
    <w:p w14:paraId="2CFB85B8" w14:textId="77777777" w:rsidR="007C1253" w:rsidRPr="002D2E31" w:rsidRDefault="007C1253" w:rsidP="007C1253">
      <w:pPr>
        <w:pStyle w:val="action0"/>
        <w:spacing w:after="0"/>
        <w:ind w:left="567" w:hanging="567"/>
        <w:rPr>
          <w:b/>
          <w:i/>
        </w:rPr>
      </w:pPr>
    </w:p>
    <w:p w14:paraId="4845B84A" w14:textId="77777777" w:rsidR="007C1253" w:rsidRPr="002D2E31" w:rsidRDefault="007C1253" w:rsidP="007C1253">
      <w:pPr>
        <w:pStyle w:val="action0"/>
        <w:ind w:left="0" w:firstLine="0"/>
        <w:rPr>
          <w:b/>
          <w:i/>
        </w:rPr>
      </w:pPr>
      <w:r w:rsidRPr="002D2E31">
        <w:rPr>
          <w:b/>
          <w:i/>
        </w:rPr>
        <w:t>Инфраструктура</w:t>
      </w:r>
    </w:p>
    <w:p w14:paraId="35BBBD8F" w14:textId="51706FC0" w:rsidR="007C1253" w:rsidRPr="002D2E31" w:rsidRDefault="00B85C29" w:rsidP="007C1253">
      <w:pPr>
        <w:pStyle w:val="action0"/>
        <w:ind w:left="567" w:hanging="567"/>
        <w:rPr>
          <w:color w:val="000000"/>
        </w:rPr>
      </w:pPr>
      <w:r>
        <w:rPr>
          <w:color w:val="000000"/>
        </w:rPr>
        <w:t>16</w:t>
      </w:r>
      <w:r w:rsidR="007C1253" w:rsidRPr="002D2E31">
        <w:rPr>
          <w:color w:val="000000"/>
        </w:rPr>
        <w:t>.</w:t>
      </w:r>
      <w:r w:rsidR="007C1253" w:rsidRPr="002D2E31">
        <w:rPr>
          <w:color w:val="000000"/>
        </w:rPr>
        <w:tab/>
        <w:t>приветства новия подход във връзка със сградния фонд, съгласно който се навлезе в етап на консолидация, вместо да се придобиват нови сгради, като се вземат предвид устойчивостта, достъпността и мобилността на членовете и служителите на ЕП, а също и на посетителите;</w:t>
      </w:r>
    </w:p>
    <w:p w14:paraId="7E63E625" w14:textId="617C0013" w:rsidR="007C1253" w:rsidRPr="002D2E31" w:rsidRDefault="00B85C29" w:rsidP="007C1253">
      <w:pPr>
        <w:pStyle w:val="action0"/>
        <w:ind w:left="567" w:hanging="567"/>
        <w:rPr>
          <w:color w:val="000000"/>
        </w:rPr>
      </w:pPr>
      <w:r>
        <w:rPr>
          <w:color w:val="000000"/>
        </w:rPr>
        <w:t>17</w:t>
      </w:r>
      <w:r w:rsidR="007C1253" w:rsidRPr="002D2E31">
        <w:rPr>
          <w:color w:val="000000"/>
        </w:rPr>
        <w:t>.</w:t>
      </w:r>
      <w:r w:rsidR="007C1253" w:rsidRPr="002D2E31">
        <w:rPr>
          <w:color w:val="000000"/>
        </w:rPr>
        <w:tab/>
        <w:t xml:space="preserve">отбелязва, че санирането на сградата „СПАК“ ще започне през 2027 г.; отбелязва, че общият бюджет за санирането е определен на 455 милиона евро и че за 2027 г. са предвидени 77,67 милиона евро; подчертава, че тези разходи не са включени в бюджета за 2027 г.; </w:t>
      </w:r>
      <w:bookmarkStart w:id="9" w:name="_Hlk227680019"/>
      <w:r w:rsidR="007C1253" w:rsidRPr="002D2E31">
        <w:rPr>
          <w:color w:val="000000"/>
        </w:rPr>
        <w:t>подчертава необходимостта да се осигури строг контрол на разходите, прозрачност и спазване на планирания бюджет;</w:t>
      </w:r>
      <w:r w:rsidR="007C1253" w:rsidRPr="002D2E31">
        <w:rPr>
          <w:b/>
          <w:i/>
          <w:color w:val="000000"/>
        </w:rPr>
        <w:t xml:space="preserve"> </w:t>
      </w:r>
      <w:bookmarkEnd w:id="9"/>
    </w:p>
    <w:p w14:paraId="5981196B" w14:textId="6D1BC53F" w:rsidR="007C1253" w:rsidRPr="002D2E31" w:rsidRDefault="00B85C29" w:rsidP="007C1253">
      <w:pPr>
        <w:pStyle w:val="action0"/>
        <w:ind w:left="567" w:hanging="567"/>
        <w:rPr>
          <w:color w:val="000000"/>
        </w:rPr>
      </w:pPr>
      <w:r>
        <w:rPr>
          <w:color w:val="000000"/>
        </w:rPr>
        <w:t>18</w:t>
      </w:r>
      <w:r w:rsidR="007C1253" w:rsidRPr="002D2E31">
        <w:rPr>
          <w:color w:val="000000"/>
        </w:rPr>
        <w:t>.</w:t>
      </w:r>
      <w:r w:rsidR="007C1253" w:rsidRPr="002D2E31">
        <w:rPr>
          <w:color w:val="000000"/>
        </w:rPr>
        <w:tab/>
        <w:t>отбелязва, че Парламентът възнамерява да сключи договори за заеми, включително с Европейската инвестиционна банка, за финансирането на проекта за саниране на сградата „СПАК“; отбелязва, че в бюджета за 2027 г. са включени разходите, свързани с лихвите (3,17 милиона евро) и с погасяването на главницата (0,65 милиона евро); настоятелно призовава, когато е приложимо, разходите, които не са пряко свързани със строителните работи във връзка със санирането, да бъдат ясно посочени и включени в бюджета; призовава администрацията да информира подробно комисията по бюджети относно приложимите лихвени проценти за заемите и дългосрочното планиране на погасяването на главницата; подчертава, че трябва да се гарантира внимателно управление на дълга;</w:t>
      </w:r>
    </w:p>
    <w:p w14:paraId="48B90100" w14:textId="5D6AF4C0" w:rsidR="007C1253" w:rsidRPr="002D2E31" w:rsidRDefault="00B85C29" w:rsidP="007C1253">
      <w:pPr>
        <w:pStyle w:val="action0"/>
        <w:ind w:left="567" w:hanging="567"/>
        <w:rPr>
          <w:b/>
          <w:bCs/>
          <w:i/>
          <w:iCs/>
          <w:color w:val="000000"/>
        </w:rPr>
      </w:pPr>
      <w:r>
        <w:rPr>
          <w:color w:val="000000"/>
        </w:rPr>
        <w:t>19</w:t>
      </w:r>
      <w:r w:rsidR="007C1253" w:rsidRPr="002D2E31">
        <w:rPr>
          <w:color w:val="000000"/>
        </w:rPr>
        <w:t>.</w:t>
      </w:r>
      <w:r w:rsidR="007C1253" w:rsidRPr="002D2E31">
        <w:rPr>
          <w:color w:val="000000"/>
        </w:rPr>
        <w:tab/>
        <w:t>изразява съжаление, че изостава изграждането на центрове „</w:t>
      </w:r>
      <w:proofErr w:type="spellStart"/>
      <w:r w:rsidR="007C1253" w:rsidRPr="002D2E31">
        <w:rPr>
          <w:color w:val="000000"/>
        </w:rPr>
        <w:t>Europa</w:t>
      </w:r>
      <w:proofErr w:type="spellEnd"/>
      <w:r w:rsidR="007C1253" w:rsidRPr="002D2E31">
        <w:rPr>
          <w:color w:val="000000"/>
        </w:rPr>
        <w:t xml:space="preserve"> </w:t>
      </w:r>
      <w:proofErr w:type="spellStart"/>
      <w:r w:rsidR="007C1253" w:rsidRPr="002D2E31">
        <w:rPr>
          <w:color w:val="000000"/>
        </w:rPr>
        <w:t>Experience</w:t>
      </w:r>
      <w:proofErr w:type="spellEnd"/>
      <w:r w:rsidR="007C1253" w:rsidRPr="002D2E31">
        <w:rPr>
          <w:color w:val="000000"/>
        </w:rPr>
        <w:t>“ във всички държави членки; приветства новата концепция, одобрена от Бюрото на 31 март 2025 г., за оптимизиране на използването на пространствата „</w:t>
      </w:r>
      <w:proofErr w:type="spellStart"/>
      <w:r w:rsidR="007C1253" w:rsidRPr="002D2E31">
        <w:rPr>
          <w:color w:val="000000"/>
        </w:rPr>
        <w:t>Europa</w:t>
      </w:r>
      <w:proofErr w:type="spellEnd"/>
      <w:r w:rsidR="007C1253" w:rsidRPr="002D2E31">
        <w:rPr>
          <w:color w:val="000000"/>
        </w:rPr>
        <w:t xml:space="preserve"> </w:t>
      </w:r>
      <w:proofErr w:type="spellStart"/>
      <w:r w:rsidR="007C1253" w:rsidRPr="002D2E31">
        <w:rPr>
          <w:color w:val="000000"/>
        </w:rPr>
        <w:t>Experience</w:t>
      </w:r>
      <w:proofErr w:type="spellEnd"/>
      <w:r w:rsidR="007C1253" w:rsidRPr="002D2E31">
        <w:rPr>
          <w:color w:val="000000"/>
        </w:rPr>
        <w:t>“, като се вземат предвид различните обстоятелства в държавите членки; подчертава, че е важно да се гарантира, че центровете „</w:t>
      </w:r>
      <w:proofErr w:type="spellStart"/>
      <w:r w:rsidR="007C1253" w:rsidRPr="002D2E31">
        <w:rPr>
          <w:color w:val="000000"/>
        </w:rPr>
        <w:t>Europa</w:t>
      </w:r>
      <w:proofErr w:type="spellEnd"/>
      <w:r w:rsidR="007C1253" w:rsidRPr="002D2E31">
        <w:rPr>
          <w:color w:val="000000"/>
        </w:rPr>
        <w:t xml:space="preserve"> </w:t>
      </w:r>
      <w:proofErr w:type="spellStart"/>
      <w:r w:rsidR="007C1253" w:rsidRPr="002D2E31">
        <w:rPr>
          <w:color w:val="000000"/>
        </w:rPr>
        <w:t>Experience</w:t>
      </w:r>
      <w:proofErr w:type="spellEnd"/>
      <w:r w:rsidR="007C1253" w:rsidRPr="002D2E31">
        <w:rPr>
          <w:color w:val="000000"/>
        </w:rPr>
        <w:t>“ предлагат интересно преживяване на посетителите, за да привличат гражданите; призовава за създаването на центрове „</w:t>
      </w:r>
      <w:proofErr w:type="spellStart"/>
      <w:r w:rsidR="007C1253" w:rsidRPr="002D2E31">
        <w:rPr>
          <w:color w:val="000000"/>
        </w:rPr>
        <w:t>Europa</w:t>
      </w:r>
      <w:proofErr w:type="spellEnd"/>
      <w:r w:rsidR="007C1253" w:rsidRPr="002D2E31">
        <w:rPr>
          <w:color w:val="000000"/>
        </w:rPr>
        <w:t xml:space="preserve"> </w:t>
      </w:r>
      <w:proofErr w:type="spellStart"/>
      <w:r w:rsidR="007C1253" w:rsidRPr="002D2E31">
        <w:rPr>
          <w:color w:val="000000"/>
        </w:rPr>
        <w:t>Experience</w:t>
      </w:r>
      <w:proofErr w:type="spellEnd"/>
      <w:r w:rsidR="007C1253" w:rsidRPr="002D2E31">
        <w:rPr>
          <w:color w:val="000000"/>
        </w:rPr>
        <w:t>“, като се даде приоритет на държавите членки, които са най-отдалечени от трите места на работа, и същевременно се гарантира, че развитието и функционирането на тези центрове са икономически ефективни; припомня, че центровете „</w:t>
      </w:r>
      <w:proofErr w:type="spellStart"/>
      <w:r w:rsidR="007C1253" w:rsidRPr="002D2E31">
        <w:rPr>
          <w:color w:val="000000"/>
        </w:rPr>
        <w:t>Europa</w:t>
      </w:r>
      <w:proofErr w:type="spellEnd"/>
      <w:r w:rsidR="007C1253" w:rsidRPr="002D2E31">
        <w:rPr>
          <w:color w:val="000000"/>
        </w:rPr>
        <w:t xml:space="preserve"> </w:t>
      </w:r>
      <w:proofErr w:type="spellStart"/>
      <w:r w:rsidR="007C1253" w:rsidRPr="002D2E31">
        <w:rPr>
          <w:color w:val="000000"/>
        </w:rPr>
        <w:t>Experience</w:t>
      </w:r>
      <w:proofErr w:type="spellEnd"/>
      <w:r w:rsidR="007C1253" w:rsidRPr="002D2E31">
        <w:rPr>
          <w:color w:val="000000"/>
        </w:rPr>
        <w:t>“ следва да дават възможност на всички граждани да разберат по-добре функционирането на институциите на Съюза и споделените европейски ценности; подчертава необходимостта от ефикасно използване на бюджетните кредити, разпределени за тези центрове, за да се гарантира, че те осигуряват комуникация и информационни дейности с голямо въздействие, по-специално за младите хора и уязвимите групи; подчертава, че финансирането следва да дава приоритет на разпространението на фактическа и достъпна информация относно въздействието на политиките на ЕС на местно равнище, което е икономически ефективен инструмент за защита на демократичната цялост на Съюза срещу дезинформация;</w:t>
      </w:r>
    </w:p>
    <w:p w14:paraId="7C6842C0" w14:textId="6B3C551F" w:rsidR="007C1253" w:rsidRPr="002D2E31" w:rsidRDefault="00B85C29" w:rsidP="007C1253">
      <w:pPr>
        <w:pStyle w:val="action0"/>
        <w:ind w:left="567" w:hanging="567"/>
        <w:rPr>
          <w:bCs/>
          <w:iCs/>
          <w:color w:val="000000"/>
        </w:rPr>
      </w:pPr>
      <w:r>
        <w:rPr>
          <w:color w:val="000000"/>
        </w:rPr>
        <w:t>20</w:t>
      </w:r>
      <w:r w:rsidR="007C1253" w:rsidRPr="002D2E31">
        <w:rPr>
          <w:color w:val="000000"/>
        </w:rPr>
        <w:t>.</w:t>
      </w:r>
      <w:r w:rsidR="007C1253" w:rsidRPr="002D2E31">
        <w:rPr>
          <w:color w:val="000000"/>
        </w:rPr>
        <w:tab/>
        <w:t xml:space="preserve">припомня значението на програмата „Училища — посланици на Европейския парламент“ за насърчаване на активната ангажираност сред младите европейци и </w:t>
      </w:r>
      <w:r w:rsidR="007C1253" w:rsidRPr="002D2E31">
        <w:rPr>
          <w:color w:val="000000"/>
        </w:rPr>
        <w:lastRenderedPageBreak/>
        <w:t xml:space="preserve">на програмата за обучение на млади журналисти, която носи името на Давид </w:t>
      </w:r>
      <w:proofErr w:type="spellStart"/>
      <w:r w:rsidR="007C1253" w:rsidRPr="002D2E31">
        <w:rPr>
          <w:color w:val="000000"/>
        </w:rPr>
        <w:t>Сасоли</w:t>
      </w:r>
      <w:proofErr w:type="spellEnd"/>
      <w:r w:rsidR="007C1253" w:rsidRPr="002D2E31">
        <w:rPr>
          <w:color w:val="000000"/>
        </w:rPr>
        <w:t>, за укрепване на разбирането за Съюза и неговото функциониране сред журналистите, като най-доброто средство за противодействие на дезинформацията, с оглед на последните тенденции, които показват тревожен спад в свободата и независимостта на медиите в целия Съюз;</w:t>
      </w:r>
    </w:p>
    <w:p w14:paraId="46D5B337" w14:textId="049A6B45" w:rsidR="007C1253" w:rsidRPr="002D2E31" w:rsidRDefault="00B85C29" w:rsidP="007C1253">
      <w:pPr>
        <w:pStyle w:val="action0"/>
        <w:ind w:left="567" w:hanging="567"/>
        <w:rPr>
          <w:bCs/>
          <w:iCs/>
          <w:color w:val="000000"/>
        </w:rPr>
      </w:pPr>
      <w:r>
        <w:rPr>
          <w:color w:val="000000"/>
        </w:rPr>
        <w:t>21</w:t>
      </w:r>
      <w:r w:rsidR="007C1253" w:rsidRPr="002D2E31">
        <w:rPr>
          <w:color w:val="000000"/>
        </w:rPr>
        <w:t>.</w:t>
      </w:r>
      <w:r w:rsidR="007C1253" w:rsidRPr="002D2E31">
        <w:rPr>
          <w:color w:val="000000"/>
        </w:rPr>
        <w:tab/>
        <w:t>отново изразява подкрепа за изграждането в Брюксел на общоевропейски мемориал в памет на жертвите на тоталитарните режими от 20-и век, който да отразява многообразието на историческия опит; призовава Бюрото да разгледа този въпрос с оглед на приемането на решение, като надлежно вземе предвид бюджетните ограничения през последните години от изпълнението на действащата МФР и икономическите трудности, пред които са изправени европейските граждани;</w:t>
      </w:r>
    </w:p>
    <w:p w14:paraId="0F491B60" w14:textId="3311E3D9" w:rsidR="007C1253" w:rsidRPr="002D2E31" w:rsidRDefault="00B85C29" w:rsidP="007C1253">
      <w:pPr>
        <w:pStyle w:val="action0"/>
        <w:ind w:left="567" w:hanging="567"/>
        <w:rPr>
          <w:bCs/>
          <w:iCs/>
          <w:color w:val="000000"/>
        </w:rPr>
      </w:pPr>
      <w:r>
        <w:rPr>
          <w:color w:val="000000"/>
        </w:rPr>
        <w:t>22</w:t>
      </w:r>
      <w:r w:rsidR="007C1253" w:rsidRPr="002D2E31">
        <w:rPr>
          <w:color w:val="000000"/>
        </w:rPr>
        <w:t>.</w:t>
      </w:r>
      <w:r w:rsidR="007C1253" w:rsidRPr="002D2E31">
        <w:rPr>
          <w:color w:val="000000"/>
        </w:rPr>
        <w:tab/>
        <w:t>подчертава факта, че финансовите разходи и разходите за околна среда биха могли да намалеят, ако Парламентът има едно седалище; припомня, че съгласно Договора за Европейския съюз седалището на Парламента е в Страсбург; отбелязва, че въвеждането на постоянни промени ще изиска изменение на Договора, за което е необходимо единодушие;</w:t>
      </w:r>
    </w:p>
    <w:p w14:paraId="02ABF5EA" w14:textId="77777777" w:rsidR="007C1253" w:rsidRPr="002D2E31" w:rsidRDefault="007C1253" w:rsidP="007C1253">
      <w:pPr>
        <w:pStyle w:val="action0"/>
        <w:ind w:left="0" w:firstLine="0"/>
        <w:rPr>
          <w:b/>
          <w:i/>
          <w:color w:val="000000"/>
        </w:rPr>
      </w:pPr>
      <w:r w:rsidRPr="002D2E31">
        <w:rPr>
          <w:b/>
          <w:i/>
          <w:color w:val="000000"/>
        </w:rPr>
        <w:t xml:space="preserve">Екологосъобразен Парламент </w:t>
      </w:r>
    </w:p>
    <w:p w14:paraId="1A05C2CA" w14:textId="505ED4FF" w:rsidR="007C1253" w:rsidRPr="002D2E31" w:rsidRDefault="00B85C29" w:rsidP="007C1253">
      <w:pPr>
        <w:widowControl/>
        <w:spacing w:after="240"/>
        <w:ind w:left="567" w:hanging="567"/>
        <w:rPr>
          <w:color w:val="000000"/>
        </w:rPr>
      </w:pPr>
      <w:r>
        <w:rPr>
          <w:color w:val="000000"/>
        </w:rPr>
        <w:t>23</w:t>
      </w:r>
      <w:r w:rsidR="007C1253" w:rsidRPr="002D2E31">
        <w:rPr>
          <w:color w:val="000000"/>
        </w:rPr>
        <w:t>.</w:t>
      </w:r>
      <w:r w:rsidR="007C1253" w:rsidRPr="002D2E31">
        <w:rPr>
          <w:color w:val="000000"/>
        </w:rPr>
        <w:tab/>
        <w:t>приветства целите на системата на Парламента за управление на околната среда (EMAS) за периода 2025—2029 г.; приветства инвестициите в инфраструктура като част от планираните действия за енергийна ефективност и екологично саниране, предвидени между 2025 и 2029 г., което е добър метод за постигане на икономическа ефективност; отбелязва бюджета от 8,97 милиона евро за инвестиции в енергийна ефективност и околна среда в бюджетната прогноза за 2027 г. с цел допълнително подобряване на екологичните характеристики на сградите на Парламента; отбелязва, че това съответства на увеличение с 6,1% спрямо бюджета за 2026 г.; приветства факта, че Парламентът инсталира и продължава да инсталира фотоволтаични панели с цел допълнително увеличаване на дела на енергията от възобновяеми източници, добивана на място; подчертава необходимостта да се гарантира, че тези инвестиции водят до измеримо повишаване на ефективността, като се има предвид също така геополитическият контекст, и да се постигнат дългосрочни икономии на разходи;</w:t>
      </w:r>
    </w:p>
    <w:p w14:paraId="6A0E7C60" w14:textId="611E1A52" w:rsidR="007C1253" w:rsidRPr="002D2E31" w:rsidRDefault="00B85C29" w:rsidP="007C1253">
      <w:pPr>
        <w:widowControl/>
        <w:spacing w:after="240"/>
        <w:ind w:left="567" w:hanging="567"/>
        <w:rPr>
          <w:bCs/>
          <w:iCs/>
          <w:color w:val="000000"/>
        </w:rPr>
      </w:pPr>
      <w:r>
        <w:rPr>
          <w:color w:val="000000"/>
        </w:rPr>
        <w:t>24</w:t>
      </w:r>
      <w:r w:rsidR="007C1253" w:rsidRPr="002D2E31">
        <w:rPr>
          <w:color w:val="000000"/>
        </w:rPr>
        <w:t>.</w:t>
      </w:r>
      <w:r w:rsidR="007C1253" w:rsidRPr="002D2E31">
        <w:rPr>
          <w:color w:val="000000"/>
        </w:rPr>
        <w:tab/>
        <w:t>припомня, че близо две трети от въглеродния отпечатък на Парламента се дължи на превоза на хора; отбелязва, че значителна част от бюджета на Парламента, 162,1 милиона евро през 2027 г., се изразходва за покриване на командировъчните разходи на членовете и служителите на ЕП; призовава органите на Парламента да обмислят практиките във връзка с командировките извън трите места на работа и да преразгледат правилата и практиките за командировките с общата цел да се намали броят на командировките и свързаните с тях финансови разходи и разходи за околна среда; насърчава членовете на ЕП да използват нисковъглеродни транспортни алтернативи и варианти за икономически най-изгодни полети;</w:t>
      </w:r>
    </w:p>
    <w:p w14:paraId="48C65A2C" w14:textId="5AE493E7" w:rsidR="007C1253" w:rsidRPr="002D2E31" w:rsidRDefault="00B85C29" w:rsidP="007C1253">
      <w:pPr>
        <w:widowControl/>
        <w:spacing w:after="240"/>
        <w:ind w:left="567" w:hanging="567"/>
        <w:rPr>
          <w:bCs/>
          <w:iCs/>
          <w:color w:val="000000"/>
        </w:rPr>
      </w:pPr>
      <w:r>
        <w:rPr>
          <w:color w:val="000000"/>
        </w:rPr>
        <w:t>25</w:t>
      </w:r>
      <w:r w:rsidR="007C1253" w:rsidRPr="002D2E31">
        <w:rPr>
          <w:color w:val="000000"/>
        </w:rPr>
        <w:t>.</w:t>
      </w:r>
      <w:r w:rsidR="007C1253" w:rsidRPr="002D2E31">
        <w:rPr>
          <w:color w:val="000000"/>
        </w:rPr>
        <w:tab/>
        <w:t xml:space="preserve">приветства увеличеното използване на обществения транспорт за пътуване до и от работното място и същевременно отбелязва нарасналия брой заявки към системата за финансово подпомагане за закупуването на абонаментни карти за обществения транспорт, по-специално в Брюксел, което води до увеличаване на бюджетните кредити; счита, че Парламентът трябва да даде пример, като </w:t>
      </w:r>
      <w:r w:rsidR="007C1253" w:rsidRPr="002D2E31">
        <w:rPr>
          <w:color w:val="000000"/>
        </w:rPr>
        <w:lastRenderedPageBreak/>
        <w:t>насърчава възможни мерки за осигуряване на ефективното усвояване на ресурсите чрез утвърждаване на устойчивите видове транспорт за пътуване до и от работното място и създаване на допълнителни стимули за пътуване до и от работното място с велосипед;</w:t>
      </w:r>
    </w:p>
    <w:p w14:paraId="7C7E2804" w14:textId="0E0AF623" w:rsidR="007C1253" w:rsidRPr="002D2E31" w:rsidRDefault="00B85C29" w:rsidP="007C1253">
      <w:pPr>
        <w:widowControl/>
        <w:spacing w:after="240"/>
        <w:ind w:left="567" w:hanging="567"/>
        <w:rPr>
          <w:color w:val="000000"/>
        </w:rPr>
      </w:pPr>
      <w:r>
        <w:rPr>
          <w:color w:val="000000"/>
        </w:rPr>
        <w:t>26</w:t>
      </w:r>
      <w:r w:rsidR="007C1253" w:rsidRPr="002D2E31">
        <w:rPr>
          <w:color w:val="000000"/>
        </w:rPr>
        <w:t>.</w:t>
      </w:r>
      <w:r w:rsidR="007C1253" w:rsidRPr="002D2E31">
        <w:rPr>
          <w:color w:val="000000"/>
        </w:rPr>
        <w:tab/>
        <w:t>отбелязва прогнозираното значително увеличение на цените на въглеродните кредити, като при настоящите нива на емисии се изчислява, че ще са необходими около 950 000 EUR за 2027 г.; призовава администрацията да даде приоритет на намаляването на емисиите на Парламента, включително чрез увеличаване на инвестициите в чисти отоплителни, вентилационни и климатични инсталации, и по-специално инсталации с термопомпи в Брюксел, както и други пропорционални и икономически ефективни мерки за намаляване на емисиите, когато това е разумно, пред закупуването на въглеродни кредити; приветства въвеждането на подобрена оферта за пътуване с влак във връзка с командировките до Страсбург, считано от юни 2025 г., като положителна стъпка за намаляване на емисиите на CO</w:t>
      </w:r>
      <w:r w:rsidR="007C1253" w:rsidRPr="002D2E31">
        <w:rPr>
          <w:color w:val="000000"/>
          <w:vertAlign w:val="subscript"/>
        </w:rPr>
        <w:t>2</w:t>
      </w:r>
      <w:r w:rsidR="007C1253" w:rsidRPr="002D2E31">
        <w:rPr>
          <w:color w:val="000000"/>
        </w:rPr>
        <w:t xml:space="preserve">; </w:t>
      </w:r>
    </w:p>
    <w:p w14:paraId="0ED22016" w14:textId="77777777" w:rsidR="007C1253" w:rsidRPr="002D2E31" w:rsidRDefault="007C1253" w:rsidP="007C1253">
      <w:pPr>
        <w:pStyle w:val="action0"/>
        <w:ind w:left="0" w:firstLine="0"/>
        <w:rPr>
          <w:b/>
          <w:i/>
          <w:color w:val="000000"/>
        </w:rPr>
      </w:pPr>
      <w:r w:rsidRPr="002D2E31">
        <w:rPr>
          <w:b/>
          <w:i/>
          <w:color w:val="000000"/>
        </w:rPr>
        <w:t>Други</w:t>
      </w:r>
    </w:p>
    <w:p w14:paraId="2E259E92" w14:textId="559161CC" w:rsidR="007C1253" w:rsidRPr="002D2E31" w:rsidRDefault="00B85C29" w:rsidP="007C1253">
      <w:pPr>
        <w:pStyle w:val="action0"/>
        <w:ind w:left="567" w:hanging="567"/>
        <w:rPr>
          <w:bCs/>
          <w:iCs/>
          <w:color w:val="000000"/>
        </w:rPr>
      </w:pPr>
      <w:r>
        <w:rPr>
          <w:color w:val="000000"/>
        </w:rPr>
        <w:t>27</w:t>
      </w:r>
      <w:r w:rsidR="007C1253" w:rsidRPr="002D2E31">
        <w:rPr>
          <w:color w:val="000000"/>
        </w:rPr>
        <w:t>.</w:t>
      </w:r>
      <w:r w:rsidR="007C1253" w:rsidRPr="002D2E31">
        <w:rPr>
          <w:color w:val="000000"/>
        </w:rPr>
        <w:tab/>
        <w:t>призовава Председателския съвет да представи без по-нататъшно забавяне решение относно съответните членове от своя вътрешен правилник относно възможността акредитирани парламентарни сътрудници да придружават членовете на ЕП в официални командировки и делегации извън трите места на работа на Парламента, когато Генералният секретариат на Парламента не е бил официално уведомен за участието на служител на тяхната политическа група, представена в командировката;</w:t>
      </w:r>
    </w:p>
    <w:p w14:paraId="7370C861" w14:textId="4561BB15" w:rsidR="00035C52" w:rsidRDefault="00B85C29" w:rsidP="007C1253">
      <w:pPr>
        <w:spacing w:after="240"/>
        <w:ind w:left="567" w:hanging="567"/>
        <w:rPr>
          <w:color w:val="000000"/>
        </w:rPr>
      </w:pPr>
      <w:r>
        <w:rPr>
          <w:color w:val="000000"/>
        </w:rPr>
        <w:t>28</w:t>
      </w:r>
      <w:r w:rsidR="007C1253" w:rsidRPr="002D2E31">
        <w:rPr>
          <w:color w:val="000000"/>
        </w:rPr>
        <w:t>.</w:t>
      </w:r>
      <w:r w:rsidR="007C1253" w:rsidRPr="002D2E31">
        <w:rPr>
          <w:color w:val="000000"/>
        </w:rPr>
        <w:tab/>
        <w:t>счита, че Парламентът следва да дава пример във връзка с правата на хората с увреждания, едновременно като работодател и като публична институция; приветства политиката на Парламента, насочена към осигуряване на напълно самостоятелно ползване на сградите на Парламента от страна на хората с увреждания, и подкрепя допълнителните мерки и приспособяване, които са необходими в това отношение; отбелязва, че в бюджета са предвидени 2,07 милиона евро за тази цел за сградите на Парламента в Страсбург; подчертава, че достъпността следва да бъде особено важен критерий при санирането на сградата „СПАК“ и разработването на всички цифрови платформи;</w:t>
      </w:r>
    </w:p>
    <w:p w14:paraId="744111D1" w14:textId="70D25502" w:rsidR="007C1253" w:rsidRPr="00035C52" w:rsidRDefault="00B85C29" w:rsidP="007C1253">
      <w:pPr>
        <w:spacing w:after="240"/>
        <w:ind w:left="567" w:hanging="567"/>
        <w:rPr>
          <w:bCs/>
          <w:iCs/>
          <w:color w:val="000000"/>
        </w:rPr>
      </w:pPr>
      <w:r>
        <w:rPr>
          <w:bCs/>
          <w:iCs/>
          <w:color w:val="000000"/>
        </w:rPr>
        <w:t>29</w:t>
      </w:r>
      <w:r w:rsidR="00035C52" w:rsidRPr="00035C52">
        <w:rPr>
          <w:bCs/>
          <w:iCs/>
          <w:color w:val="000000"/>
        </w:rPr>
        <w:t>.</w:t>
      </w:r>
      <w:r w:rsidR="00035C52" w:rsidRPr="00035C52">
        <w:rPr>
          <w:bCs/>
          <w:iCs/>
          <w:color w:val="000000"/>
        </w:rPr>
        <w:tab/>
        <w:t xml:space="preserve">приветства неотдавнашните инициативи, одобрени от Председателския съвет и Бюрото, да се даде възможност на членове на ЕП по време на </w:t>
      </w:r>
      <w:proofErr w:type="spellStart"/>
      <w:r w:rsidR="00035C52" w:rsidRPr="00035C52">
        <w:rPr>
          <w:bCs/>
          <w:iCs/>
          <w:color w:val="000000"/>
        </w:rPr>
        <w:t>перинаталния</w:t>
      </w:r>
      <w:proofErr w:type="spellEnd"/>
      <w:r w:rsidR="00035C52" w:rsidRPr="00035C52">
        <w:rPr>
          <w:bCs/>
          <w:iCs/>
          <w:color w:val="000000"/>
        </w:rPr>
        <w:t xml:space="preserve"> период да гласуват чрез пълномощник, като признава това като положителна стъпка към по-голямо приобщаване в парламентарната работа, и призовава всички страни бързо да приложат мярката; настоява обаче, че мярката не отговаря на многократните призиви на Парламента да се гарантира правото на глас не само за членовете на ЕП по време на </w:t>
      </w:r>
      <w:proofErr w:type="spellStart"/>
      <w:r w:rsidR="00035C52" w:rsidRPr="00035C52">
        <w:rPr>
          <w:bCs/>
          <w:iCs/>
          <w:color w:val="000000"/>
        </w:rPr>
        <w:t>перинаталния</w:t>
      </w:r>
      <w:proofErr w:type="spellEnd"/>
      <w:r w:rsidR="00035C52" w:rsidRPr="00035C52">
        <w:rPr>
          <w:bCs/>
          <w:iCs/>
          <w:color w:val="000000"/>
        </w:rPr>
        <w:t xml:space="preserve"> период, но и за членовете на ЕП, които ползват отпуск за отглеждане на дете или отпуск по бащинство или които страдат от удостоверено продължително заболяване;</w:t>
      </w:r>
      <w:r w:rsidR="007C1253" w:rsidRPr="00035C52">
        <w:rPr>
          <w:bCs/>
          <w:iCs/>
          <w:color w:val="000000"/>
        </w:rPr>
        <w:t xml:space="preserve"> </w:t>
      </w:r>
    </w:p>
    <w:p w14:paraId="7F556367" w14:textId="3F80316B" w:rsidR="007C1253" w:rsidRPr="002D2E31" w:rsidRDefault="00B85C29" w:rsidP="007C1253">
      <w:pPr>
        <w:spacing w:after="240"/>
        <w:ind w:left="567" w:hanging="567"/>
        <w:rPr>
          <w:bCs/>
          <w:iCs/>
          <w:color w:val="000000"/>
        </w:rPr>
      </w:pPr>
      <w:r>
        <w:rPr>
          <w:color w:val="000000"/>
        </w:rPr>
        <w:t>30</w:t>
      </w:r>
      <w:r w:rsidR="007C1253" w:rsidRPr="002D2E31">
        <w:rPr>
          <w:color w:val="000000"/>
        </w:rPr>
        <w:t>.</w:t>
      </w:r>
      <w:r w:rsidR="007C1253" w:rsidRPr="002D2E31">
        <w:rPr>
          <w:color w:val="000000"/>
        </w:rPr>
        <w:tab/>
      </w:r>
      <w:r w:rsidR="00035C52" w:rsidRPr="00035C52">
        <w:rPr>
          <w:color w:val="000000"/>
        </w:rPr>
        <w:t>изразява загриженост, че качеството и непрекъснатостта на услугите, предоставяни от детската ясла „</w:t>
      </w:r>
      <w:proofErr w:type="spellStart"/>
      <w:r w:rsidR="00035C52" w:rsidRPr="00035C52">
        <w:rPr>
          <w:color w:val="000000"/>
        </w:rPr>
        <w:t>Вайенберг</w:t>
      </w:r>
      <w:proofErr w:type="spellEnd"/>
      <w:r w:rsidR="00035C52" w:rsidRPr="00035C52">
        <w:rPr>
          <w:color w:val="000000"/>
        </w:rPr>
        <w:t xml:space="preserve">“ на Парламента, са засегнати от честата смяна на доставчиците на услуги от 2020 г. насам, наред с предизвикателствата, свързани с недостига на служители, честите отсъствия на служителите и голямото текучество в детската ясла; </w:t>
      </w:r>
      <w:r w:rsidR="007C1253" w:rsidRPr="002D2E31">
        <w:rPr>
          <w:color w:val="000000"/>
        </w:rPr>
        <w:t>отбелязва</w:t>
      </w:r>
      <w:r w:rsidR="00035C52" w:rsidRPr="00035C52">
        <w:rPr>
          <w:color w:val="000000"/>
        </w:rPr>
        <w:t xml:space="preserve">, че настоящият </w:t>
      </w:r>
      <w:r w:rsidR="00035C52" w:rsidRPr="00035C52">
        <w:rPr>
          <w:color w:val="000000"/>
        </w:rPr>
        <w:lastRenderedPageBreak/>
        <w:t xml:space="preserve">договор за предоставянето на услуги за грижи за деца в Брюксел е възложен на ново дружество, учредено скоро след публикуването на обявлението за обществена поръчка и за което се твърди, че е свързано с предишния доставчик, </w:t>
      </w:r>
      <w:proofErr w:type="spellStart"/>
      <w:r w:rsidR="00035C52" w:rsidRPr="00035C52">
        <w:rPr>
          <w:color w:val="000000"/>
        </w:rPr>
        <w:t>Esedra</w:t>
      </w:r>
      <w:proofErr w:type="spellEnd"/>
      <w:r w:rsidR="00035C52" w:rsidRPr="00035C52">
        <w:rPr>
          <w:color w:val="000000"/>
        </w:rPr>
        <w:t>; припомня</w:t>
      </w:r>
      <w:r w:rsidR="007C1253" w:rsidRPr="002D2E31">
        <w:rPr>
          <w:color w:val="000000"/>
        </w:rPr>
        <w:t xml:space="preserve"> предсрочното прекратяване </w:t>
      </w:r>
      <w:r w:rsidR="00035C52" w:rsidRPr="00035C52">
        <w:rPr>
          <w:color w:val="000000"/>
        </w:rPr>
        <w:t xml:space="preserve">от страна на Парламента </w:t>
      </w:r>
      <w:r w:rsidR="007C1253" w:rsidRPr="002D2E31">
        <w:rPr>
          <w:color w:val="000000"/>
        </w:rPr>
        <w:t>на договора с предишния доставчик на детската ясла „</w:t>
      </w:r>
      <w:proofErr w:type="spellStart"/>
      <w:r w:rsidR="007C1253" w:rsidRPr="002D2E31">
        <w:rPr>
          <w:color w:val="000000"/>
        </w:rPr>
        <w:t>Вайенберг</w:t>
      </w:r>
      <w:proofErr w:type="spellEnd"/>
      <w:r w:rsidR="007C1253" w:rsidRPr="002D2E31">
        <w:rPr>
          <w:color w:val="000000"/>
        </w:rPr>
        <w:t>“</w:t>
      </w:r>
      <w:r w:rsidR="00035C52" w:rsidRPr="00035C52">
        <w:rPr>
          <w:color w:val="000000"/>
        </w:rPr>
        <w:t xml:space="preserve">, </w:t>
      </w:r>
      <w:proofErr w:type="spellStart"/>
      <w:r w:rsidR="00035C52" w:rsidRPr="00035C52">
        <w:rPr>
          <w:color w:val="000000"/>
        </w:rPr>
        <w:t>Esedra</w:t>
      </w:r>
      <w:proofErr w:type="spellEnd"/>
      <w:r w:rsidR="00035C52" w:rsidRPr="00035C52">
        <w:rPr>
          <w:color w:val="000000"/>
        </w:rPr>
        <w:t>,</w:t>
      </w:r>
      <w:r w:rsidR="007C1253" w:rsidRPr="002D2E31">
        <w:rPr>
          <w:color w:val="000000"/>
        </w:rPr>
        <w:t xml:space="preserve"> след редица сериозни обвинения срещу </w:t>
      </w:r>
      <w:r w:rsidR="00035C52" w:rsidRPr="00035C52">
        <w:rPr>
          <w:color w:val="000000"/>
        </w:rPr>
        <w:t xml:space="preserve">въпросния </w:t>
      </w:r>
      <w:r w:rsidR="007C1253" w:rsidRPr="002D2E31">
        <w:rPr>
          <w:color w:val="000000"/>
        </w:rPr>
        <w:t xml:space="preserve">изпълнител; отново заявява, че достойните условия на труд </w:t>
      </w:r>
      <w:r w:rsidR="00035C52" w:rsidRPr="00035C52">
        <w:rPr>
          <w:color w:val="000000"/>
        </w:rPr>
        <w:t xml:space="preserve">и подобаващите заплати </w:t>
      </w:r>
      <w:r w:rsidR="007C1253" w:rsidRPr="002D2E31">
        <w:rPr>
          <w:color w:val="000000"/>
        </w:rPr>
        <w:t xml:space="preserve">за външния персонал, </w:t>
      </w:r>
      <w:r w:rsidR="00035C52" w:rsidRPr="00035C52">
        <w:rPr>
          <w:color w:val="000000"/>
        </w:rPr>
        <w:t xml:space="preserve">включително </w:t>
      </w:r>
      <w:r w:rsidR="007C1253" w:rsidRPr="002D2E31">
        <w:rPr>
          <w:color w:val="000000"/>
        </w:rPr>
        <w:t>обучение, развитие на умения</w:t>
      </w:r>
      <w:r w:rsidR="00035C52" w:rsidRPr="00035C52">
        <w:rPr>
          <w:color w:val="000000"/>
        </w:rPr>
        <w:t>, мерки за предотвратяване на насилие и тормоз, съдържателен социален диалог</w:t>
      </w:r>
      <w:r w:rsidR="007C1253" w:rsidRPr="002D2E31">
        <w:rPr>
          <w:color w:val="000000"/>
        </w:rPr>
        <w:t xml:space="preserve"> и инвестиции в благосъстоянието на персонала, следва, когато е целесъобразно, да бъдат по принцип приоритетно съображение при възлагането на обществени поръчки от Парламента;</w:t>
      </w:r>
      <w:r w:rsidR="00035C52">
        <w:rPr>
          <w:color w:val="000000"/>
        </w:rPr>
        <w:t xml:space="preserve"> </w:t>
      </w:r>
      <w:r w:rsidR="00035C52" w:rsidRPr="00035C52">
        <w:rPr>
          <w:color w:val="000000"/>
        </w:rPr>
        <w:t xml:space="preserve">призовава за независим външен одит на процедурата за възлагане на обществена поръчка и на изпълнението на действащия договор, включително независима външна оценка на условията на труд и благосъстоянието на служителите; </w:t>
      </w:r>
    </w:p>
    <w:p w14:paraId="09D35697" w14:textId="33F49988" w:rsidR="007C1253" w:rsidRPr="002D2E31" w:rsidRDefault="00B85C29" w:rsidP="007C1253">
      <w:pPr>
        <w:spacing w:after="240"/>
        <w:ind w:left="567" w:hanging="567"/>
        <w:rPr>
          <w:bCs/>
          <w:iCs/>
          <w:color w:val="000000"/>
        </w:rPr>
      </w:pPr>
      <w:r>
        <w:rPr>
          <w:color w:val="000000"/>
        </w:rPr>
        <w:t>31</w:t>
      </w:r>
      <w:r w:rsidR="007C1253" w:rsidRPr="002D2E31">
        <w:rPr>
          <w:color w:val="000000"/>
        </w:rPr>
        <w:t>.</w:t>
      </w:r>
      <w:r w:rsidR="007C1253" w:rsidRPr="002D2E31">
        <w:rPr>
          <w:color w:val="000000"/>
        </w:rPr>
        <w:tab/>
        <w:t>приветства семейната стая в Страсбург като ценна подкрепа за членовете на ЕП и служителите с малки деца по време на техните парламентарни дейности; отбелязва обаче, че капацитетът ѝ е ограничен до 30 деца; отбелязва, че средната възраст на членовете на ЕП и на парламентарните служители намаля през последните години, което доведе до по-голям брой млади семейства и повишено търсене на детски заведения; призовава Бюрото и генералния секретар да намерят и приложат решения за по-нататъшно подобряване на грижите за деца в Страсбург;</w:t>
      </w:r>
    </w:p>
    <w:p w14:paraId="0BAD8F30" w14:textId="49B2D112" w:rsidR="007C1253" w:rsidRPr="002D2E31" w:rsidRDefault="00B85C29" w:rsidP="007C1253">
      <w:pPr>
        <w:spacing w:after="240"/>
        <w:ind w:left="567" w:hanging="567"/>
        <w:rPr>
          <w:color w:val="000000"/>
        </w:rPr>
      </w:pPr>
      <w:r>
        <w:rPr>
          <w:color w:val="000000"/>
        </w:rPr>
        <w:t>32</w:t>
      </w:r>
      <w:r w:rsidR="007C1253" w:rsidRPr="002D2E31">
        <w:rPr>
          <w:color w:val="000000"/>
        </w:rPr>
        <w:t>.</w:t>
      </w:r>
      <w:r w:rsidR="007C1253" w:rsidRPr="002D2E31">
        <w:rPr>
          <w:color w:val="000000"/>
        </w:rPr>
        <w:tab/>
        <w:t xml:space="preserve">отново призовава генералния секретар да подчертае основния принцип, според който всички назначения следва да се основават на компетентността, като същевременно се осигурява географски баланс между всички държави членки на всяко длъжностно равнище; подчертава, че постигането на справедливо географско представителство на всички равнища в администрацията, като се вземат предвид също така възрастта и полът, е от съществено значение за насърчаването на една наистина европейска публична служба; отбелязва, че Парламентът предприе мерки в подкрепа на тази цел, включително чрез организирането на конкурси по националности; подчертава необходимостта от ускоряване на процедурите във връзка с конкурсите, като същевременно строго се поддържа подход на основан на заслугите подбор; </w:t>
      </w:r>
    </w:p>
    <w:p w14:paraId="1C5ADDFC" w14:textId="6C0B7122" w:rsidR="007C1253" w:rsidRPr="002D2E31" w:rsidRDefault="00B85C29" w:rsidP="007C1253">
      <w:pPr>
        <w:spacing w:after="240"/>
        <w:ind w:left="567" w:hanging="567"/>
        <w:rPr>
          <w:color w:val="000000"/>
        </w:rPr>
      </w:pPr>
      <w:r>
        <w:rPr>
          <w:color w:val="000000"/>
        </w:rPr>
        <w:t>33</w:t>
      </w:r>
      <w:r w:rsidR="007C1253" w:rsidRPr="002D2E31">
        <w:rPr>
          <w:color w:val="000000"/>
        </w:rPr>
        <w:t>.</w:t>
      </w:r>
      <w:r w:rsidR="007C1253" w:rsidRPr="002D2E31">
        <w:rPr>
          <w:color w:val="000000"/>
        </w:rPr>
        <w:tab/>
        <w:t xml:space="preserve">подчертава, че многоезичието е основен принцип, на който се основава работата на Парламента; изисква, когато е целесъобразно, Парламентът да се възползва от големите технологични промени в областта на услугите, свързани с многоезичието, включително разработването и използването на ИИ; </w:t>
      </w:r>
    </w:p>
    <w:p w14:paraId="6502D334" w14:textId="0E001E24" w:rsidR="007C1253" w:rsidRPr="002D2E31" w:rsidRDefault="00B85C29" w:rsidP="007C1253">
      <w:pPr>
        <w:spacing w:after="240"/>
        <w:ind w:left="567" w:hanging="567"/>
        <w:rPr>
          <w:bCs/>
          <w:iCs/>
          <w:color w:val="000000"/>
        </w:rPr>
      </w:pPr>
      <w:r>
        <w:rPr>
          <w:color w:val="000000"/>
        </w:rPr>
        <w:t>34</w:t>
      </w:r>
      <w:r w:rsidR="007C1253" w:rsidRPr="002D2E31">
        <w:rPr>
          <w:color w:val="000000"/>
        </w:rPr>
        <w:t>.</w:t>
      </w:r>
      <w:r w:rsidR="007C1253" w:rsidRPr="002D2E31">
        <w:rPr>
          <w:color w:val="000000"/>
        </w:rPr>
        <w:tab/>
        <w:t>отбелязва решението от 17 декември 2025 г. на Общия съд на Съда на Европейския съюз, с което се потвърждава законосъобразността на мерките, приети от Бюрото през 2023 г. по отношение на Фонда за доброволно пенсионно осигуряване за членовете на ЕП</w:t>
      </w:r>
      <w:r w:rsidR="007C1253" w:rsidRPr="002D2E31">
        <w:rPr>
          <w:rStyle w:val="FootnoteReference"/>
          <w:bCs/>
          <w:iCs/>
          <w:color w:val="000000"/>
        </w:rPr>
        <w:footnoteReference w:id="13"/>
      </w:r>
      <w:r w:rsidR="007C1253" w:rsidRPr="002D2E31">
        <w:rPr>
          <w:color w:val="000000"/>
        </w:rPr>
        <w:t xml:space="preserve">; подчертава, че въпреки че тези мерки намалиха задължението за изплащане на обезщетения с 63%, фондът продължава да бъде в много нестабилно финансово положение; очаква да получи актуална информация за по-нататъшното развитие във връзка със схемата за доброволно пенсионно </w:t>
      </w:r>
      <w:r w:rsidR="007C1253" w:rsidRPr="002D2E31">
        <w:rPr>
          <w:color w:val="000000"/>
        </w:rPr>
        <w:lastRenderedPageBreak/>
        <w:t>осигуряване;</w:t>
      </w:r>
    </w:p>
    <w:p w14:paraId="386D56BF" w14:textId="3590F710" w:rsidR="007C1253" w:rsidRPr="002D2E31" w:rsidRDefault="00B85C29" w:rsidP="007C1253">
      <w:pPr>
        <w:spacing w:after="240"/>
        <w:ind w:left="567" w:hanging="567"/>
        <w:rPr>
          <w:bCs/>
          <w:iCs/>
          <w:color w:val="000000"/>
        </w:rPr>
      </w:pPr>
      <w:r>
        <w:rPr>
          <w:color w:val="000000"/>
        </w:rPr>
        <w:t>35</w:t>
      </w:r>
      <w:r w:rsidR="007C1253" w:rsidRPr="002D2E31">
        <w:rPr>
          <w:color w:val="000000"/>
        </w:rPr>
        <w:t>.</w:t>
      </w:r>
      <w:r w:rsidR="007C1253" w:rsidRPr="002D2E31">
        <w:rPr>
          <w:color w:val="000000"/>
        </w:rPr>
        <w:tab/>
        <w:t>подчертава, че исканията, гласувани в пленарна зала, следва да бъдат изпълнявани с висок приоритет;</w:t>
      </w:r>
    </w:p>
    <w:p w14:paraId="55A5A398" w14:textId="1562EC31" w:rsidR="007C1253" w:rsidRPr="002D2E31" w:rsidRDefault="00B85C29" w:rsidP="007C1253">
      <w:pPr>
        <w:spacing w:after="240"/>
        <w:ind w:left="567" w:hanging="567"/>
      </w:pPr>
      <w:r>
        <w:t>36</w:t>
      </w:r>
      <w:r w:rsidR="007C1253" w:rsidRPr="002D2E31">
        <w:t>.</w:t>
      </w:r>
      <w:r w:rsidR="007C1253" w:rsidRPr="002D2E31">
        <w:tab/>
        <w:t>приема бюджетната прогноза за финансовата 2027 година;</w:t>
      </w:r>
    </w:p>
    <w:p w14:paraId="74AEE9FD" w14:textId="0F0BE34E" w:rsidR="00E365E1" w:rsidRPr="002D2E31" w:rsidRDefault="00B85C29" w:rsidP="00AF2943">
      <w:pPr>
        <w:spacing w:after="240"/>
        <w:ind w:left="567" w:hanging="567"/>
        <w:jc w:val="both"/>
      </w:pPr>
      <w:r>
        <w:t>37</w:t>
      </w:r>
      <w:r w:rsidR="007C1253" w:rsidRPr="002D2E31">
        <w:t>.</w:t>
      </w:r>
      <w:r w:rsidR="007C1253" w:rsidRPr="002D2E31">
        <w:tab/>
        <w:t xml:space="preserve">възлага на своя председател да предаде настоящата резолюция и бюджетната прогноза съответно </w:t>
      </w:r>
      <w:r w:rsidR="002D2E31" w:rsidRPr="002D2E31">
        <w:t>на Съвета и на Комисията.</w:t>
      </w:r>
    </w:p>
    <w:sectPr w:rsidR="00E365E1" w:rsidRPr="002D2E31" w:rsidSect="00AF2943">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5D2B1" w14:textId="77777777" w:rsidR="00B764AB" w:rsidRPr="002D2E31" w:rsidRDefault="00B764AB">
      <w:r w:rsidRPr="002D2E31">
        <w:separator/>
      </w:r>
    </w:p>
  </w:endnote>
  <w:endnote w:type="continuationSeparator" w:id="0">
    <w:p w14:paraId="09B710BD" w14:textId="77777777" w:rsidR="00B764AB" w:rsidRPr="002D2E31" w:rsidRDefault="00B764AB">
      <w:r w:rsidRPr="002D2E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1D4F4" w14:textId="77777777" w:rsidR="00B764AB" w:rsidRPr="002D2E31" w:rsidRDefault="00B764AB">
      <w:r w:rsidRPr="002D2E31">
        <w:separator/>
      </w:r>
    </w:p>
  </w:footnote>
  <w:footnote w:type="continuationSeparator" w:id="0">
    <w:p w14:paraId="27511217" w14:textId="77777777" w:rsidR="00B764AB" w:rsidRPr="002D2E31" w:rsidRDefault="00B764AB">
      <w:r w:rsidRPr="002D2E31">
        <w:continuationSeparator/>
      </w:r>
    </w:p>
  </w:footnote>
  <w:footnote w:id="1">
    <w:p w14:paraId="681479EB" w14:textId="4D4670CA" w:rsidR="007C1253" w:rsidRPr="002D2E31" w:rsidRDefault="007C1253" w:rsidP="002D2E31">
      <w:pPr>
        <w:ind w:left="567" w:hanging="567"/>
        <w:rPr>
          <w:color w:val="000000"/>
        </w:rPr>
      </w:pPr>
      <w:r w:rsidRPr="002D2E31">
        <w:rPr>
          <w:rStyle w:val="FootnoteReference"/>
        </w:rPr>
        <w:footnoteRef/>
      </w:r>
      <w:r w:rsidR="002D2E31" w:rsidRPr="002D2E31">
        <w:rPr>
          <w:color w:val="000000"/>
        </w:rPr>
        <w:t xml:space="preserve"> </w:t>
      </w:r>
      <w:r w:rsidR="002D2E31" w:rsidRPr="002D2E31">
        <w:rPr>
          <w:color w:val="000000"/>
        </w:rPr>
        <w:tab/>
      </w:r>
      <w:r w:rsidRPr="002D2E31">
        <w:rPr>
          <w:color w:val="000000"/>
        </w:rPr>
        <w:t xml:space="preserve">ОВ L, 2024/2509, 26.9.2024 г., ELI: </w:t>
      </w:r>
      <w:hyperlink r:id="rId1" w:history="1">
        <w:r w:rsidRPr="002D2E31">
          <w:rPr>
            <w:rStyle w:val="Hyperlink"/>
          </w:rPr>
          <w:t>http://data.europa.eu/eli/reg/2024/2509/oj</w:t>
        </w:r>
      </w:hyperlink>
      <w:r w:rsidRPr="002D2E31">
        <w:rPr>
          <w:color w:val="337AB7"/>
          <w:u w:val="single"/>
        </w:rPr>
        <w:t>.</w:t>
      </w:r>
    </w:p>
  </w:footnote>
  <w:footnote w:id="2">
    <w:p w14:paraId="74961172" w14:textId="07883878" w:rsidR="007C1253" w:rsidRPr="002D2E31" w:rsidRDefault="007C1253" w:rsidP="002D2E31">
      <w:pPr>
        <w:ind w:left="567" w:hanging="567"/>
        <w:rPr>
          <w:color w:val="000000"/>
        </w:rPr>
      </w:pPr>
      <w:r w:rsidRPr="002D2E31">
        <w:rPr>
          <w:rStyle w:val="FootnoteReference"/>
        </w:rPr>
        <w:footnoteRef/>
      </w:r>
      <w:r w:rsidR="002D2E31" w:rsidRPr="002D2E31">
        <w:rPr>
          <w:color w:val="000000"/>
        </w:rPr>
        <w:t xml:space="preserve"> </w:t>
      </w:r>
      <w:r w:rsidR="002D2E31" w:rsidRPr="002D2E31">
        <w:rPr>
          <w:color w:val="000000"/>
        </w:rPr>
        <w:tab/>
      </w:r>
      <w:r w:rsidRPr="002D2E31">
        <w:rPr>
          <w:color w:val="000000"/>
        </w:rPr>
        <w:t xml:space="preserve">ОВ L 433 I, 22.12.2020 г., стр. 11, ELI: </w:t>
      </w:r>
      <w:hyperlink r:id="rId2" w:history="1">
        <w:r w:rsidRPr="002D2E31">
          <w:rPr>
            <w:rStyle w:val="Hyperlink"/>
          </w:rPr>
          <w:t>http://data.europa.eu/eli/reg/2020/2093/oj</w:t>
        </w:r>
      </w:hyperlink>
      <w:r w:rsidRPr="002D2E31">
        <w:rPr>
          <w:color w:val="000000"/>
        </w:rPr>
        <w:t>.</w:t>
      </w:r>
    </w:p>
  </w:footnote>
  <w:footnote w:id="3">
    <w:p w14:paraId="3C2843E4" w14:textId="71AD251B" w:rsidR="007C1253" w:rsidRPr="002D2E31" w:rsidRDefault="007C1253" w:rsidP="002D2E31">
      <w:pPr>
        <w:ind w:left="567" w:hanging="567"/>
        <w:rPr>
          <w:color w:val="000000"/>
        </w:rPr>
      </w:pPr>
      <w:r w:rsidRPr="002D2E31">
        <w:rPr>
          <w:rStyle w:val="FootnoteReference"/>
        </w:rPr>
        <w:footnoteRef/>
      </w:r>
      <w:r w:rsidR="002D2E31" w:rsidRPr="002D2E31">
        <w:rPr>
          <w:color w:val="000000"/>
        </w:rPr>
        <w:t xml:space="preserve"> </w:t>
      </w:r>
      <w:r w:rsidR="002D2E31" w:rsidRPr="002D2E31">
        <w:rPr>
          <w:color w:val="000000"/>
        </w:rPr>
        <w:tab/>
      </w:r>
      <w:r w:rsidRPr="002D2E31">
        <w:rPr>
          <w:color w:val="000000"/>
        </w:rPr>
        <w:t>ОВ C 444 I, 22.12.2020 г., стр. 4.</w:t>
      </w:r>
    </w:p>
  </w:footnote>
  <w:footnote w:id="4">
    <w:p w14:paraId="6FC156DF" w14:textId="25A8C365" w:rsidR="007C1253" w:rsidRPr="002D2E31" w:rsidRDefault="007C1253" w:rsidP="002D2E31">
      <w:pPr>
        <w:ind w:left="567" w:hanging="567"/>
        <w:rPr>
          <w:color w:val="000000"/>
        </w:rPr>
      </w:pPr>
      <w:r w:rsidRPr="002D2E31">
        <w:rPr>
          <w:rStyle w:val="FootnoteReference"/>
        </w:rPr>
        <w:footnoteRef/>
      </w:r>
      <w:r w:rsidR="002D2E31" w:rsidRPr="002D2E31">
        <w:rPr>
          <w:color w:val="000000"/>
        </w:rPr>
        <w:t xml:space="preserve"> </w:t>
      </w:r>
      <w:r w:rsidR="002D2E31" w:rsidRPr="002D2E31">
        <w:rPr>
          <w:color w:val="000000"/>
        </w:rPr>
        <w:tab/>
      </w:r>
      <w:r w:rsidRPr="002D2E31">
        <w:rPr>
          <w:color w:val="000000"/>
        </w:rPr>
        <w:t>ОВ C 445, 29.10.2021 г., стр. 252.</w:t>
      </w:r>
    </w:p>
  </w:footnote>
  <w:footnote w:id="5">
    <w:p w14:paraId="672E8911" w14:textId="5899E7BF" w:rsidR="007C1253" w:rsidRPr="002D2E31" w:rsidRDefault="007C1253" w:rsidP="002D2E31">
      <w:pPr>
        <w:ind w:left="567" w:hanging="567"/>
      </w:pPr>
      <w:r w:rsidRPr="002D2E31">
        <w:rPr>
          <w:rStyle w:val="FootnoteReference"/>
          <w:rFonts w:eastAsiaTheme="majorEastAsia"/>
        </w:rPr>
        <w:footnoteRef/>
      </w:r>
      <w:r w:rsidR="002D2E31" w:rsidRPr="002D2E31">
        <w:t xml:space="preserve"> </w:t>
      </w:r>
      <w:r w:rsidR="002D2E31" w:rsidRPr="002D2E31">
        <w:tab/>
      </w:r>
      <w:r w:rsidRPr="002D2E31">
        <w:t xml:space="preserve">ОВ L 325, 20.12.2022 г., стр. 11, ELI: </w:t>
      </w:r>
      <w:hyperlink r:id="rId3" w:history="1">
        <w:r w:rsidRPr="002D2E31">
          <w:rPr>
            <w:rStyle w:val="Hyperlink"/>
          </w:rPr>
          <w:t>http://data.europa.eu/eli/reg/2022/2496/oj</w:t>
        </w:r>
      </w:hyperlink>
      <w:r w:rsidRPr="002D2E31">
        <w:t>.</w:t>
      </w:r>
    </w:p>
  </w:footnote>
  <w:footnote w:id="6">
    <w:p w14:paraId="7F4D4C48" w14:textId="77150CD8" w:rsidR="007C1253" w:rsidRPr="002D2E31" w:rsidRDefault="007C1253" w:rsidP="002D2E31">
      <w:pPr>
        <w:ind w:left="567" w:hanging="567"/>
      </w:pPr>
      <w:r w:rsidRPr="002D2E31">
        <w:rPr>
          <w:rStyle w:val="FootnoteReference"/>
        </w:rPr>
        <w:footnoteRef/>
      </w:r>
      <w:r w:rsidR="002D2E31" w:rsidRPr="002D2E31">
        <w:t xml:space="preserve"> </w:t>
      </w:r>
      <w:r w:rsidR="002D2E31" w:rsidRPr="002D2E31">
        <w:tab/>
      </w:r>
      <w:r w:rsidRPr="002D2E31">
        <w:t xml:space="preserve">ОВ L, 2024/765, 29.2.2024 г., ELI: </w:t>
      </w:r>
      <w:hyperlink r:id="rId4" w:history="1">
        <w:r w:rsidRPr="002D2E31">
          <w:rPr>
            <w:rStyle w:val="Hyperlink"/>
          </w:rPr>
          <w:t>http://data.europa.eu/eli/reg/2024/765/oj</w:t>
        </w:r>
      </w:hyperlink>
      <w:r w:rsidRPr="002D2E31">
        <w:t>.</w:t>
      </w:r>
    </w:p>
  </w:footnote>
  <w:footnote w:id="7">
    <w:p w14:paraId="537450B4" w14:textId="1F9072ED" w:rsidR="007C1253" w:rsidRPr="002D2E31" w:rsidRDefault="007C1253" w:rsidP="002D2E31">
      <w:pPr>
        <w:ind w:left="567" w:hanging="567"/>
        <w:rPr>
          <w:color w:val="000000"/>
        </w:rPr>
      </w:pPr>
      <w:r w:rsidRPr="002D2E31">
        <w:rPr>
          <w:rStyle w:val="FootnoteReference"/>
        </w:rPr>
        <w:footnoteRef/>
      </w:r>
      <w:r w:rsidR="002D2E31" w:rsidRPr="002D2E31">
        <w:rPr>
          <w:color w:val="000000"/>
        </w:rPr>
        <w:t xml:space="preserve"> </w:t>
      </w:r>
      <w:r w:rsidR="002D2E31" w:rsidRPr="002D2E31">
        <w:rPr>
          <w:color w:val="000000"/>
        </w:rPr>
        <w:tab/>
      </w:r>
      <w:r w:rsidRPr="002D2E31">
        <w:rPr>
          <w:color w:val="000000"/>
        </w:rPr>
        <w:t xml:space="preserve">OВ L 433 I, 22.12.2020 г., стр. 28, ELI: </w:t>
      </w:r>
      <w:hyperlink r:id="rId5" w:history="1">
        <w:r w:rsidRPr="002D2E31">
          <w:rPr>
            <w:rStyle w:val="Hyperlink"/>
          </w:rPr>
          <w:t>http://data.europa.eu/eli/agree_interinstit/2020/1222/oj</w:t>
        </w:r>
      </w:hyperlink>
      <w:r w:rsidRPr="002D2E31">
        <w:rPr>
          <w:color w:val="000000"/>
        </w:rPr>
        <w:t>.</w:t>
      </w:r>
    </w:p>
  </w:footnote>
  <w:footnote w:id="8">
    <w:p w14:paraId="3048EE9F" w14:textId="3F357868" w:rsidR="007C1253" w:rsidRPr="002D2E31" w:rsidRDefault="007C1253" w:rsidP="002D2E31">
      <w:pPr>
        <w:ind w:left="567" w:hanging="567"/>
        <w:rPr>
          <w:color w:val="000000"/>
        </w:rPr>
      </w:pPr>
      <w:r w:rsidRPr="002D2E31">
        <w:rPr>
          <w:rStyle w:val="FootnoteReference"/>
        </w:rPr>
        <w:footnoteRef/>
      </w:r>
      <w:r w:rsidR="002D2E31" w:rsidRPr="002D2E31">
        <w:rPr>
          <w:color w:val="000000"/>
        </w:rPr>
        <w:t xml:space="preserve"> </w:t>
      </w:r>
      <w:r w:rsidR="002D2E31" w:rsidRPr="002D2E31">
        <w:rPr>
          <w:color w:val="000000"/>
        </w:rPr>
        <w:tab/>
      </w:r>
      <w:r w:rsidRPr="002D2E31">
        <w:rPr>
          <w:color w:val="000000"/>
        </w:rPr>
        <w:t>ОВ C 445, 29.10.2021 г., стр. 240.</w:t>
      </w:r>
    </w:p>
  </w:footnote>
  <w:footnote w:id="9">
    <w:p w14:paraId="78F70C72" w14:textId="212FAF37" w:rsidR="007C1253" w:rsidRPr="002D2E31" w:rsidRDefault="007C1253" w:rsidP="002D2E31">
      <w:pPr>
        <w:ind w:left="567" w:hanging="567"/>
        <w:rPr>
          <w:color w:val="000000"/>
        </w:rPr>
      </w:pPr>
      <w:r w:rsidRPr="002D2E31">
        <w:rPr>
          <w:rStyle w:val="FootnoteReference"/>
        </w:rPr>
        <w:footnoteRef/>
      </w:r>
      <w:r w:rsidR="002D2E31" w:rsidRPr="002D2E31">
        <w:rPr>
          <w:color w:val="000000"/>
        </w:rPr>
        <w:t xml:space="preserve"> </w:t>
      </w:r>
      <w:r w:rsidR="002D2E31" w:rsidRPr="002D2E31">
        <w:rPr>
          <w:color w:val="000000"/>
        </w:rPr>
        <w:tab/>
      </w:r>
      <w:r w:rsidRPr="002D2E31">
        <w:rPr>
          <w:color w:val="000000"/>
        </w:rPr>
        <w:t>ОВ C 177, 17.5.2023 г., стр. 115.</w:t>
      </w:r>
    </w:p>
  </w:footnote>
  <w:footnote w:id="10">
    <w:p w14:paraId="38A56494" w14:textId="66BFB378" w:rsidR="007C1253" w:rsidRPr="002D2E31" w:rsidRDefault="007C1253" w:rsidP="002D2E31">
      <w:pPr>
        <w:ind w:left="567" w:hanging="567"/>
        <w:rPr>
          <w:color w:val="000000"/>
        </w:rPr>
      </w:pPr>
      <w:r w:rsidRPr="002D2E31">
        <w:rPr>
          <w:rStyle w:val="FootnoteReference"/>
        </w:rPr>
        <w:footnoteRef/>
      </w:r>
      <w:r w:rsidR="002D2E31" w:rsidRPr="002D2E31">
        <w:rPr>
          <w:color w:val="000000"/>
        </w:rPr>
        <w:t xml:space="preserve"> </w:t>
      </w:r>
      <w:r w:rsidR="002D2E31" w:rsidRPr="002D2E31">
        <w:rPr>
          <w:color w:val="000000"/>
        </w:rPr>
        <w:tab/>
      </w:r>
      <w:r w:rsidRPr="002D2E31">
        <w:rPr>
          <w:color w:val="000000"/>
        </w:rPr>
        <w:t xml:space="preserve">ОВ C, C/2024/1195, 23.2.2024 г., ELI: </w:t>
      </w:r>
      <w:hyperlink r:id="rId6" w:history="1">
        <w:r w:rsidRPr="002D2E31">
          <w:rPr>
            <w:rStyle w:val="Hyperlink"/>
          </w:rPr>
          <w:t>http://data.europa.eu/eli/C/2024/1195/oj</w:t>
        </w:r>
      </w:hyperlink>
      <w:r w:rsidRPr="002D2E31">
        <w:rPr>
          <w:color w:val="000000"/>
        </w:rPr>
        <w:t>.</w:t>
      </w:r>
    </w:p>
  </w:footnote>
  <w:footnote w:id="11">
    <w:p w14:paraId="3C1062A6" w14:textId="063EFA94" w:rsidR="007C1253" w:rsidRPr="002D2E31" w:rsidRDefault="007C1253" w:rsidP="002D2E31">
      <w:pPr>
        <w:ind w:left="567" w:hanging="567"/>
        <w:rPr>
          <w:color w:val="000000"/>
        </w:rPr>
      </w:pPr>
      <w:r w:rsidRPr="002D2E31">
        <w:rPr>
          <w:rStyle w:val="FootnoteReference"/>
        </w:rPr>
        <w:footnoteRef/>
      </w:r>
      <w:r w:rsidR="002D2E31" w:rsidRPr="002D2E31">
        <w:rPr>
          <w:color w:val="000000"/>
        </w:rPr>
        <w:t xml:space="preserve"> </w:t>
      </w:r>
      <w:r w:rsidR="002D2E31" w:rsidRPr="002D2E31">
        <w:rPr>
          <w:color w:val="000000"/>
        </w:rPr>
        <w:tab/>
      </w:r>
      <w:r w:rsidRPr="002D2E31">
        <w:rPr>
          <w:color w:val="000000"/>
        </w:rPr>
        <w:t xml:space="preserve">ОВ C, C/2024/6751, 26.11.2024 г., ELI: </w:t>
      </w:r>
      <w:hyperlink r:id="rId7" w:history="1">
        <w:r w:rsidRPr="002D2E31">
          <w:rPr>
            <w:rStyle w:val="Hyperlink"/>
          </w:rPr>
          <w:t>http://data.europa.eu/eli/C/2024/6751/oj</w:t>
        </w:r>
      </w:hyperlink>
      <w:r w:rsidRPr="002D2E31">
        <w:rPr>
          <w:color w:val="000000"/>
        </w:rPr>
        <w:t>.</w:t>
      </w:r>
    </w:p>
  </w:footnote>
  <w:footnote w:id="12">
    <w:p w14:paraId="5BA54ED3" w14:textId="56D0F73F" w:rsidR="007C1253" w:rsidRPr="002D2E31" w:rsidRDefault="007C1253" w:rsidP="002D2E31">
      <w:pPr>
        <w:ind w:left="567" w:hanging="567"/>
        <w:rPr>
          <w:color w:val="000000"/>
        </w:rPr>
      </w:pPr>
      <w:r w:rsidRPr="002D2E31">
        <w:rPr>
          <w:rStyle w:val="FootnoteReference"/>
        </w:rPr>
        <w:footnoteRef/>
      </w:r>
      <w:r w:rsidR="002D2E31" w:rsidRPr="002D2E31">
        <w:rPr>
          <w:color w:val="000000"/>
        </w:rPr>
        <w:t xml:space="preserve"> </w:t>
      </w:r>
      <w:r w:rsidR="002D2E31" w:rsidRPr="002D2E31">
        <w:rPr>
          <w:color w:val="000000"/>
        </w:rPr>
        <w:tab/>
      </w:r>
      <w:r w:rsidRPr="002D2E31">
        <w:rPr>
          <w:color w:val="000000"/>
        </w:rPr>
        <w:t xml:space="preserve">ОВ L, 2026/72, 26.2.2026 г., ELI: </w:t>
      </w:r>
      <w:hyperlink r:id="rId8" w:history="1">
        <w:r w:rsidRPr="002D2E31">
          <w:rPr>
            <w:rStyle w:val="Hyperlink"/>
          </w:rPr>
          <w:t>http://data.europa.eu/eli/budget/2026/72/oj</w:t>
        </w:r>
      </w:hyperlink>
      <w:r w:rsidRPr="002D2E31">
        <w:rPr>
          <w:color w:val="000000"/>
        </w:rPr>
        <w:t xml:space="preserve">. </w:t>
      </w:r>
    </w:p>
  </w:footnote>
  <w:footnote w:id="13">
    <w:p w14:paraId="6FCDCA4B" w14:textId="7B095DF9" w:rsidR="007C1253" w:rsidRPr="002D2E31" w:rsidRDefault="007C1253" w:rsidP="002D2E31">
      <w:pPr>
        <w:pStyle w:val="FootnoteText"/>
        <w:ind w:left="567" w:hanging="567"/>
        <w:rPr>
          <w:sz w:val="24"/>
          <w:lang w:val="bg-BG"/>
        </w:rPr>
      </w:pPr>
      <w:r w:rsidRPr="002D2E31">
        <w:rPr>
          <w:rStyle w:val="FootnoteReference"/>
          <w:sz w:val="24"/>
          <w:lang w:val="bg-BG"/>
        </w:rPr>
        <w:footnoteRef/>
      </w:r>
      <w:r w:rsidR="002D2E31" w:rsidRPr="002D2E31">
        <w:rPr>
          <w:sz w:val="24"/>
          <w:lang w:val="bg-BG"/>
        </w:rPr>
        <w:t xml:space="preserve"> </w:t>
      </w:r>
      <w:r w:rsidR="002D2E31" w:rsidRPr="002D2E31">
        <w:rPr>
          <w:sz w:val="24"/>
          <w:lang w:val="bg-BG"/>
        </w:rPr>
        <w:tab/>
      </w:r>
      <w:r w:rsidRPr="002D2E31">
        <w:rPr>
          <w:sz w:val="24"/>
          <w:lang w:val="bg-BG"/>
        </w:rPr>
        <w:t xml:space="preserve">Решение на Общия съд от 17 декември 2025 г., </w:t>
      </w:r>
      <w:r w:rsidRPr="002D2E31">
        <w:rPr>
          <w:i/>
          <w:sz w:val="24"/>
          <w:lang w:val="bg-BG"/>
        </w:rPr>
        <w:t>FE</w:t>
      </w:r>
      <w:r w:rsidRPr="002D2E31">
        <w:rPr>
          <w:sz w:val="24"/>
          <w:lang w:val="bg-BG"/>
        </w:rPr>
        <w:t>/</w:t>
      </w:r>
      <w:r w:rsidRPr="002D2E31">
        <w:rPr>
          <w:i/>
          <w:sz w:val="24"/>
          <w:lang w:val="bg-BG"/>
        </w:rPr>
        <w:t>Парламент</w:t>
      </w:r>
      <w:r w:rsidRPr="002D2E31">
        <w:rPr>
          <w:sz w:val="24"/>
          <w:lang w:val="bg-BG"/>
        </w:rPr>
        <w:t>, T</w:t>
      </w:r>
      <w:r w:rsidRPr="002D2E31">
        <w:rPr>
          <w:sz w:val="24"/>
          <w:lang w:val="bg-BG"/>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3E8"/>
    <w:multiLevelType w:val="multilevel"/>
    <w:tmpl w:val="3B9ACA00"/>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700"/>
        </w:tabs>
        <w:ind w:left="1700" w:hanging="1700"/>
      </w:pPr>
    </w:lvl>
    <w:lvl w:ilvl="5">
      <w:start w:val="1"/>
      <w:numFmt w:val="decimal"/>
      <w:lvlText w:val="%1.%2.%3.%4.%5.%6."/>
      <w:lvlJc w:val="left"/>
      <w:pPr>
        <w:tabs>
          <w:tab w:val="num" w:pos="1700"/>
        </w:tabs>
        <w:ind w:left="1700" w:hanging="1700"/>
      </w:pPr>
    </w:lvl>
    <w:lvl w:ilvl="6">
      <w:start w:val="1"/>
      <w:numFmt w:val="decimal"/>
      <w:lvlText w:val="%1.%2.%3.%4.%5.%6.%7."/>
      <w:lvlJc w:val="left"/>
      <w:pPr>
        <w:tabs>
          <w:tab w:val="num" w:pos="1700"/>
        </w:tabs>
        <w:ind w:left="1700" w:hanging="1700"/>
      </w:pPr>
    </w:lvl>
    <w:lvl w:ilvl="7">
      <w:start w:val="1"/>
      <w:numFmt w:val="decimal"/>
      <w:lvlText w:val="%1.%2.%3.%4.%5.%6.%7.%8."/>
      <w:lvlJc w:val="left"/>
      <w:pPr>
        <w:tabs>
          <w:tab w:val="num" w:pos="1700"/>
        </w:tabs>
        <w:ind w:left="1700" w:hanging="1700"/>
      </w:pPr>
    </w:lvl>
    <w:lvl w:ilvl="8">
      <w:start w:val="1"/>
      <w:numFmt w:val="decimal"/>
      <w:lvlText w:val="%1.%2.%3.%4.%5.%6.%7.%8.%9."/>
      <w:lvlJc w:val="left"/>
      <w:pPr>
        <w:tabs>
          <w:tab w:val="num" w:pos="1700"/>
        </w:tabs>
        <w:ind w:left="1700" w:hanging="1700"/>
      </w:pPr>
    </w:lvl>
  </w:abstractNum>
  <w:abstractNum w:abstractNumId="1" w15:restartNumberingAfterBreak="0">
    <w:nsid w:val="000003F2"/>
    <w:multiLevelType w:val="singleLevel"/>
    <w:tmpl w:val="4190AB00"/>
    <w:name w:val="Tiret 0"/>
    <w:lvl w:ilvl="0">
      <w:start w:val="1"/>
      <w:numFmt w:val="bullet"/>
      <w:lvlRestart w:val="0"/>
      <w:lvlText w:val="–"/>
      <w:lvlJc w:val="left"/>
      <w:pPr>
        <w:tabs>
          <w:tab w:val="num" w:pos="850"/>
        </w:tabs>
        <w:ind w:left="850" w:hanging="850"/>
      </w:pPr>
    </w:lvl>
  </w:abstractNum>
  <w:abstractNum w:abstractNumId="2" w15:restartNumberingAfterBreak="0">
    <w:nsid w:val="000003F3"/>
    <w:multiLevelType w:val="singleLevel"/>
    <w:tmpl w:val="4190AB01"/>
    <w:name w:val="Tiret 1"/>
    <w:lvl w:ilvl="0">
      <w:start w:val="1"/>
      <w:numFmt w:val="bullet"/>
      <w:lvlRestart w:val="0"/>
      <w:lvlText w:val="–"/>
      <w:lvlJc w:val="left"/>
      <w:pPr>
        <w:tabs>
          <w:tab w:val="num" w:pos="1417"/>
        </w:tabs>
        <w:ind w:left="1417" w:hanging="567"/>
      </w:pPr>
    </w:lvl>
  </w:abstractNum>
  <w:abstractNum w:abstractNumId="3" w15:restartNumberingAfterBreak="0">
    <w:nsid w:val="000003F4"/>
    <w:multiLevelType w:val="singleLevel"/>
    <w:tmpl w:val="4190AB02"/>
    <w:name w:val="Tiret 2"/>
    <w:lvl w:ilvl="0">
      <w:start w:val="1"/>
      <w:numFmt w:val="bullet"/>
      <w:lvlRestart w:val="0"/>
      <w:lvlText w:val="–"/>
      <w:lvlJc w:val="left"/>
      <w:pPr>
        <w:tabs>
          <w:tab w:val="num" w:pos="1984"/>
        </w:tabs>
        <w:ind w:left="1984" w:hanging="567"/>
      </w:pPr>
    </w:lvl>
  </w:abstractNum>
  <w:abstractNum w:abstractNumId="4" w15:restartNumberingAfterBreak="0">
    <w:nsid w:val="000003F5"/>
    <w:multiLevelType w:val="singleLevel"/>
    <w:tmpl w:val="4190AB03"/>
    <w:name w:val="Tiret 3"/>
    <w:lvl w:ilvl="0">
      <w:start w:val="1"/>
      <w:numFmt w:val="bullet"/>
      <w:lvlRestart w:val="0"/>
      <w:lvlText w:val="–"/>
      <w:lvlJc w:val="left"/>
      <w:pPr>
        <w:tabs>
          <w:tab w:val="num" w:pos="2551"/>
        </w:tabs>
        <w:ind w:left="2551" w:hanging="567"/>
      </w:pPr>
    </w:lvl>
  </w:abstractNum>
  <w:abstractNum w:abstractNumId="5" w15:restartNumberingAfterBreak="0">
    <w:nsid w:val="000003F6"/>
    <w:multiLevelType w:val="singleLevel"/>
    <w:tmpl w:val="4190AB04"/>
    <w:name w:val="Tiret 4"/>
    <w:lvl w:ilvl="0">
      <w:start w:val="1"/>
      <w:numFmt w:val="bullet"/>
      <w:lvlRestart w:val="0"/>
      <w:lvlText w:val="–"/>
      <w:lvlJc w:val="left"/>
      <w:pPr>
        <w:tabs>
          <w:tab w:val="num" w:pos="3118"/>
        </w:tabs>
        <w:ind w:left="3118" w:hanging="567"/>
      </w:pPr>
    </w:lvl>
  </w:abstractNum>
  <w:abstractNum w:abstractNumId="6"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5548751">
    <w:abstractNumId w:val="6"/>
  </w:num>
  <w:num w:numId="2" w16cid:durableId="46611392">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BG"/>
    <w:docVar w:name="dvnumam" w:val="0"/>
    <w:docVar w:name="dvpe" w:val="785.303"/>
    <w:docVar w:name="dvrapporteur" w:val="Докладчик: "/>
    <w:docVar w:name="dvtitre" w:val="Резолюция на Европейския парламент от ... 2026 г. относно бюджетната прогноза за приходите и разходите на Европейския парламент за финансовата 2027 година(2025/2247(BUI))"/>
  </w:docVars>
  <w:rsids>
    <w:rsidRoot w:val="00B764AB"/>
    <w:rsid w:val="00002272"/>
    <w:rsid w:val="00035C52"/>
    <w:rsid w:val="00064002"/>
    <w:rsid w:val="000677B9"/>
    <w:rsid w:val="000831BA"/>
    <w:rsid w:val="000A42CC"/>
    <w:rsid w:val="000E7DD9"/>
    <w:rsid w:val="0010095E"/>
    <w:rsid w:val="00125B37"/>
    <w:rsid w:val="00187494"/>
    <w:rsid w:val="001F32AE"/>
    <w:rsid w:val="002767FF"/>
    <w:rsid w:val="002B18FE"/>
    <w:rsid w:val="002B5493"/>
    <w:rsid w:val="002D2E3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1253"/>
    <w:rsid w:val="007D1690"/>
    <w:rsid w:val="007E22AD"/>
    <w:rsid w:val="00805DB2"/>
    <w:rsid w:val="00817416"/>
    <w:rsid w:val="00842779"/>
    <w:rsid w:val="00865F67"/>
    <w:rsid w:val="00881A7B"/>
    <w:rsid w:val="008840E5"/>
    <w:rsid w:val="00887B3E"/>
    <w:rsid w:val="008C2AC6"/>
    <w:rsid w:val="00930C23"/>
    <w:rsid w:val="0093193B"/>
    <w:rsid w:val="009464F0"/>
    <w:rsid w:val="009509D8"/>
    <w:rsid w:val="00950B64"/>
    <w:rsid w:val="00981893"/>
    <w:rsid w:val="00A1687D"/>
    <w:rsid w:val="00A43E52"/>
    <w:rsid w:val="00A4678D"/>
    <w:rsid w:val="00A778C7"/>
    <w:rsid w:val="00AB441E"/>
    <w:rsid w:val="00AB6293"/>
    <w:rsid w:val="00AE0928"/>
    <w:rsid w:val="00AF2943"/>
    <w:rsid w:val="00AF3B82"/>
    <w:rsid w:val="00B12E95"/>
    <w:rsid w:val="00B22876"/>
    <w:rsid w:val="00B558F0"/>
    <w:rsid w:val="00B764AB"/>
    <w:rsid w:val="00B85C2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E8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600E8"/>
  <w15:chartTrackingRefBased/>
  <w15:docId w15:val="{BD714715-D866-469C-B76C-7BE6DBF3F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9"/>
    <w:qFormat/>
    <w:pPr>
      <w:spacing w:before="240" w:after="60"/>
      <w:outlineLvl w:val="5"/>
    </w:pPr>
    <w:rPr>
      <w:i/>
      <w:sz w:val="22"/>
    </w:rPr>
  </w:style>
  <w:style w:type="paragraph" w:styleId="Heading7">
    <w:name w:val="heading 7"/>
    <w:basedOn w:val="Normal"/>
    <w:next w:val="Normal"/>
    <w:link w:val="Heading7Char"/>
    <w:uiPriority w:val="99"/>
    <w:qFormat/>
    <w:pPr>
      <w:spacing w:before="240" w:after="60"/>
      <w:outlineLvl w:val="6"/>
    </w:pPr>
    <w:rPr>
      <w:rFonts w:ascii="Arial" w:hAnsi="Arial"/>
    </w:rPr>
  </w:style>
  <w:style w:type="paragraph" w:styleId="Heading8">
    <w:name w:val="heading 8"/>
    <w:basedOn w:val="Normal"/>
    <w:next w:val="Normal"/>
    <w:link w:val="Heading8Char"/>
    <w:uiPriority w:val="99"/>
    <w:qFormat/>
    <w:pPr>
      <w:spacing w:before="240" w:after="60"/>
      <w:outlineLvl w:val="7"/>
    </w:pPr>
    <w:rPr>
      <w:rFonts w:ascii="Arial" w:hAnsi="Arial"/>
      <w:i/>
    </w:rPr>
  </w:style>
  <w:style w:type="paragraph" w:styleId="Heading9">
    <w:name w:val="heading 9"/>
    <w:basedOn w:val="Normal"/>
    <w:next w:val="Normal"/>
    <w:link w:val="Heading9Char"/>
    <w:uiPriority w:val="9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C1253"/>
    <w:rPr>
      <w:b/>
      <w:kern w:val="28"/>
      <w:sz w:val="28"/>
      <w:lang w:val="fr-FR" w:eastAsia="fr-FR"/>
    </w:rPr>
  </w:style>
  <w:style w:type="character" w:customStyle="1" w:styleId="Heading2Char">
    <w:name w:val="Heading 2 Char"/>
    <w:basedOn w:val="DefaultParagraphFont"/>
    <w:link w:val="Heading2"/>
    <w:uiPriority w:val="99"/>
    <w:rsid w:val="007C1253"/>
    <w:rPr>
      <w:sz w:val="24"/>
      <w:lang w:val="fr-FR" w:eastAsia="fr-FR"/>
    </w:rPr>
  </w:style>
  <w:style w:type="character" w:customStyle="1" w:styleId="Heading3Char">
    <w:name w:val="Heading 3 Char"/>
    <w:basedOn w:val="DefaultParagraphFont"/>
    <w:link w:val="Heading3"/>
    <w:uiPriority w:val="99"/>
    <w:rsid w:val="007C1253"/>
    <w:rPr>
      <w:rFonts w:ascii="Arial" w:hAnsi="Arial"/>
      <w:sz w:val="24"/>
      <w:lang w:val="fr-FR" w:eastAsia="fr-FR"/>
    </w:rPr>
  </w:style>
  <w:style w:type="character" w:customStyle="1" w:styleId="Heading4Char">
    <w:name w:val="Heading 4 Char"/>
    <w:basedOn w:val="DefaultParagraphFont"/>
    <w:link w:val="Heading4"/>
    <w:uiPriority w:val="99"/>
    <w:rsid w:val="007C1253"/>
    <w:rPr>
      <w:sz w:val="24"/>
      <w:lang w:val="en-US" w:eastAsia="fr-FR"/>
    </w:rPr>
  </w:style>
  <w:style w:type="character" w:customStyle="1" w:styleId="Heading5Char">
    <w:name w:val="Heading 5 Char"/>
    <w:basedOn w:val="DefaultParagraphFont"/>
    <w:link w:val="Heading5"/>
    <w:uiPriority w:val="99"/>
    <w:rsid w:val="007C1253"/>
    <w:rPr>
      <w:sz w:val="24"/>
      <w:lang w:val="en-US" w:eastAsia="fr-FR"/>
    </w:rPr>
  </w:style>
  <w:style w:type="character" w:customStyle="1" w:styleId="Heading6Char">
    <w:name w:val="Heading 6 Char"/>
    <w:basedOn w:val="DefaultParagraphFont"/>
    <w:link w:val="Heading6"/>
    <w:uiPriority w:val="99"/>
    <w:rsid w:val="007C1253"/>
    <w:rPr>
      <w:i/>
      <w:sz w:val="22"/>
      <w:lang w:val="bg-BG"/>
    </w:rPr>
  </w:style>
  <w:style w:type="character" w:customStyle="1" w:styleId="Heading7Char">
    <w:name w:val="Heading 7 Char"/>
    <w:basedOn w:val="DefaultParagraphFont"/>
    <w:link w:val="Heading7"/>
    <w:uiPriority w:val="99"/>
    <w:rsid w:val="007C1253"/>
    <w:rPr>
      <w:rFonts w:ascii="Arial" w:hAnsi="Arial"/>
      <w:sz w:val="24"/>
      <w:lang w:val="bg-BG"/>
    </w:rPr>
  </w:style>
  <w:style w:type="character" w:customStyle="1" w:styleId="Heading8Char">
    <w:name w:val="Heading 8 Char"/>
    <w:basedOn w:val="DefaultParagraphFont"/>
    <w:link w:val="Heading8"/>
    <w:uiPriority w:val="99"/>
    <w:rsid w:val="007C1253"/>
    <w:rPr>
      <w:rFonts w:ascii="Arial" w:hAnsi="Arial"/>
      <w:i/>
      <w:sz w:val="24"/>
      <w:lang w:val="bg-BG"/>
    </w:rPr>
  </w:style>
  <w:style w:type="character" w:customStyle="1" w:styleId="Heading9Char">
    <w:name w:val="Heading 9 Char"/>
    <w:basedOn w:val="DefaultParagraphFont"/>
    <w:link w:val="Heading9"/>
    <w:uiPriority w:val="99"/>
    <w:rsid w:val="007C1253"/>
    <w:rPr>
      <w:rFonts w:ascii="Arial" w:hAnsi="Arial"/>
      <w:b/>
      <w:i/>
      <w:sz w:val="18"/>
      <w:lang w:val="bg-BG"/>
    </w:rPr>
  </w:style>
  <w:style w:type="paragraph" w:styleId="TOCHeading">
    <w:name w:val="TOC Heading"/>
    <w:basedOn w:val="Normal"/>
    <w:next w:val="Normal"/>
    <w:uiPriority w:val="39"/>
    <w:unhideWhenUsed/>
    <w:qFormat/>
    <w:rsid w:val="007C1253"/>
    <w:pPr>
      <w:widowControl/>
      <w:spacing w:after="240"/>
    </w:pPr>
    <w:rPr>
      <w:lang w:val="en-GB"/>
    </w:rPr>
  </w:style>
  <w:style w:type="paragraph" w:customStyle="1" w:styleId="EPFooter2">
    <w:name w:val="EPFooter2"/>
    <w:basedOn w:val="Normal"/>
    <w:next w:val="Normal"/>
    <w:rsid w:val="007C125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C1253"/>
    <w:pPr>
      <w:spacing w:after="240"/>
    </w:pPr>
  </w:style>
  <w:style w:type="paragraph" w:customStyle="1" w:styleId="TOCPage">
    <w:name w:val="TOC Page"/>
    <w:basedOn w:val="Normal"/>
    <w:next w:val="TOC1"/>
    <w:rsid w:val="007C1253"/>
    <w:pPr>
      <w:keepNext/>
      <w:spacing w:after="240"/>
      <w:jc w:val="right"/>
    </w:pPr>
    <w:rPr>
      <w:rFonts w:ascii="Arial" w:hAnsi="Arial"/>
      <w:b/>
    </w:rPr>
  </w:style>
  <w:style w:type="paragraph" w:customStyle="1" w:styleId="PageHeading">
    <w:name w:val="PageHeading"/>
    <w:basedOn w:val="Normal"/>
    <w:rsid w:val="007C1253"/>
    <w:pPr>
      <w:keepNext/>
      <w:spacing w:after="480"/>
      <w:jc w:val="center"/>
    </w:pPr>
    <w:rPr>
      <w:rFonts w:ascii="Arial" w:hAnsi="Arial" w:cs="Arial"/>
      <w:b/>
    </w:rPr>
  </w:style>
  <w:style w:type="paragraph" w:customStyle="1" w:styleId="NormalBold">
    <w:name w:val="NormalBold"/>
    <w:basedOn w:val="Normal"/>
    <w:rsid w:val="007C1253"/>
    <w:rPr>
      <w:b/>
    </w:rPr>
  </w:style>
  <w:style w:type="paragraph" w:customStyle="1" w:styleId="NormalHanging12a">
    <w:name w:val="NormalHanging12a"/>
    <w:basedOn w:val="Normal"/>
    <w:rsid w:val="007C1253"/>
    <w:pPr>
      <w:spacing w:after="240"/>
      <w:ind w:left="567" w:hanging="567"/>
    </w:pPr>
  </w:style>
  <w:style w:type="paragraph" w:customStyle="1" w:styleId="CoverNormal24a">
    <w:name w:val="CoverNormal24a"/>
    <w:basedOn w:val="Normal"/>
    <w:rsid w:val="007C1253"/>
    <w:pPr>
      <w:spacing w:after="480"/>
      <w:ind w:left="1417"/>
    </w:pPr>
  </w:style>
  <w:style w:type="paragraph" w:customStyle="1" w:styleId="CoverNormal">
    <w:name w:val="CoverNormal"/>
    <w:basedOn w:val="Normal"/>
    <w:rsid w:val="007C1253"/>
    <w:pPr>
      <w:ind w:left="1418"/>
    </w:pPr>
  </w:style>
  <w:style w:type="paragraph" w:customStyle="1" w:styleId="CoverReference">
    <w:name w:val="CoverReference"/>
    <w:basedOn w:val="Normal"/>
    <w:rsid w:val="007C1253"/>
    <w:pPr>
      <w:spacing w:before="1080"/>
      <w:jc w:val="right"/>
    </w:pPr>
    <w:rPr>
      <w:rFonts w:ascii="Arial" w:hAnsi="Arial" w:cs="Arial"/>
      <w:b/>
    </w:rPr>
  </w:style>
  <w:style w:type="paragraph" w:customStyle="1" w:styleId="CoverDocType24a">
    <w:name w:val="CoverDocType24a"/>
    <w:basedOn w:val="Normal"/>
    <w:rsid w:val="007C1253"/>
    <w:pPr>
      <w:spacing w:after="480"/>
      <w:ind w:left="1418"/>
    </w:pPr>
    <w:rPr>
      <w:rFonts w:ascii="Arial" w:hAnsi="Arial"/>
      <w:b/>
      <w:sz w:val="48"/>
    </w:rPr>
  </w:style>
  <w:style w:type="paragraph" w:customStyle="1" w:styleId="CoverDate">
    <w:name w:val="CoverDate"/>
    <w:basedOn w:val="Normal"/>
    <w:rsid w:val="007C1253"/>
    <w:pPr>
      <w:spacing w:before="240" w:after="1200"/>
    </w:pPr>
  </w:style>
  <w:style w:type="paragraph" w:customStyle="1" w:styleId="EPBody">
    <w:name w:val="EPBody"/>
    <w:basedOn w:val="Normal"/>
    <w:rsid w:val="007C1253"/>
    <w:pPr>
      <w:jc w:val="center"/>
    </w:pPr>
    <w:rPr>
      <w:rFonts w:ascii="Arial" w:hAnsi="Arial" w:cs="Arial"/>
      <w:i/>
      <w:sz w:val="22"/>
      <w:szCs w:val="22"/>
    </w:rPr>
  </w:style>
  <w:style w:type="paragraph" w:customStyle="1" w:styleId="EPFooter">
    <w:name w:val="EPFooter"/>
    <w:basedOn w:val="Normal"/>
    <w:rsid w:val="007C1253"/>
    <w:pPr>
      <w:tabs>
        <w:tab w:val="center" w:pos="4535"/>
        <w:tab w:val="right" w:pos="9071"/>
      </w:tabs>
      <w:spacing w:before="240" w:after="240"/>
    </w:pPr>
    <w:rPr>
      <w:color w:val="010000"/>
      <w:sz w:val="22"/>
    </w:rPr>
  </w:style>
  <w:style w:type="paragraph" w:styleId="Header">
    <w:name w:val="header"/>
    <w:basedOn w:val="Normal"/>
    <w:link w:val="HeaderChar"/>
    <w:uiPriority w:val="99"/>
    <w:rsid w:val="007C1253"/>
    <w:pPr>
      <w:tabs>
        <w:tab w:val="center" w:pos="4513"/>
        <w:tab w:val="right" w:pos="9026"/>
      </w:tabs>
    </w:pPr>
  </w:style>
  <w:style w:type="character" w:customStyle="1" w:styleId="HeaderChar">
    <w:name w:val="Header Char"/>
    <w:basedOn w:val="DefaultParagraphFont"/>
    <w:link w:val="Header"/>
    <w:uiPriority w:val="99"/>
    <w:rsid w:val="007C1253"/>
    <w:rPr>
      <w:sz w:val="24"/>
      <w:lang w:val="bg-BG"/>
    </w:rPr>
  </w:style>
  <w:style w:type="paragraph" w:customStyle="1" w:styleId="EPComma">
    <w:name w:val="EPComma"/>
    <w:basedOn w:val="Normal"/>
    <w:rsid w:val="007C1253"/>
    <w:pPr>
      <w:spacing w:before="480" w:after="240"/>
    </w:pPr>
  </w:style>
  <w:style w:type="character" w:styleId="Hyperlink">
    <w:name w:val="Hyperlink"/>
    <w:basedOn w:val="DefaultParagraphFont"/>
    <w:uiPriority w:val="99"/>
    <w:rsid w:val="007C1253"/>
    <w:rPr>
      <w:color w:val="0563C1" w:themeColor="hyperlink"/>
      <w:u w:val="single"/>
    </w:rPr>
  </w:style>
  <w:style w:type="character" w:styleId="UnresolvedMention">
    <w:name w:val="Unresolved Mention"/>
    <w:basedOn w:val="DefaultParagraphFont"/>
    <w:uiPriority w:val="99"/>
    <w:semiHidden/>
    <w:unhideWhenUsed/>
    <w:rsid w:val="007C1253"/>
    <w:rPr>
      <w:color w:val="605E5C"/>
      <w:shd w:val="clear" w:color="auto" w:fill="E1DFDD"/>
    </w:rPr>
  </w:style>
  <w:style w:type="paragraph" w:customStyle="1" w:styleId="Action">
    <w:name w:val="Action"/>
    <w:basedOn w:val="Normal"/>
    <w:rsid w:val="007C1253"/>
    <w:pPr>
      <w:tabs>
        <w:tab w:val="left" w:pos="357"/>
      </w:tabs>
      <w:spacing w:after="240"/>
      <w:ind w:left="357" w:hanging="357"/>
    </w:pPr>
    <w:rPr>
      <w:lang w:eastAsia="en-US"/>
    </w:rPr>
  </w:style>
  <w:style w:type="paragraph" w:customStyle="1" w:styleId="action0">
    <w:name w:val="action"/>
    <w:basedOn w:val="Normal"/>
    <w:rsid w:val="007C1253"/>
    <w:pPr>
      <w:widowControl/>
      <w:spacing w:after="240"/>
      <w:ind w:left="357" w:hanging="357"/>
    </w:pPr>
    <w:rPr>
      <w:rFonts w:eastAsiaTheme="minorHAnsi"/>
      <w:szCs w:val="24"/>
    </w:rPr>
  </w:style>
  <w:style w:type="paragraph" w:customStyle="1" w:styleId="Institutionquiagit">
    <w:name w:val="Institution qui agit"/>
    <w:basedOn w:val="Normal"/>
    <w:next w:val="Normal"/>
    <w:rsid w:val="007C1253"/>
    <w:pPr>
      <w:keepNext/>
      <w:snapToGrid w:val="0"/>
      <w:spacing w:after="240"/>
    </w:pPr>
    <w:rPr>
      <w:i/>
      <w:lang w:eastAsia="en-US"/>
    </w:rPr>
  </w:style>
  <w:style w:type="paragraph" w:customStyle="1" w:styleId="FootnoteReference1">
    <w:name w:val="Footnote Reference1"/>
    <w:basedOn w:val="Normal"/>
    <w:link w:val="FootnoteReference"/>
    <w:rsid w:val="007C1253"/>
    <w:pPr>
      <w:widowControl/>
      <w:spacing w:after="160" w:line="240" w:lineRule="exact"/>
    </w:pPr>
    <w:rPr>
      <w:sz w:val="20"/>
      <w:vertAlign w:val="superscript"/>
      <w:lang w:val="en-GB"/>
    </w:rPr>
  </w:style>
  <w:style w:type="paragraph" w:styleId="Revision">
    <w:name w:val="Revision"/>
    <w:hidden/>
    <w:uiPriority w:val="99"/>
    <w:semiHidden/>
    <w:rsid w:val="007C1253"/>
    <w:rPr>
      <w:sz w:val="24"/>
      <w:lang w:val="bg-BG"/>
    </w:rPr>
  </w:style>
  <w:style w:type="paragraph" w:styleId="Footer">
    <w:name w:val="footer"/>
    <w:basedOn w:val="Normal"/>
    <w:link w:val="FooterChar"/>
    <w:uiPriority w:val="99"/>
    <w:rsid w:val="007C1253"/>
    <w:pPr>
      <w:tabs>
        <w:tab w:val="center" w:pos="4513"/>
        <w:tab w:val="right" w:pos="9026"/>
      </w:tabs>
    </w:pPr>
  </w:style>
  <w:style w:type="character" w:customStyle="1" w:styleId="FooterChar">
    <w:name w:val="Footer Char"/>
    <w:basedOn w:val="DefaultParagraphFont"/>
    <w:link w:val="Footer"/>
    <w:uiPriority w:val="99"/>
    <w:rsid w:val="007C1253"/>
    <w:rPr>
      <w:sz w:val="24"/>
      <w:lang w:val="bg-BG"/>
    </w:rPr>
  </w:style>
  <w:style w:type="character" w:styleId="CommentReference">
    <w:name w:val="annotation reference"/>
    <w:basedOn w:val="DefaultParagraphFont"/>
    <w:uiPriority w:val="99"/>
    <w:rsid w:val="007C1253"/>
    <w:rPr>
      <w:sz w:val="16"/>
      <w:szCs w:val="16"/>
    </w:rPr>
  </w:style>
  <w:style w:type="paragraph" w:styleId="CommentText">
    <w:name w:val="annotation text"/>
    <w:basedOn w:val="Normal"/>
    <w:link w:val="CommentTextChar"/>
    <w:uiPriority w:val="99"/>
    <w:rsid w:val="007C1253"/>
    <w:rPr>
      <w:sz w:val="20"/>
    </w:rPr>
  </w:style>
  <w:style w:type="character" w:customStyle="1" w:styleId="CommentTextChar">
    <w:name w:val="Comment Text Char"/>
    <w:basedOn w:val="DefaultParagraphFont"/>
    <w:link w:val="CommentText"/>
    <w:uiPriority w:val="99"/>
    <w:rsid w:val="007C1253"/>
    <w:rPr>
      <w:lang w:val="bg-BG"/>
    </w:rPr>
  </w:style>
  <w:style w:type="paragraph" w:styleId="CommentSubject">
    <w:name w:val="annotation subject"/>
    <w:basedOn w:val="CommentText"/>
    <w:next w:val="CommentText"/>
    <w:link w:val="CommentSubjectChar"/>
    <w:uiPriority w:val="99"/>
    <w:unhideWhenUsed/>
    <w:rsid w:val="007C1253"/>
    <w:rPr>
      <w:b/>
      <w:bCs/>
    </w:rPr>
  </w:style>
  <w:style w:type="character" w:customStyle="1" w:styleId="CommentSubjectChar">
    <w:name w:val="Comment Subject Char"/>
    <w:basedOn w:val="CommentTextChar"/>
    <w:link w:val="CommentSubject"/>
    <w:uiPriority w:val="99"/>
    <w:rsid w:val="007C1253"/>
    <w:rPr>
      <w:b/>
      <w:bCs/>
      <w:lang w:val="bg-BG"/>
    </w:rPr>
  </w:style>
  <w:style w:type="paragraph" w:styleId="ListParagraph">
    <w:name w:val="List Paragraph"/>
    <w:basedOn w:val="Normal"/>
    <w:uiPriority w:val="34"/>
    <w:qFormat/>
    <w:rsid w:val="007C1253"/>
    <w:pPr>
      <w:ind w:left="720"/>
      <w:contextualSpacing/>
    </w:pPr>
  </w:style>
  <w:style w:type="paragraph" w:customStyle="1" w:styleId="Normal24a">
    <w:name w:val="Normal24a"/>
    <w:basedOn w:val="Normal"/>
    <w:rsid w:val="007C1253"/>
    <w:pPr>
      <w:spacing w:after="480"/>
    </w:pPr>
  </w:style>
  <w:style w:type="paragraph" w:customStyle="1" w:styleId="NormalBoldCenter">
    <w:name w:val="NormalBoldCenter"/>
    <w:basedOn w:val="Normal"/>
    <w:rsid w:val="007C1253"/>
    <w:pPr>
      <w:jc w:val="center"/>
    </w:pPr>
    <w:rPr>
      <w:b/>
    </w:rPr>
  </w:style>
  <w:style w:type="paragraph" w:customStyle="1" w:styleId="Footprint12b">
    <w:name w:val="Footprint12b"/>
    <w:basedOn w:val="Normal"/>
    <w:rsid w:val="007C1253"/>
    <w:pPr>
      <w:spacing w:before="240"/>
    </w:pPr>
    <w:rPr>
      <w:szCs w:val="24"/>
    </w:rPr>
  </w:style>
  <w:style w:type="paragraph" w:customStyle="1" w:styleId="NormalSingle">
    <w:name w:val="NormalSingle"/>
    <w:basedOn w:val="Normal"/>
    <w:qFormat/>
    <w:rsid w:val="007C1253"/>
    <w:rPr>
      <w:szCs w:val="24"/>
    </w:rPr>
  </w:style>
  <w:style w:type="paragraph" w:styleId="Title">
    <w:name w:val="Title"/>
    <w:basedOn w:val="Normal"/>
    <w:next w:val="Normal"/>
    <w:link w:val="TitleChar"/>
    <w:uiPriority w:val="10"/>
    <w:qFormat/>
    <w:rsid w:val="007C125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7C1253"/>
    <w:rPr>
      <w:rFonts w:ascii="Arial" w:eastAsiaTheme="majorEastAsia" w:hAnsi="Arial" w:cs="Arial"/>
      <w:b/>
      <w:bCs/>
      <w:kern w:val="28"/>
      <w:sz w:val="32"/>
      <w:szCs w:val="32"/>
      <w:lang w:val="bg-BG" w:eastAsia="en-US"/>
    </w:rPr>
  </w:style>
  <w:style w:type="paragraph" w:styleId="Subtitle">
    <w:name w:val="Subtitle"/>
    <w:basedOn w:val="Normal"/>
    <w:next w:val="Normal"/>
    <w:link w:val="SubtitleChar"/>
    <w:uiPriority w:val="11"/>
    <w:qFormat/>
    <w:rsid w:val="007C125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7C1253"/>
    <w:rPr>
      <w:rFonts w:ascii="Arial" w:eastAsiaTheme="majorEastAsia" w:hAnsi="Arial" w:cs="Arial"/>
      <w:sz w:val="24"/>
      <w:szCs w:val="24"/>
      <w:lang w:val="bg-BG" w:eastAsia="en-US"/>
    </w:rPr>
  </w:style>
  <w:style w:type="character" w:styleId="Strong">
    <w:name w:val="Strong"/>
    <w:basedOn w:val="DefaultParagraphFont"/>
    <w:uiPriority w:val="22"/>
    <w:qFormat/>
    <w:rsid w:val="007C1253"/>
    <w:rPr>
      <w:b/>
      <w:bCs/>
    </w:rPr>
  </w:style>
  <w:style w:type="character" w:styleId="Emphasis">
    <w:name w:val="Emphasis"/>
    <w:basedOn w:val="DefaultParagraphFont"/>
    <w:uiPriority w:val="20"/>
    <w:qFormat/>
    <w:rsid w:val="007C1253"/>
    <w:rPr>
      <w:rFonts w:asciiTheme="minorHAnsi" w:hAnsiTheme="minorHAnsi"/>
      <w:b/>
      <w:i/>
      <w:iCs/>
    </w:rPr>
  </w:style>
  <w:style w:type="paragraph" w:styleId="NoSpacing">
    <w:name w:val="No Spacing"/>
    <w:basedOn w:val="Normal"/>
    <w:uiPriority w:val="1"/>
    <w:qFormat/>
    <w:rsid w:val="007C1253"/>
    <w:pPr>
      <w:widowControl/>
      <w:jc w:val="both"/>
    </w:pPr>
    <w:rPr>
      <w:rFonts w:eastAsiaTheme="minorHAnsi"/>
      <w:szCs w:val="32"/>
      <w:lang w:eastAsia="en-US"/>
    </w:rPr>
  </w:style>
  <w:style w:type="paragraph" w:styleId="Quote">
    <w:name w:val="Quote"/>
    <w:basedOn w:val="Normal"/>
    <w:next w:val="Normal"/>
    <w:link w:val="QuoteChar"/>
    <w:uiPriority w:val="29"/>
    <w:qFormat/>
    <w:rsid w:val="007C125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7C1253"/>
    <w:rPr>
      <w:rFonts w:eastAsiaTheme="minorHAnsi"/>
      <w:i/>
      <w:sz w:val="24"/>
      <w:szCs w:val="24"/>
      <w:lang w:val="bg-BG" w:eastAsia="en-US"/>
    </w:rPr>
  </w:style>
  <w:style w:type="paragraph" w:styleId="IntenseQuote">
    <w:name w:val="Intense Quote"/>
    <w:basedOn w:val="Normal"/>
    <w:next w:val="Normal"/>
    <w:link w:val="IntenseQuoteChar"/>
    <w:uiPriority w:val="30"/>
    <w:qFormat/>
    <w:rsid w:val="007C125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7C1253"/>
    <w:rPr>
      <w:rFonts w:eastAsiaTheme="minorHAnsi"/>
      <w:b/>
      <w:i/>
      <w:sz w:val="24"/>
      <w:szCs w:val="22"/>
      <w:lang w:val="bg-BG" w:eastAsia="en-US"/>
    </w:rPr>
  </w:style>
  <w:style w:type="character" w:styleId="SubtleEmphasis">
    <w:name w:val="Subtle Emphasis"/>
    <w:uiPriority w:val="19"/>
    <w:qFormat/>
    <w:rsid w:val="007C1253"/>
    <w:rPr>
      <w:i/>
      <w:color w:val="5A5A5A" w:themeColor="text1" w:themeTint="A5"/>
    </w:rPr>
  </w:style>
  <w:style w:type="character" w:styleId="IntenseEmphasis">
    <w:name w:val="Intense Emphasis"/>
    <w:basedOn w:val="DefaultParagraphFont"/>
    <w:uiPriority w:val="21"/>
    <w:qFormat/>
    <w:rsid w:val="007C1253"/>
    <w:rPr>
      <w:b/>
      <w:i/>
      <w:sz w:val="24"/>
      <w:szCs w:val="24"/>
      <w:u w:val="single"/>
    </w:rPr>
  </w:style>
  <w:style w:type="character" w:styleId="SubtleReference">
    <w:name w:val="Subtle Reference"/>
    <w:basedOn w:val="DefaultParagraphFont"/>
    <w:uiPriority w:val="31"/>
    <w:qFormat/>
    <w:rsid w:val="007C1253"/>
    <w:rPr>
      <w:sz w:val="24"/>
      <w:szCs w:val="24"/>
      <w:u w:val="single"/>
    </w:rPr>
  </w:style>
  <w:style w:type="character" w:styleId="IntenseReference">
    <w:name w:val="Intense Reference"/>
    <w:basedOn w:val="DefaultParagraphFont"/>
    <w:uiPriority w:val="32"/>
    <w:qFormat/>
    <w:rsid w:val="007C1253"/>
    <w:rPr>
      <w:b/>
      <w:sz w:val="24"/>
      <w:u w:val="single"/>
    </w:rPr>
  </w:style>
  <w:style w:type="character" w:styleId="BookTitle">
    <w:name w:val="Book Title"/>
    <w:basedOn w:val="DefaultParagraphFont"/>
    <w:uiPriority w:val="33"/>
    <w:qFormat/>
    <w:rsid w:val="007C1253"/>
    <w:rPr>
      <w:rFonts w:asciiTheme="majorHAnsi" w:eastAsiaTheme="majorEastAsia" w:hAnsiTheme="majorHAnsi"/>
      <w:b/>
      <w:i/>
      <w:sz w:val="24"/>
      <w:szCs w:val="24"/>
    </w:rPr>
  </w:style>
  <w:style w:type="paragraph" w:customStyle="1" w:styleId="TableTitle">
    <w:name w:val="Table Title"/>
    <w:basedOn w:val="Normal"/>
    <w:uiPriority w:val="99"/>
    <w:rsid w:val="007C1253"/>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7C1253"/>
    <w:pPr>
      <w:keepNext/>
      <w:widowControl/>
    </w:pPr>
    <w:rPr>
      <w:rFonts w:eastAsiaTheme="minorEastAsia"/>
      <w:sz w:val="18"/>
      <w:szCs w:val="18"/>
    </w:rPr>
  </w:style>
  <w:style w:type="paragraph" w:customStyle="1" w:styleId="NormalRight">
    <w:name w:val="Normal Right"/>
    <w:basedOn w:val="Normal"/>
    <w:next w:val="Normal"/>
    <w:uiPriority w:val="99"/>
    <w:rsid w:val="007C1253"/>
    <w:pPr>
      <w:widowControl/>
      <w:spacing w:before="120" w:after="120"/>
      <w:jc w:val="right"/>
    </w:pPr>
    <w:rPr>
      <w:rFonts w:eastAsiaTheme="minorEastAsia"/>
      <w:szCs w:val="24"/>
    </w:rPr>
  </w:style>
  <w:style w:type="paragraph" w:customStyle="1" w:styleId="ReusedInfo">
    <w:name w:val="ReusedInfo"/>
    <w:next w:val="Normal"/>
    <w:uiPriority w:val="99"/>
    <w:rsid w:val="007C1253"/>
    <w:pPr>
      <w:shd w:val="clear" w:color="auto" w:fill="C0C0C0"/>
      <w:spacing w:before="60" w:after="60"/>
    </w:pPr>
    <w:rPr>
      <w:rFonts w:eastAsiaTheme="minorEastAsia"/>
      <w:lang w:val="bg-BG"/>
    </w:rPr>
  </w:style>
  <w:style w:type="paragraph" w:customStyle="1" w:styleId="Section">
    <w:name w:val="Section"/>
    <w:basedOn w:val="Normal"/>
    <w:next w:val="Normal"/>
    <w:uiPriority w:val="99"/>
    <w:rsid w:val="007C1253"/>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7C1253"/>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7C1253"/>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7C1253"/>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7C1253"/>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7C1253"/>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7C1253"/>
    <w:pPr>
      <w:keepNext/>
      <w:widowControl/>
      <w:spacing w:before="480" w:after="120"/>
    </w:pPr>
    <w:rPr>
      <w:rFonts w:eastAsiaTheme="minorEastAsia"/>
      <w:b/>
      <w:bCs/>
      <w:i/>
      <w:iCs/>
      <w:szCs w:val="24"/>
    </w:rPr>
  </w:style>
  <w:style w:type="paragraph" w:customStyle="1" w:styleId="Item">
    <w:name w:val="Item"/>
    <w:basedOn w:val="Normal"/>
    <w:next w:val="Normal"/>
    <w:uiPriority w:val="99"/>
    <w:rsid w:val="007C1253"/>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7C1253"/>
    <w:pPr>
      <w:keepNext/>
      <w:widowControl/>
      <w:spacing w:before="480" w:after="120"/>
    </w:pPr>
    <w:rPr>
      <w:rFonts w:eastAsiaTheme="minorEastAsia"/>
      <w:sz w:val="20"/>
    </w:rPr>
  </w:style>
  <w:style w:type="paragraph" w:customStyle="1" w:styleId="Annex">
    <w:name w:val="Annex"/>
    <w:basedOn w:val="Normal"/>
    <w:next w:val="Normal"/>
    <w:uiPriority w:val="99"/>
    <w:rsid w:val="007C1253"/>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7C1253"/>
    <w:pPr>
      <w:widowControl/>
      <w:spacing w:before="120" w:after="120"/>
    </w:pPr>
    <w:rPr>
      <w:rFonts w:eastAsiaTheme="minorEastAsia"/>
      <w:i/>
      <w:iCs/>
      <w:sz w:val="20"/>
    </w:rPr>
  </w:style>
  <w:style w:type="paragraph" w:customStyle="1" w:styleId="Objective">
    <w:name w:val="Objective"/>
    <w:basedOn w:val="Normal"/>
    <w:next w:val="Normal"/>
    <w:uiPriority w:val="99"/>
    <w:rsid w:val="007C1253"/>
    <w:pPr>
      <w:keepNext/>
      <w:widowControl/>
      <w:spacing w:before="120" w:after="120"/>
    </w:pPr>
    <w:rPr>
      <w:rFonts w:eastAsiaTheme="minorEastAsia"/>
      <w:i/>
      <w:iCs/>
      <w:sz w:val="20"/>
    </w:rPr>
  </w:style>
  <w:style w:type="paragraph" w:customStyle="1" w:styleId="Figures">
    <w:name w:val="Figures"/>
    <w:basedOn w:val="Normal"/>
    <w:next w:val="Normal"/>
    <w:uiPriority w:val="99"/>
    <w:rsid w:val="007C1253"/>
    <w:pPr>
      <w:keepNext/>
      <w:widowControl/>
      <w:spacing w:before="120" w:after="120"/>
    </w:pPr>
    <w:rPr>
      <w:rFonts w:eastAsiaTheme="minorEastAsia"/>
      <w:i/>
      <w:iCs/>
      <w:sz w:val="20"/>
    </w:rPr>
  </w:style>
  <w:style w:type="paragraph" w:customStyle="1" w:styleId="Remarks">
    <w:name w:val="Remarks"/>
    <w:basedOn w:val="Normal"/>
    <w:next w:val="Normal"/>
    <w:uiPriority w:val="99"/>
    <w:rsid w:val="007C1253"/>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7C1253"/>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7C1253"/>
    <w:pPr>
      <w:keepNext/>
      <w:widowControl/>
      <w:spacing w:before="120" w:after="120"/>
    </w:pPr>
    <w:rPr>
      <w:rFonts w:eastAsiaTheme="minorEastAsia"/>
      <w:i/>
      <w:iCs/>
      <w:sz w:val="20"/>
    </w:rPr>
  </w:style>
  <w:style w:type="paragraph" w:customStyle="1" w:styleId="Reference">
    <w:name w:val="Reference"/>
    <w:basedOn w:val="Normal"/>
    <w:next w:val="Normal"/>
    <w:uiPriority w:val="99"/>
    <w:rsid w:val="007C1253"/>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7C1253"/>
  </w:style>
  <w:style w:type="character" w:customStyle="1" w:styleId="tw4winInternal">
    <w:name w:val="tw4winInternal"/>
    <w:basedOn w:val="DefaultParagraphFont"/>
    <w:uiPriority w:val="99"/>
    <w:rsid w:val="007C1253"/>
    <w:rPr>
      <w:sz w:val="16"/>
      <w:szCs w:val="16"/>
      <w:u w:val="dash"/>
      <w:shd w:val="clear" w:color="auto" w:fill="FFFF00"/>
    </w:rPr>
  </w:style>
  <w:style w:type="character" w:customStyle="1" w:styleId="ReusedInlineInfo">
    <w:name w:val="ReusedInlineInfo"/>
    <w:basedOn w:val="DefaultParagraphFont"/>
    <w:uiPriority w:val="99"/>
    <w:rsid w:val="007C1253"/>
    <w:rPr>
      <w:sz w:val="16"/>
      <w:szCs w:val="16"/>
      <w:u w:val="dash"/>
      <w:shd w:val="clear" w:color="auto" w:fill="FFFF00"/>
    </w:rPr>
  </w:style>
  <w:style w:type="character" w:customStyle="1" w:styleId="Error">
    <w:name w:val="Error"/>
    <w:basedOn w:val="DefaultParagraphFont"/>
    <w:uiPriority w:val="99"/>
    <w:rsid w:val="007C1253"/>
    <w:rPr>
      <w:shd w:val="clear" w:color="auto" w:fill="FF0000"/>
    </w:rPr>
  </w:style>
  <w:style w:type="paragraph" w:styleId="BalloonText">
    <w:name w:val="Balloon Text"/>
    <w:basedOn w:val="Normal"/>
    <w:link w:val="BalloonTextChar"/>
    <w:uiPriority w:val="99"/>
    <w:unhideWhenUsed/>
    <w:rsid w:val="007C1253"/>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7C1253"/>
    <w:rPr>
      <w:rFonts w:ascii="Segoe UI" w:eastAsiaTheme="minorHAnsi" w:hAnsi="Segoe UI" w:cs="Segoe UI"/>
      <w:sz w:val="18"/>
      <w:szCs w:val="18"/>
      <w:lang w:val="bg-BG" w:eastAsia="en-US"/>
    </w:rPr>
  </w:style>
  <w:style w:type="numbering" w:customStyle="1" w:styleId="NoList1">
    <w:name w:val="No List1"/>
    <w:next w:val="NoList"/>
    <w:uiPriority w:val="99"/>
    <w:semiHidden/>
    <w:unhideWhenUsed/>
    <w:rsid w:val="007C1253"/>
  </w:style>
  <w:style w:type="numbering" w:customStyle="1" w:styleId="NoList2">
    <w:name w:val="No List2"/>
    <w:next w:val="NoList"/>
    <w:uiPriority w:val="99"/>
    <w:semiHidden/>
    <w:unhideWhenUsed/>
    <w:rsid w:val="007C1253"/>
  </w:style>
  <w:style w:type="paragraph" w:customStyle="1" w:styleId="RollCallVotes">
    <w:name w:val="RollCallVotes"/>
    <w:basedOn w:val="Normal"/>
    <w:rsid w:val="007C1253"/>
    <w:pPr>
      <w:spacing w:before="120" w:after="120"/>
      <w:jc w:val="center"/>
    </w:pPr>
    <w:rPr>
      <w:b/>
      <w:bCs/>
      <w:snapToGrid w:val="0"/>
      <w:sz w:val="16"/>
      <w:lang w:eastAsia="en-US"/>
    </w:rPr>
  </w:style>
  <w:style w:type="paragraph" w:customStyle="1" w:styleId="RollCallTabs">
    <w:name w:val="RollCallTabs"/>
    <w:basedOn w:val="Normal"/>
    <w:qFormat/>
    <w:rsid w:val="007C1253"/>
    <w:pPr>
      <w:tabs>
        <w:tab w:val="center" w:pos="284"/>
        <w:tab w:val="left" w:pos="426"/>
      </w:tabs>
    </w:pPr>
    <w:rPr>
      <w:snapToGrid w:val="0"/>
      <w:lang w:eastAsia="en-US"/>
    </w:rPr>
  </w:style>
  <w:style w:type="paragraph" w:customStyle="1" w:styleId="RollCallSymbols14pt">
    <w:name w:val="RollCallSymbols14pt"/>
    <w:basedOn w:val="Normal"/>
    <w:rsid w:val="007C1253"/>
    <w:pPr>
      <w:spacing w:before="120" w:after="120"/>
      <w:jc w:val="center"/>
    </w:pPr>
    <w:rPr>
      <w:rFonts w:ascii="Arial" w:hAnsi="Arial"/>
      <w:b/>
      <w:bCs/>
      <w:snapToGrid w:val="0"/>
      <w:sz w:val="28"/>
      <w:lang w:eastAsia="en-US"/>
    </w:rPr>
  </w:style>
  <w:style w:type="paragraph" w:customStyle="1" w:styleId="RollCallTable">
    <w:name w:val="RollCallTable"/>
    <w:basedOn w:val="Normal"/>
    <w:rsid w:val="007C1253"/>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4322</Words>
  <Characters>25599</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2026-04-30T13:34:00Z</dcterms:created>
  <dcterms:modified xsi:type="dcterms:W3CDTF">2026-04-30T13:34:00Z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A10-0124/2026</vt:lpwstr>
  </property>
  <property fmtid="{D5CDD505-2E9C-101B-9397-08002B2CF9AE}" pid="4" name="&lt;Type&gt;">
    <vt:lpwstr>RR</vt:lpwstr>
  </property>
</Properties>
</file>