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1656" w14:paraId="0F8098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E52BD6" w14:textId="77777777" w:rsidR="00751A4A" w:rsidRPr="00181656" w:rsidRDefault="00401F8A" w:rsidP="0010095E">
            <w:pPr>
              <w:pStyle w:val="EPName"/>
            </w:pPr>
            <w:r w:rsidRPr="00181656">
              <w:t>Evropský parlament</w:t>
            </w:r>
          </w:p>
          <w:p w14:paraId="2CCF57B5" w14:textId="77777777" w:rsidR="00751A4A" w:rsidRPr="001816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1656">
              <w:t>2024</w:t>
            </w:r>
            <w:r w:rsidR="00817416" w:rsidRPr="00181656">
              <w:t>-202</w:t>
            </w:r>
            <w:r w:rsidRPr="00181656">
              <w:t>9</w:t>
            </w:r>
          </w:p>
        </w:tc>
        <w:tc>
          <w:tcPr>
            <w:tcW w:w="2268" w:type="dxa"/>
            <w:shd w:val="clear" w:color="auto" w:fill="auto"/>
          </w:tcPr>
          <w:p w14:paraId="29647F9E" w14:textId="77777777" w:rsidR="00751A4A" w:rsidRPr="00181656" w:rsidRDefault="00187494" w:rsidP="0010095E">
            <w:pPr>
              <w:pStyle w:val="EPLogo"/>
            </w:pPr>
            <w:r w:rsidRPr="00181656">
              <w:rPr>
                <w:noProof/>
                <w:lang w:eastAsia="ja-JP"/>
              </w:rPr>
              <w:drawing>
                <wp:inline distT="0" distB="0" distL="0" distR="0" wp14:anchorId="49B73006" wp14:editId="13BA27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581721" w14:textId="77777777" w:rsidR="00D058B8" w:rsidRPr="00181656" w:rsidRDefault="00D058B8" w:rsidP="004C5D52">
      <w:pPr>
        <w:pStyle w:val="LineTop"/>
      </w:pPr>
    </w:p>
    <w:p w14:paraId="757C263A" w14:textId="77777777" w:rsidR="00680577" w:rsidRPr="00181656" w:rsidRDefault="00401F8A" w:rsidP="00680577">
      <w:pPr>
        <w:pStyle w:val="EPBodyTA1"/>
      </w:pPr>
      <w:r w:rsidRPr="00181656">
        <w:t>PŘIJATÉ TEXTY</w:t>
      </w:r>
    </w:p>
    <w:p w14:paraId="36D365B9" w14:textId="77777777" w:rsidR="00D058B8" w:rsidRPr="00181656" w:rsidRDefault="00D058B8" w:rsidP="00D058B8">
      <w:pPr>
        <w:pStyle w:val="LineBottom"/>
      </w:pPr>
    </w:p>
    <w:p w14:paraId="66F23E59" w14:textId="478DF914" w:rsidR="00401F8A" w:rsidRPr="00181656" w:rsidRDefault="00401F8A" w:rsidP="00401F8A">
      <w:pPr>
        <w:pStyle w:val="ATHeading1"/>
      </w:pPr>
      <w:bookmarkStart w:id="0" w:name="TANumber"/>
      <w:r w:rsidRPr="00181656">
        <w:t>P10_</w:t>
      </w:r>
      <w:proofErr w:type="gramStart"/>
      <w:r w:rsidRPr="00181656">
        <w:t>TA(</w:t>
      </w:r>
      <w:proofErr w:type="gramEnd"/>
      <w:r w:rsidRPr="00181656">
        <w:t>2026)0</w:t>
      </w:r>
      <w:r w:rsidR="005D4FD0">
        <w:t>155</w:t>
      </w:r>
      <w:bookmarkEnd w:id="0"/>
    </w:p>
    <w:p w14:paraId="764EDBDB" w14:textId="14CA5973" w:rsidR="00401F8A" w:rsidRPr="00181656" w:rsidRDefault="00775806" w:rsidP="00401F8A">
      <w:pPr>
        <w:pStyle w:val="ATHeading2"/>
      </w:pPr>
      <w:r w:rsidRPr="00775806">
        <w:t>Odhad příjmů a výdajů na rozpočtový rok 2027 – oddíl I – Evropský parlament</w:t>
      </w:r>
    </w:p>
    <w:p w14:paraId="4A55669B" w14:textId="77777777" w:rsidR="00401F8A" w:rsidRPr="00181656" w:rsidRDefault="00401F8A" w:rsidP="00401F8A">
      <w:pPr>
        <w:rPr>
          <w:i/>
          <w:vanish/>
        </w:rPr>
      </w:pPr>
      <w:r w:rsidRPr="00181656">
        <w:rPr>
          <w:i/>
        </w:rPr>
        <w:fldChar w:fldCharType="begin"/>
      </w:r>
      <w:r w:rsidRPr="00181656">
        <w:rPr>
          <w:i/>
        </w:rPr>
        <w:instrText xml:space="preserve"> TC"(</w:instrText>
      </w:r>
      <w:bookmarkStart w:id="1" w:name="DocNumber"/>
      <w:r w:rsidRPr="00181656">
        <w:rPr>
          <w:i/>
        </w:rPr>
        <w:instrText>A10-0124/2026</w:instrText>
      </w:r>
      <w:bookmarkEnd w:id="1"/>
      <w:r w:rsidRPr="00181656">
        <w:rPr>
          <w:i/>
        </w:rPr>
        <w:instrText xml:space="preserve"> - Zpravodaj: Michalis </w:instrText>
      </w:r>
      <w:proofErr w:type="spellStart"/>
      <w:r w:rsidRPr="00181656">
        <w:rPr>
          <w:i/>
        </w:rPr>
        <w:instrText>Hadjipantela</w:instrText>
      </w:r>
      <w:proofErr w:type="spellEnd"/>
      <w:r w:rsidRPr="00181656">
        <w:rPr>
          <w:i/>
        </w:rPr>
        <w:instrText xml:space="preserve">)"\l3 \n&gt; \* MERGEFORMAT </w:instrText>
      </w:r>
      <w:r w:rsidRPr="00181656">
        <w:rPr>
          <w:i/>
        </w:rPr>
        <w:fldChar w:fldCharType="end"/>
      </w:r>
    </w:p>
    <w:p w14:paraId="494E2080" w14:textId="77777777" w:rsidR="00401F8A" w:rsidRPr="00181656" w:rsidRDefault="00401F8A" w:rsidP="00401F8A">
      <w:pPr>
        <w:rPr>
          <w:vanish/>
        </w:rPr>
      </w:pPr>
      <w:bookmarkStart w:id="2" w:name="Commission"/>
      <w:r w:rsidRPr="00181656">
        <w:rPr>
          <w:vanish/>
        </w:rPr>
        <w:t>Rozpočtový výbor</w:t>
      </w:r>
      <w:bookmarkEnd w:id="2"/>
    </w:p>
    <w:p w14:paraId="5541A052" w14:textId="77777777" w:rsidR="00401F8A" w:rsidRPr="00181656" w:rsidRDefault="00401F8A" w:rsidP="00401F8A">
      <w:pPr>
        <w:rPr>
          <w:vanish/>
        </w:rPr>
      </w:pPr>
      <w:bookmarkStart w:id="3" w:name="PE"/>
      <w:r w:rsidRPr="00181656">
        <w:rPr>
          <w:vanish/>
        </w:rPr>
        <w:t>PE785.303</w:t>
      </w:r>
      <w:bookmarkEnd w:id="3"/>
    </w:p>
    <w:p w14:paraId="51B0511D" w14:textId="57B2AD3F" w:rsidR="00401F8A" w:rsidRPr="00181656" w:rsidRDefault="00401F8A" w:rsidP="00401F8A">
      <w:pPr>
        <w:pStyle w:val="ATHeading3"/>
      </w:pPr>
      <w:bookmarkStart w:id="4" w:name="Sujet"/>
      <w:r w:rsidRPr="00181656">
        <w:t>Usnesení Evropského parlamentu ze dne</w:t>
      </w:r>
      <w:r w:rsidR="00775806">
        <w:t xml:space="preserve"> 30. dubna</w:t>
      </w:r>
      <w:r w:rsidRPr="00181656">
        <w:t xml:space="preserve"> 2026 o odhadu příjmů a výdajů Evropského parlamentu na rozpočtový rok 2027</w:t>
      </w:r>
      <w:bookmarkEnd w:id="4"/>
      <w:r w:rsidRPr="00181656">
        <w:t xml:space="preserve"> </w:t>
      </w:r>
      <w:bookmarkStart w:id="5" w:name="References"/>
      <w:r w:rsidRPr="00181656">
        <w:t>(2025/2247(BUI))</w:t>
      </w:r>
      <w:bookmarkEnd w:id="5"/>
    </w:p>
    <w:p w14:paraId="0B8DCA57" w14:textId="77777777" w:rsidR="00D71FE4" w:rsidRPr="00181656" w:rsidRDefault="00D71FE4" w:rsidP="00D71FE4">
      <w:pPr>
        <w:pStyle w:val="Institutionquiagit"/>
        <w:spacing w:before="480"/>
        <w:rPr>
          <w:i w:val="0"/>
        </w:rPr>
      </w:pPr>
      <w:bookmarkStart w:id="6" w:name="TextBodyBegin"/>
      <w:bookmarkEnd w:id="6"/>
      <w:r w:rsidRPr="00181656">
        <w:t>Evropský parlament</w:t>
      </w:r>
    </w:p>
    <w:p w14:paraId="599818A3" w14:textId="77777777" w:rsidR="00D71FE4" w:rsidRPr="00181656" w:rsidRDefault="00D71FE4" w:rsidP="00D71FE4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181656">
        <w:t>–</w:t>
      </w:r>
      <w:r w:rsidRPr="00181656">
        <w:tab/>
        <w:t>s ohledem na článek 314 Smlouvy o fungování Evropské unie,</w:t>
      </w:r>
    </w:p>
    <w:p w14:paraId="3AF6056C" w14:textId="77777777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–</w:t>
      </w:r>
      <w:r w:rsidRPr="00181656">
        <w:rPr>
          <w:color w:val="000000"/>
        </w:rPr>
        <w:tab/>
        <w:t>s ohledem na nařízení Evropského parlamentu a Rady (EU, Euratom) 2024/2509 ze dne 23. září 2024, kterým se stanoví finanční pravidla pro souhrnný rozpočet Unie (přepracované znění)</w:t>
      </w:r>
      <w:r w:rsidRPr="00181656">
        <w:rPr>
          <w:color w:val="000000"/>
          <w:vertAlign w:val="superscript"/>
        </w:rPr>
        <w:footnoteReference w:id="1"/>
      </w:r>
      <w:r w:rsidRPr="00181656">
        <w:rPr>
          <w:color w:val="000000"/>
        </w:rPr>
        <w:t xml:space="preserve"> (finanční nařízení),</w:t>
      </w:r>
    </w:p>
    <w:p w14:paraId="0B3AE2C5" w14:textId="77777777" w:rsidR="00D71FE4" w:rsidRPr="00181656" w:rsidRDefault="00D71FE4" w:rsidP="00D71FE4">
      <w:pPr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–</w:t>
      </w:r>
      <w:r w:rsidRPr="00181656">
        <w:rPr>
          <w:color w:val="000000"/>
        </w:rPr>
        <w:tab/>
      </w:r>
      <w:r w:rsidRPr="00181656">
        <w:t>s ohledem na nařízení Rady (EU, Euratom) 2020/2093 ze dne 17. prosince 2020, kterým se stanoví</w:t>
      </w:r>
      <w:r w:rsidRPr="00181656">
        <w:rPr>
          <w:color w:val="000000"/>
        </w:rPr>
        <w:t xml:space="preserve"> </w:t>
      </w:r>
      <w:sdt>
        <w:sdtPr>
          <w:tag w:val="goog_rdk_0"/>
          <w:id w:val="399490220"/>
        </w:sdtPr>
        <w:sdtEndPr/>
        <w:sdtContent/>
      </w:sdt>
      <w:sdt>
        <w:sdtPr>
          <w:tag w:val="goog_rdk_1"/>
          <w:id w:val="-2088213729"/>
        </w:sdtPr>
        <w:sdtEndPr/>
        <w:sdtContent/>
      </w:sdt>
      <w:r w:rsidRPr="00181656">
        <w:t>víceletý finanční rámec na období 2021–2027</w:t>
      </w:r>
      <w:r w:rsidRPr="00181656">
        <w:rPr>
          <w:color w:val="000000"/>
          <w:vertAlign w:val="superscript"/>
        </w:rPr>
        <w:footnoteReference w:id="2"/>
      </w:r>
      <w:r w:rsidRPr="00181656">
        <w:t>, na společné prohlášení dohodnuté v této souvislosti mezi Parlamentem, Radou a Komisí</w:t>
      </w:r>
      <w:r w:rsidRPr="00181656">
        <w:rPr>
          <w:color w:val="000000"/>
          <w:vertAlign w:val="superscript"/>
        </w:rPr>
        <w:footnoteReference w:id="3"/>
      </w:r>
      <w:r w:rsidRPr="00181656">
        <w:t xml:space="preserve"> a na související jednostranná prohlášení</w:t>
      </w:r>
      <w:r w:rsidRPr="00181656">
        <w:rPr>
          <w:color w:val="000000"/>
          <w:vertAlign w:val="superscript"/>
        </w:rPr>
        <w:footnoteReference w:id="4"/>
      </w:r>
      <w:r w:rsidRPr="00181656">
        <w:t>,</w:t>
      </w:r>
    </w:p>
    <w:p w14:paraId="6D1A4D92" w14:textId="77777777" w:rsidR="00D71FE4" w:rsidRPr="00181656" w:rsidRDefault="00D71FE4" w:rsidP="00D71FE4">
      <w:pPr>
        <w:spacing w:after="240"/>
        <w:ind w:left="567" w:hanging="567"/>
        <w:rPr>
          <w:color w:val="000000" w:themeColor="text1"/>
        </w:rPr>
      </w:pPr>
      <w:r w:rsidRPr="00181656">
        <w:rPr>
          <w:color w:val="000000"/>
        </w:rPr>
        <w:t>–</w:t>
      </w:r>
      <w:r w:rsidRPr="00181656">
        <w:rPr>
          <w:color w:val="000000"/>
        </w:rPr>
        <w:tab/>
        <w:t>s ohledem na nařízení Rady (EU, Euratom) 2022/2496 ze dne 15. prosince 2022, kterým se mění nařízení (EU, Euratom) 2020/2093, kterým se stanoví víceletý finanční rámec na období 2021–2027</w:t>
      </w:r>
      <w:r w:rsidRPr="00181656">
        <w:rPr>
          <w:color w:val="000000"/>
          <w:vertAlign w:val="superscript"/>
        </w:rPr>
        <w:footnoteReference w:id="5"/>
      </w:r>
      <w:r w:rsidRPr="00181656">
        <w:rPr>
          <w:color w:val="000000"/>
        </w:rPr>
        <w:t>,</w:t>
      </w:r>
    </w:p>
    <w:p w14:paraId="251EC81C" w14:textId="77777777" w:rsidR="00D71FE4" w:rsidRPr="00181656" w:rsidRDefault="00D71FE4" w:rsidP="00D71FE4">
      <w:pPr>
        <w:spacing w:after="240"/>
        <w:ind w:left="567" w:hanging="567"/>
      </w:pPr>
      <w:r w:rsidRPr="00181656">
        <w:t>–</w:t>
      </w:r>
      <w:r w:rsidRPr="00181656">
        <w:tab/>
      </w:r>
      <w:r w:rsidRPr="00181656">
        <w:rPr>
          <w:color w:val="000000"/>
        </w:rPr>
        <w:t>s ohledem na nařízení Rady (EU, Euratom) 2024/765, kterým se mění nařízení (EU, Euratom) 2020/2093, kterým se stanoví víceletý finanční rámec na období 2021–2027</w:t>
      </w:r>
      <w:r w:rsidRPr="00181656">
        <w:rPr>
          <w:rStyle w:val="FootnoteReference"/>
          <w:color w:val="000000"/>
        </w:rPr>
        <w:footnoteReference w:id="6"/>
      </w:r>
      <w:r w:rsidRPr="00181656">
        <w:rPr>
          <w:color w:val="000000"/>
        </w:rPr>
        <w:t xml:space="preserve"> (revize VFR),</w:t>
      </w:r>
    </w:p>
    <w:p w14:paraId="28EFAD92" w14:textId="77777777" w:rsidR="00D71FE4" w:rsidRPr="00181656" w:rsidRDefault="00D71FE4" w:rsidP="00D71FE4">
      <w:pPr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–</w:t>
      </w:r>
      <w:r w:rsidRPr="00181656">
        <w:rPr>
          <w:color w:val="000000"/>
        </w:rPr>
        <w:tab/>
        <w:t xml:space="preserve">s ohledem na interinstitucionální dohodu ze dne 16. prosince 2020 mezi Evropským parlamentem, Radou Evropské unie a Evropskou komisí o rozpočtové kázni, spolupráci v rozpočtových záležitostech a řádném finančním řízení, jakož i o nových vlastních </w:t>
      </w:r>
      <w:r w:rsidRPr="00181656">
        <w:rPr>
          <w:color w:val="000000"/>
        </w:rPr>
        <w:lastRenderedPageBreak/>
        <w:t>zdrojích, včetně plánu zavádění nových vlastních zdrojů</w:t>
      </w:r>
      <w:r w:rsidRPr="00181656">
        <w:rPr>
          <w:color w:val="000000"/>
          <w:vertAlign w:val="superscript"/>
        </w:rPr>
        <w:footnoteReference w:id="7"/>
      </w:r>
      <w:r w:rsidRPr="00181656">
        <w:rPr>
          <w:color w:val="000000"/>
        </w:rPr>
        <w:t>,</w:t>
      </w:r>
    </w:p>
    <w:p w14:paraId="0DE273E3" w14:textId="77777777" w:rsidR="00D71FE4" w:rsidRPr="00181656" w:rsidRDefault="00D71FE4" w:rsidP="00D71FE4">
      <w:pPr>
        <w:spacing w:after="240"/>
        <w:ind w:left="567" w:hanging="567"/>
      </w:pPr>
      <w:r w:rsidRPr="00181656">
        <w:t>–</w:t>
      </w:r>
      <w:r w:rsidRPr="00181656">
        <w:tab/>
        <w:t>s ohledem na své legislativní usnesení ze dne 16. prosince 2020 k návrhu nařízení Rady, kterým se stanoví víceletý finanční rámec na období 2021–2027</w:t>
      </w:r>
      <w:r w:rsidRPr="00181656">
        <w:rPr>
          <w:vertAlign w:val="superscript"/>
        </w:rPr>
        <w:footnoteReference w:id="8"/>
      </w:r>
      <w:r w:rsidRPr="00181656">
        <w:t>,</w:t>
      </w:r>
    </w:p>
    <w:p w14:paraId="438487A2" w14:textId="77777777" w:rsidR="00D71FE4" w:rsidRPr="00181656" w:rsidRDefault="00D71FE4" w:rsidP="00D71FE4">
      <w:pPr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–</w:t>
      </w:r>
      <w:r w:rsidRPr="00181656">
        <w:rPr>
          <w:color w:val="000000"/>
        </w:rPr>
        <w:tab/>
        <w:t>s ohledem na své usnesení ze dne 15. prosince 2022 k navýšení víceletého finančního rámce na období 2021–2027: odolný rozpočet EU připravený na nové výzvy</w:t>
      </w:r>
      <w:r w:rsidRPr="00181656">
        <w:rPr>
          <w:color w:val="000000"/>
          <w:vertAlign w:val="superscript"/>
        </w:rPr>
        <w:footnoteReference w:id="9"/>
      </w:r>
      <w:r w:rsidRPr="00181656">
        <w:rPr>
          <w:color w:val="000000"/>
        </w:rPr>
        <w:t>,</w:t>
      </w:r>
    </w:p>
    <w:p w14:paraId="4E542638" w14:textId="77777777" w:rsidR="00D71FE4" w:rsidRPr="00181656" w:rsidRDefault="00D71FE4" w:rsidP="00D71FE4">
      <w:pPr>
        <w:spacing w:after="240"/>
        <w:ind w:left="567" w:hanging="567"/>
      </w:pPr>
      <w:r w:rsidRPr="00181656">
        <w:t>–</w:t>
      </w:r>
      <w:r w:rsidRPr="00181656">
        <w:tab/>
        <w:t>s ohledem na své usnesení ze dne 3. října 2023 o návrhu revize víceletého finančního rámce na období 2021–2027 v polovině období</w:t>
      </w:r>
      <w:r w:rsidRPr="00181656">
        <w:rPr>
          <w:vertAlign w:val="superscript"/>
        </w:rPr>
        <w:footnoteReference w:id="10"/>
      </w:r>
      <w:r w:rsidRPr="00181656">
        <w:t>,</w:t>
      </w:r>
    </w:p>
    <w:p w14:paraId="0D4B206B" w14:textId="77777777" w:rsidR="00D71FE4" w:rsidRPr="00181656" w:rsidRDefault="00D71FE4" w:rsidP="00D71FE4">
      <w:pPr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–</w:t>
      </w:r>
      <w:r w:rsidRPr="00181656">
        <w:rPr>
          <w:color w:val="000000"/>
        </w:rPr>
        <w:tab/>
        <w:t>s ohledem na své usnesení ze dne 27. února 2024 o návrhu nařízení Rady, kterým se mění nařízení (EU, Euratom) 2020/2093, kterým se stanoví víceletý finanční rámec na období 2021–2027</w:t>
      </w:r>
      <w:r w:rsidRPr="00181656">
        <w:rPr>
          <w:color w:val="000000"/>
          <w:vertAlign w:val="superscript"/>
        </w:rPr>
        <w:footnoteReference w:id="11"/>
      </w:r>
      <w:r w:rsidRPr="00181656">
        <w:rPr>
          <w:color w:val="000000"/>
        </w:rPr>
        <w:t>,</w:t>
      </w:r>
    </w:p>
    <w:p w14:paraId="162755D5" w14:textId="77777777" w:rsidR="00D71FE4" w:rsidRPr="00181656" w:rsidRDefault="00D71FE4" w:rsidP="00D71FE4">
      <w:pPr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–</w:t>
      </w:r>
      <w:r w:rsidRPr="00181656">
        <w:rPr>
          <w:color w:val="000000"/>
        </w:rPr>
        <w:tab/>
      </w:r>
      <w:r w:rsidRPr="00181656">
        <w:t>s ohledem na souhrnný rozpočet Evropské unie na rozpočtový rok 2026, přijatý s konečnou platností dne 26. listopadu 2025</w:t>
      </w:r>
      <w:r w:rsidRPr="00181656">
        <w:rPr>
          <w:color w:val="000000"/>
          <w:vertAlign w:val="superscript"/>
        </w:rPr>
        <w:footnoteReference w:id="12"/>
      </w:r>
      <w:r w:rsidRPr="00181656">
        <w:t>, a na společná prohlášení dohodnutá mezi Parlamentem, Radou a Komisí, jež jsou k němu přiložena,</w:t>
      </w:r>
    </w:p>
    <w:p w14:paraId="7E147F40" w14:textId="77777777" w:rsidR="00D71FE4" w:rsidRPr="00181656" w:rsidRDefault="00D71FE4" w:rsidP="00D71FE4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181656">
        <w:t>–</w:t>
      </w:r>
      <w:r w:rsidRPr="00181656">
        <w:tab/>
        <w:t>s ohledem na zprávu generálního tajemníka předsednictvu o vypracování předběžného návrhu odhadu příjmů a výdajů Parlamentu na rozpočtový rok 2027,</w:t>
      </w:r>
    </w:p>
    <w:p w14:paraId="7362C743" w14:textId="77777777" w:rsidR="00D71FE4" w:rsidRPr="00181656" w:rsidRDefault="00D71FE4" w:rsidP="00D71FE4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181656">
        <w:t>–</w:t>
      </w:r>
      <w:r w:rsidRPr="00181656">
        <w:tab/>
        <w:t>s ohledem na předběžný návrh odhadu příjmů a výdajů, který podle čl. 25 odst. 7 a čl. 104 odst. 1 jednacího řádu vypracovalo předsednictvo dne 9. března 2026,</w:t>
      </w:r>
    </w:p>
    <w:p w14:paraId="2F834FD9" w14:textId="77777777" w:rsidR="00D71FE4" w:rsidRPr="00181656" w:rsidRDefault="00D71FE4" w:rsidP="00D71FE4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181656">
        <w:t>–</w:t>
      </w:r>
      <w:r w:rsidRPr="00181656">
        <w:tab/>
        <w:t>s ohledem na návrh odhadu příjmů a výdajů, který podle čl. 104 odst. 2 jednacího řádu vypracoval Rozpočtový výbor,</w:t>
      </w:r>
    </w:p>
    <w:p w14:paraId="5B9B1112" w14:textId="77777777" w:rsidR="00D71FE4" w:rsidRPr="00181656" w:rsidRDefault="00D71FE4" w:rsidP="00D71FE4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181656">
        <w:t>–</w:t>
      </w:r>
      <w:r w:rsidRPr="00181656">
        <w:tab/>
        <w:t>s ohledem na článek 104 jednacího řádu,</w:t>
      </w:r>
    </w:p>
    <w:p w14:paraId="66EAC630" w14:textId="77777777" w:rsidR="00D71FE4" w:rsidRPr="00181656" w:rsidRDefault="00D71FE4" w:rsidP="00D71FE4">
      <w:pPr>
        <w:pStyle w:val="Action"/>
        <w:tabs>
          <w:tab w:val="clear" w:pos="357"/>
        </w:tabs>
        <w:ind w:left="567" w:hanging="567"/>
        <w:outlineLvl w:val="0"/>
      </w:pPr>
      <w:r w:rsidRPr="00181656">
        <w:t>–</w:t>
      </w:r>
      <w:r w:rsidRPr="00181656">
        <w:tab/>
        <w:t>s ohledem na zprávu Rozpočtového výboru (A10</w:t>
      </w:r>
      <w:r w:rsidRPr="00181656">
        <w:noBreakHyphen/>
        <w:t>0124/2026),</w:t>
      </w:r>
    </w:p>
    <w:p w14:paraId="57C219CB" w14:textId="77777777" w:rsidR="00D71FE4" w:rsidRPr="00181656" w:rsidRDefault="00D71FE4" w:rsidP="00D71FE4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181656">
        <w:t>A.</w:t>
      </w:r>
      <w:r w:rsidRPr="00181656">
        <w:tab/>
        <w:t>vzhledem k tomu, že rozpočet pro předběžný návrh odhadu příjmů a výdajů Parlamentu na rok 2027, který dne 9. února 2026 navrhl generální tajemník, činí 2 665 474 853 EUR a ve srovnání s rozpočtem na rok 2026 představuje nárůst o 2,33 %, tj. o 60 618 266 EUR;</w:t>
      </w:r>
    </w:p>
    <w:p w14:paraId="4C647256" w14:textId="77777777" w:rsidR="00D71FE4" w:rsidRPr="00181656" w:rsidRDefault="00D71FE4" w:rsidP="00D71FE4">
      <w:pPr>
        <w:pStyle w:val="Action"/>
        <w:tabs>
          <w:tab w:val="clear" w:pos="357"/>
        </w:tabs>
        <w:spacing w:after="120"/>
        <w:ind w:left="567" w:hanging="567"/>
        <w:outlineLvl w:val="0"/>
      </w:pPr>
      <w:r w:rsidRPr="00181656">
        <w:t>B.</w:t>
      </w:r>
      <w:r w:rsidRPr="00181656">
        <w:tab/>
        <w:t>vzhledem k tomu, že navýšení o 2,33 %, jak navrhuje generální tajemník, je způsobeno zvýšením o 2,01 % u statutárních finančních závazků a o 2,89 % u nestatutárních výdajů;</w:t>
      </w:r>
    </w:p>
    <w:p w14:paraId="4483352B" w14:textId="77777777" w:rsidR="00D71FE4" w:rsidRPr="00181656" w:rsidRDefault="00D71FE4" w:rsidP="00D71FE4">
      <w:pPr>
        <w:pStyle w:val="Action"/>
        <w:tabs>
          <w:tab w:val="clear" w:pos="357"/>
        </w:tabs>
        <w:ind w:left="567" w:hanging="567"/>
        <w:outlineLvl w:val="0"/>
      </w:pPr>
      <w:r w:rsidRPr="00181656">
        <w:t>C.</w:t>
      </w:r>
      <w:r w:rsidRPr="00181656">
        <w:tab/>
        <w:t xml:space="preserve">vzhledem k tomu, že podle </w:t>
      </w:r>
      <w:proofErr w:type="spellStart"/>
      <w:r w:rsidRPr="00181656">
        <w:t>Eurostatu</w:t>
      </w:r>
      <w:proofErr w:type="spellEnd"/>
      <w:r w:rsidRPr="00181656">
        <w:t xml:space="preserve"> roční inflace v Unii v prosinci 2025 klesla na 2,3 % oproti 2,7 % v prosinci 2024; vzhledem k tomu, že výše výdajů v okruhu 7 víceletého finančního rámce (VFR) na období 2021–2027 je založena na každoročním nárůstu o 2 %;</w:t>
      </w:r>
    </w:p>
    <w:p w14:paraId="789B89FC" w14:textId="77777777" w:rsidR="00D71FE4" w:rsidRPr="00181656" w:rsidRDefault="00D71FE4" w:rsidP="00D71FE4">
      <w:pPr>
        <w:pStyle w:val="Action"/>
        <w:tabs>
          <w:tab w:val="clear" w:pos="357"/>
        </w:tabs>
        <w:ind w:left="567" w:hanging="567"/>
        <w:outlineLvl w:val="0"/>
      </w:pPr>
      <w:r w:rsidRPr="00181656">
        <w:t>D.</w:t>
      </w:r>
      <w:r w:rsidRPr="00181656">
        <w:tab/>
        <w:t xml:space="preserve">vzhledem k tomu, že má-li být Parlament důvěryhodný, musí být schopen plnit své hlavní rozpočtové, legislativní a kontrolní úkoly na nejvyšší úrovni a současně jít </w:t>
      </w:r>
      <w:r w:rsidRPr="00181656">
        <w:lastRenderedPageBreak/>
        <w:t>příkladem jiným orgánům Unie tím, že bude své výdaje plánovat a realizovat obezřetným a efektivním způsobem a zohledňovat panující hospodářskou situaci;</w:t>
      </w:r>
    </w:p>
    <w:p w14:paraId="020980D0" w14:textId="77777777" w:rsidR="00D71FE4" w:rsidRPr="00181656" w:rsidRDefault="00D71FE4" w:rsidP="00D71FE4">
      <w:pPr>
        <w:pStyle w:val="NormalHanging12a"/>
        <w:rPr>
          <w:b/>
          <w:i/>
        </w:rPr>
      </w:pPr>
      <w:r w:rsidRPr="00181656">
        <w:rPr>
          <w:b/>
          <w:i/>
        </w:rPr>
        <w:t>Obecný rámec</w:t>
      </w:r>
    </w:p>
    <w:p w14:paraId="419F4D35" w14:textId="77777777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1.</w:t>
      </w:r>
      <w:r w:rsidRPr="00181656">
        <w:rPr>
          <w:color w:val="000000"/>
        </w:rPr>
        <w:tab/>
        <w:t>je znepokojen situací ohledně okruhu 7 ve stávajícím VFR; připomíná, že daná omezení jsou výsledkem škrtů, které při schvalování VFR na období 2021–2027 provedla Rada v původním, již tak velmi nízkém návrhu Komise, ale i kumulovaného dopadu několikaleté, nečekaně vysoké inflace; vyjadřuje politování nad tím, že Rada nesouhlasila s návrhem Komise, aby v rámci revize VFR došlo od roku 2024 k navýšení stropu v okruhu 7; upozorňuje na to, že otázka stropu v okruhu 7 nebyla v rámci revize VFR vyřešena; zdůrazňuje, že předpokládané záporné rozpětí na rok 2027 počítá s tím, že v okruhu 7 budou k tomuto účelu využity zvláštní nástroje; poukazuje na to, že využívání zvláštních nástrojů by mělo zůstat výjimečné, mělo by být řádně odůvodněno a mělo by se omezovat pouze na nepředvídané okolnosti;</w:t>
      </w:r>
    </w:p>
    <w:p w14:paraId="1761B317" w14:textId="77777777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2.</w:t>
      </w:r>
      <w:r w:rsidRPr="00181656">
        <w:rPr>
          <w:color w:val="000000"/>
        </w:rPr>
        <w:tab/>
        <w:t xml:space="preserve">podporuje dohodu dosaženou v rámci dohodovacího jednání mezi předsednictvem a Rozpočtovým výborem dne 15. dubna 2026, v níž je stanoveno zvýšení rozpočtu oproti rozpočtu na rok 2026 o 1,98 %, což odpovídá celkové výši příjmů a výdajů na rok 2027 odhadované na 2 656 435 753 EUR, a odpovídající snížení navrhovaných prostředků v následujících rozpočtových položkách celkem o 10 554 000 EUR: </w:t>
      </w:r>
    </w:p>
    <w:p w14:paraId="1A2032C1" w14:textId="77777777" w:rsidR="00D71FE4" w:rsidRPr="00181656" w:rsidRDefault="00D71FE4" w:rsidP="00D71FE4">
      <w:pPr>
        <w:widowControl/>
        <w:spacing w:after="240"/>
        <w:ind w:left="567"/>
        <w:rPr>
          <w:color w:val="000000"/>
        </w:rPr>
      </w:pPr>
      <w:r w:rsidRPr="00181656">
        <w:rPr>
          <w:color w:val="000000"/>
        </w:rPr>
        <w:t xml:space="preserve">1 0 0 6 – Příspěvek na všeobecné výdaje, 1 4 0 5 01 – Výdaje na tlumočení: Externí tlumočení, 1 4 2 – Externí překladatelské služby, 1 6 1 2 07 – Vzdělávání a rozvoj: Externí školení pro GŘ ITEC, 2 0 0 7 04 – Výstavba budov a zařízení prostor: Kontaktní kanceláře / Europa </w:t>
      </w:r>
      <w:proofErr w:type="spellStart"/>
      <w:r w:rsidRPr="00181656">
        <w:rPr>
          <w:color w:val="000000"/>
        </w:rPr>
        <w:t>Experience</w:t>
      </w:r>
      <w:proofErr w:type="spellEnd"/>
      <w:r w:rsidRPr="00181656">
        <w:rPr>
          <w:color w:val="000000"/>
        </w:rPr>
        <w:t xml:space="preserve">, 2 1 0 0 02 – Správa IT a kybernetická bezpečnost – Bezpečnost ICT, rizika a dodržování předpisů, 2 1 0 0 03 – Správa IT a kybernetická bezpečnost – Nově vznikající technologie, 2 1 0 1 02 – Správa aplikací – Poskytování řešení IT, 2 1 0 1 13 – Správa aplikací – GŘ FINS, 2 1 0 2 03 –  Infrastruktura a řízení operací – Telecom, 2 1 0 2 04 –  Infrastruktura a řízení operací – Podniková infrastruktura, 2 1 0 2 05 – Infrastruktura a řízení operací  – Software – Infrastruktura, 2 1 0 2 07 – Infrastruktura a řízení operací  –  Řízení tisku, 2 1 0 3 01 – Digitální služby a vybavení na pracovišti – Individuální vybavení IT, 2 1 2 0 01 – Nábytek: nákup, pronájem, obnova, údržba a oprava nábytku, 2 1 6 0 01 – Přeprava poslanců, jiných osob a věcí: přeprava poslanců (pronájem a použití), 3 0 0 0 02 – Výdaje na služební cesty zaměstnanců mezi třemi pracovními místy: pracovní cesty mimo tři pracovní místa Parlamentu, 3 0 0 0 03 – Výdaje na služební cesty zaměstnanců mezi třemi pracovními místy: vzdělávání a rozvoj, 3 2 1 0 01 – Výdaje za služby parlamentního výzkumu, včetně knihovny, historického archivu, vědeckého posuzování technických možností (STOA) a Evropského vědeckého mediálního střediska: posuzování dopadů a evropská přidaná hodnota, 3 2 2 0 09 – Výdaje na dokumentaci: předplatné a monitorování sdělovacích prostředků, 3 2 4 2 01 – Výdaje na publikace, informační činnost a účast na veřejných akcích: informační kampaně, 3 2 4 3 01 – Návštěvnická centra Evropského parlamentu: </w:t>
      </w:r>
      <w:proofErr w:type="spellStart"/>
      <w:r w:rsidRPr="00181656">
        <w:rPr>
          <w:color w:val="000000"/>
        </w:rPr>
        <w:t>Parlamentarium</w:t>
      </w:r>
      <w:proofErr w:type="spellEnd"/>
      <w:r w:rsidRPr="00181656">
        <w:rPr>
          <w:color w:val="000000"/>
        </w:rPr>
        <w:t xml:space="preserve"> a „Europa </w:t>
      </w:r>
      <w:proofErr w:type="spellStart"/>
      <w:r w:rsidRPr="00181656">
        <w:rPr>
          <w:color w:val="000000"/>
        </w:rPr>
        <w:t>Experience</w:t>
      </w:r>
      <w:proofErr w:type="spellEnd"/>
      <w:r w:rsidRPr="00181656">
        <w:rPr>
          <w:color w:val="000000"/>
        </w:rPr>
        <w:t xml:space="preserve">“, 3 2 4 3 02 – Návštěvnická centra Evropského parlamentu: Dům evropských dějin, 101 – Pohotovostní rezerva. </w:t>
      </w:r>
    </w:p>
    <w:p w14:paraId="6047CED5" w14:textId="77777777" w:rsidR="00D71FE4" w:rsidRPr="00181656" w:rsidRDefault="00D71FE4" w:rsidP="00D71FE4">
      <w:pPr>
        <w:widowControl/>
        <w:spacing w:after="240"/>
        <w:ind w:left="567"/>
        <w:rPr>
          <w:color w:val="000000"/>
        </w:rPr>
      </w:pPr>
      <w:r w:rsidRPr="00181656">
        <w:rPr>
          <w:color w:val="000000"/>
        </w:rPr>
        <w:t>Dále bylo rozhodnuto zvýšit výdaje v předběžném návrhu odhadu příjmů a výdajů schváleném předsednictvem dne 9. března 2026 o 1 514 900 EUR a odpovídajícím způsobem navýšit navrhované prostředky v následujících rozpočtových položkách:</w:t>
      </w:r>
    </w:p>
    <w:p w14:paraId="3DD6AE7A" w14:textId="77777777" w:rsidR="00D71FE4" w:rsidRPr="00181656" w:rsidRDefault="00D71FE4" w:rsidP="00D71FE4">
      <w:pPr>
        <w:widowControl/>
        <w:spacing w:after="240"/>
        <w:ind w:left="567"/>
        <w:rPr>
          <w:color w:val="000000"/>
        </w:rPr>
      </w:pPr>
      <w:r w:rsidRPr="00181656">
        <w:rPr>
          <w:color w:val="000000"/>
        </w:rPr>
        <w:lastRenderedPageBreak/>
        <w:t xml:space="preserve">4 0 3 – Financování evropských politických nadací a 4 4 0 – Náklady na setkání bývalých poslanců a na jejich jinou činnost. </w:t>
      </w:r>
    </w:p>
    <w:p w14:paraId="6FF043C7" w14:textId="77777777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3.</w:t>
      </w:r>
      <w:r w:rsidRPr="00181656">
        <w:rPr>
          <w:color w:val="000000"/>
        </w:rPr>
        <w:tab/>
        <w:t>připomíná, že téměř dvě třetiny rozpočtu jsou tvořeny statutárními závazky; připomíná dále, že Komise v současné době odhaduje valorizaci platů v souladu se služebním řádem a statutem poslanců Evropského parlamentu na 2,2 % v červenci 2026 a 2,3 % v červenci 2027;</w:t>
      </w:r>
    </w:p>
    <w:p w14:paraId="6F6511BE" w14:textId="77777777" w:rsidR="00D71FE4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4.</w:t>
      </w:r>
      <w:r w:rsidRPr="00181656">
        <w:rPr>
          <w:color w:val="000000"/>
        </w:rPr>
        <w:tab/>
        <w:t>konstatuje, že pokud jde o nárůst o 51,6 milionu EUR oproti rozpočtu na rok 2026, je 32,6 milionu EUR z tohoto nárůstu určeno na statutární finanční závazky, zejména v souvislosti s úpravami platů úředníků a dočasných zaměstnanců (16,2 milionu EUR) a smluvních zaměstnanců (1,7 milionu EUR); oceňuje, že od roku 2027 se počítá s mimořádnou přímou podporou pro každého stážistu v Lucemburku (až do výše 500 EUR za měsíc stáže), jejímž cílem bude pomoci jim vyrovnat se s rostoucími náklady na bydlení; vyzývá vzhledem k rostoucím životním nákladům bez ohledu na místo výkonu práce k zajištění přístupu mladých lidí ke stážím; vítá rozhodnutí předsednictva, že nedojde k valorizaci příspěvku na všeobecné výdaje na rok 2026;</w:t>
      </w:r>
    </w:p>
    <w:p w14:paraId="136687F5" w14:textId="45F285F9" w:rsidR="00D71FE4" w:rsidRPr="00181656" w:rsidRDefault="00D71FE4" w:rsidP="00D71FE4">
      <w:pPr>
        <w:widowControl/>
        <w:spacing w:after="240"/>
        <w:ind w:left="567" w:hanging="567"/>
        <w:rPr>
          <w:b/>
          <w:i/>
          <w:color w:val="000000"/>
        </w:rPr>
      </w:pPr>
      <w:r w:rsidRPr="00181656">
        <w:rPr>
          <w:color w:val="000000"/>
        </w:rPr>
        <w:t>5.</w:t>
      </w:r>
      <w:r w:rsidRPr="00181656">
        <w:rPr>
          <w:b/>
          <w:i/>
          <w:color w:val="000000"/>
        </w:rPr>
        <w:tab/>
      </w:r>
      <w:r w:rsidRPr="00181656">
        <w:rPr>
          <w:color w:val="000000"/>
        </w:rPr>
        <w:t>bere na vědomí, že plánovaná částka na příspěvky na parlamentní asistenci se odhaduje na základě historických trendů; zdůrazňuje, že poslancům nemůže být v žádném případě upíráno právo na plné využití tohoto příspěvku v souladu s příslušnými pravidly z důvodu nedostupnosti této rozpočtové položky; žádá generálního tajemníka, aby situaci bedlivě sledoval, informoval Rozpočtový výbor o plnění této rozpočtové položky a v případě, že by hrozilo riziko nedostatečných finančních zdrojů, přijal příslušná opatření;</w:t>
      </w:r>
    </w:p>
    <w:p w14:paraId="5F7A8510" w14:textId="040A6AE4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6.</w:t>
      </w:r>
      <w:r w:rsidRPr="00181656">
        <w:rPr>
          <w:color w:val="000000"/>
        </w:rPr>
        <w:tab/>
        <w:t xml:space="preserve">konstatuje, že Parlament nepožaduje na rok 2027 žádná dodatečná pracovní místa, a to již čtvrtý rok po sobě; </w:t>
      </w:r>
    </w:p>
    <w:p w14:paraId="7A4FA674" w14:textId="1EB3609B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7.</w:t>
      </w:r>
      <w:r w:rsidRPr="00181656">
        <w:rPr>
          <w:color w:val="000000"/>
        </w:rPr>
        <w:tab/>
        <w:t xml:space="preserve">konstatuje, že nárůst nestatutárních výdajů mezi lety 2026 a 2027 činí 2 %; </w:t>
      </w:r>
    </w:p>
    <w:p w14:paraId="5CB1A2B4" w14:textId="628DE17D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8.</w:t>
      </w:r>
      <w:r w:rsidRPr="00181656">
        <w:rPr>
          <w:color w:val="000000"/>
        </w:rPr>
        <w:tab/>
        <w:t xml:space="preserve">vítá pokračující práci generálního tajemníka v oblasti administrativní spolupráce, plánování a zjednodušování, která je v souladu s reformami, jež dne 16. června 2025 navrhla předsedkyně Parlamentu </w:t>
      </w:r>
      <w:proofErr w:type="spellStart"/>
      <w:r w:rsidRPr="00181656">
        <w:rPr>
          <w:color w:val="000000"/>
        </w:rPr>
        <w:t>Metsolová</w:t>
      </w:r>
      <w:proofErr w:type="spellEnd"/>
      <w:r w:rsidRPr="00181656">
        <w:rPr>
          <w:color w:val="000000"/>
        </w:rPr>
        <w:t>, a jejímž cílem je zvýšit efektivitu, účinně využívat zdroje a dosáhnout podle možnosti úspor; vyzývá k posílení mechanismů podávání zpráv s cílem zvýšit transparentnost a odpovědnost; žádá generálního tajemníka, aby Rozpočtovému výboru pravidelně poskytoval aktuální informace o provádění akčního plánu pro zjednodušení správy a o jeho dopadu na rozpočet a zaměstnance;</w:t>
      </w:r>
    </w:p>
    <w:p w14:paraId="25BBC941" w14:textId="77777777" w:rsidR="00D71FE4" w:rsidRPr="00181656" w:rsidRDefault="00D71FE4" w:rsidP="00D71FE4">
      <w:pPr>
        <w:pStyle w:val="action0"/>
        <w:ind w:left="0" w:firstLine="0"/>
        <w:rPr>
          <w:b/>
          <w:i/>
        </w:rPr>
      </w:pPr>
      <w:r w:rsidRPr="00181656">
        <w:rPr>
          <w:b/>
          <w:i/>
        </w:rPr>
        <w:t>Posílení klíčových funkcí Parlamentu</w:t>
      </w:r>
    </w:p>
    <w:p w14:paraId="302491BD" w14:textId="078FB97F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t>9.</w:t>
      </w:r>
      <w:r w:rsidRPr="00181656">
        <w:tab/>
        <w:t xml:space="preserve">bere na vědomí čtyři nová tematická generální ředitelství (GŘ) fungující od ledna 2025, která odpovídají za legislativní, rozpočtovou a kontrolní činnost, jejímž cílem je zlepšit fungování Parlamentu coby </w:t>
      </w:r>
      <w:proofErr w:type="spellStart"/>
      <w:r w:rsidRPr="00181656">
        <w:t>spolunormotvůrce</w:t>
      </w:r>
      <w:proofErr w:type="spellEnd"/>
      <w:r w:rsidRPr="00181656">
        <w:t>, jedné ze složek rozpočtového orgánu a orgánu příslušného k udělení absolutoria;</w:t>
      </w:r>
    </w:p>
    <w:p w14:paraId="05F7D24F" w14:textId="3BF4BE90" w:rsidR="00D71FE4" w:rsidRDefault="00D71FE4" w:rsidP="00D71FE4">
      <w:pPr>
        <w:widowControl/>
        <w:spacing w:after="240"/>
        <w:ind w:left="567" w:hanging="567"/>
        <w:rPr>
          <w:b/>
          <w:i/>
        </w:rPr>
      </w:pPr>
      <w:r w:rsidRPr="00181656">
        <w:t>10.</w:t>
      </w:r>
      <w:r w:rsidRPr="00181656">
        <w:tab/>
        <w:t xml:space="preserve">bere na vědomí přerozdělení vnitřních zdrojů, pokud jde o počet přidělených pracovních míst (+15 % v letech 2024 až 2026), rozpočtové prostředky pro externí pracovníky (položka 1400, z 3,2 milionu EUR v roce 2024 na 8 milionů EUR v roce 2027) a rozpočet na externí odborné znalosti (položka 3200, z 3,2 milionu EUR v roce 2024 na 7,7 milionu EUR v roce 2027), jehož cílem je zajistit poskytování širšího odborného </w:t>
      </w:r>
      <w:r w:rsidRPr="00181656">
        <w:lastRenderedPageBreak/>
        <w:t xml:space="preserve">poradenství poslancům; zdůrazňuje, že je třeba zajistit, aby toto navýšení bylo i nadále odůvodněné a přiměřené a přinášelo jasnou přidanou hodnotu; žádá generálního tajemníka, aby Rozpočtovému výboru pravidelně poskytoval aktuální informace o vývoji a využívání zdrojů v těchto čtyřech nových GŘ; zdůrazňuje, že je třeba zajistit důležitý cíl, kterým je posílení schopnosti Parlamentu podporovat práci poslanců; poukazuje na klíčovou úlohu politických skupin </w:t>
      </w:r>
      <w:bookmarkStart w:id="7" w:name="_Hlk227243597"/>
      <w:r w:rsidRPr="00181656">
        <w:t>při poskytování odborných znalostí a politické podpory</w:t>
      </w:r>
      <w:bookmarkEnd w:id="7"/>
      <w:r w:rsidRPr="00181656">
        <w:t xml:space="preserve"> poslancům při jejich legislativní a parlamentní činnosti;</w:t>
      </w:r>
      <w:r w:rsidRPr="00181656">
        <w:rPr>
          <w:b/>
          <w:i/>
        </w:rPr>
        <w:t xml:space="preserve"> </w:t>
      </w:r>
    </w:p>
    <w:p w14:paraId="510FBEAF" w14:textId="4DED67C4" w:rsidR="00A163D5" w:rsidRPr="00181656" w:rsidRDefault="00A163D5" w:rsidP="00D71FE4">
      <w:pPr>
        <w:widowControl/>
        <w:spacing w:after="240"/>
        <w:ind w:left="567" w:hanging="567"/>
      </w:pPr>
      <w:r>
        <w:t>1</w:t>
      </w:r>
      <w:r w:rsidR="00D94147">
        <w:t>1</w:t>
      </w:r>
      <w:r w:rsidRPr="00A163D5">
        <w:t xml:space="preserve">. </w:t>
      </w:r>
      <w:r w:rsidRPr="00A163D5">
        <w:tab/>
        <w:t>připomíná, že povinnost chránit finanční zájmy Unie se vztahuje stejně na všechny příjemce finančních prostředků Unie, včetně politických skupin působících v Parlamentu; konstatuje, že vyšetřování a kroky ke zpětnému získání prostředků v souvislosti s podezřením na zneužití finančních prostředků Unie bývalou skupinou Identita a demokracie, ze které je nyní skupina Patrioti pro Evropu, upozornily na potřebu důkladných vnitřních kontrol, efektivního ověřování ex post a rychlých mechanismů zpětného získávání prostředků v rámci správních útvarů Parlamentu; vyzývá správní útvary Parlamentu, aby neprodleně dokončily všechna probíhající řízení o zpětném získání prostředků a předaly veškeré důkazy o neoprávněných výdajích úřadům OLAF a EPPO; zdůrazňuje, že důvěryhodnost struktury Unie pro boj proti podvodům závisí na jejím důsledném uplatňování na všechny příjemce, včetně příjemců v rámci samotného Parlamentu;</w:t>
      </w:r>
    </w:p>
    <w:p w14:paraId="0F4BE197" w14:textId="77777777" w:rsidR="00D71FE4" w:rsidRPr="00181656" w:rsidRDefault="00D71FE4" w:rsidP="00D71FE4">
      <w:pPr>
        <w:spacing w:after="240"/>
        <w:rPr>
          <w:b/>
          <w:i/>
          <w:color w:val="000000"/>
        </w:rPr>
      </w:pPr>
      <w:r w:rsidRPr="00181656">
        <w:rPr>
          <w:b/>
          <w:i/>
          <w:color w:val="000000"/>
        </w:rPr>
        <w:t xml:space="preserve">Digitální transformace </w:t>
      </w:r>
    </w:p>
    <w:p w14:paraId="6D1A1CDE" w14:textId="7D51B2F3" w:rsidR="00D71FE4" w:rsidRPr="00181656" w:rsidRDefault="00A163D5" w:rsidP="00D71FE4">
      <w:pPr>
        <w:pStyle w:val="action0"/>
        <w:ind w:left="567" w:hanging="567"/>
      </w:pPr>
      <w:r w:rsidRPr="00181656">
        <w:t>1</w:t>
      </w:r>
      <w:r w:rsidR="00D94147">
        <w:t>2</w:t>
      </w:r>
      <w:r w:rsidR="00D71FE4" w:rsidRPr="00181656">
        <w:t>.</w:t>
      </w:r>
      <w:r w:rsidR="00D71FE4" w:rsidRPr="00181656">
        <w:tab/>
      </w:r>
      <w:r w:rsidR="00D71FE4" w:rsidRPr="00181656">
        <w:rPr>
          <w:color w:val="000000"/>
        </w:rPr>
        <w:t>konstatuje, že celkový rozpočet na IT představuje 7,6 % celkového rozpočtu v odhadu příjmů a výdajů na rok 2027 a činí 202,4 milionu EUR; poukazuje na význam spolehlivé infrastruktury kybernetické bezpečnosti v geopoliticky neklidných dobách; připomíná plánované postupné zvyšování finančních prostředků na kybernetickou bezpečnost na 10 % rozpočtu Parlamentu, který je vyhrazen na informační a komunikační technologie;</w:t>
      </w:r>
      <w:r w:rsidR="00D71FE4" w:rsidRPr="00181656">
        <w:t xml:space="preserve"> konstatuje, že toto plánované zvýšení by mělo být realizováno co nejdříve;</w:t>
      </w:r>
    </w:p>
    <w:p w14:paraId="1DD267A3" w14:textId="424B16E1" w:rsidR="00D71FE4" w:rsidRPr="00181656" w:rsidRDefault="00A163D5" w:rsidP="00D71FE4">
      <w:pPr>
        <w:pStyle w:val="action0"/>
        <w:ind w:left="567" w:hanging="567"/>
      </w:pPr>
      <w:r w:rsidRPr="00181656">
        <w:t>1</w:t>
      </w:r>
      <w:r w:rsidR="00D94147">
        <w:t>3</w:t>
      </w:r>
      <w:r w:rsidR="00D71FE4" w:rsidRPr="00181656">
        <w:t>.</w:t>
      </w:r>
      <w:r w:rsidR="00D71FE4" w:rsidRPr="00181656">
        <w:tab/>
        <w:t>zdůrazňuje, že kybernetická bezpečnost Parlamentu je v době geopolitické nejistoty klíčovou prioritou; konstatuje, že celková částka přidělená na kybernetickou bezpečnost činí 16,9 milionu EUR, což zahrnuje navýšení položky centralizované kybernetické bezpečnosti o 54 % oproti roku 2026; připomíná, že investice do kybernetické bezpečnosti mají klíčový význam pro ochranu demokratického hlasu Parlamentu a Unie a zajištění řádného fungování Parlamentu;</w:t>
      </w:r>
    </w:p>
    <w:p w14:paraId="2BDE9CC7" w14:textId="55B9804A" w:rsidR="00D71FE4" w:rsidRPr="00181656" w:rsidRDefault="00A163D5" w:rsidP="00D71FE4">
      <w:pPr>
        <w:pStyle w:val="action0"/>
        <w:ind w:left="567" w:hanging="567"/>
      </w:pPr>
      <w:r w:rsidRPr="00181656">
        <w:t>1</w:t>
      </w:r>
      <w:r w:rsidR="00D94147">
        <w:t>4</w:t>
      </w:r>
      <w:r w:rsidR="00D71FE4" w:rsidRPr="00181656">
        <w:t>.</w:t>
      </w:r>
      <w:r w:rsidR="00D71FE4" w:rsidRPr="00181656">
        <w:tab/>
        <w:t>zdůrazňuje, že Parlament musí stát v čele digitalizace pracovních postupů; vítá investice do umělé inteligence ve výši 1 milionu EUR; vyzývá k většímu využívání umělé inteligence v zájmu zvýšení efektivity a posílení suverenity v této oblasti, přičemž je třeba mít na paměti související rizika, a to i pokud jde o etiku a ochranu údajů; zdůrazňuje, že při zavádění umělé inteligence je nutné dosáhnout rovnováhy mezi inovacemi a potřebnými zárukami; poukazuje na potenciál umělé inteligence při zvyšování efektivity administrativních procesů; vybízí k vypracování jasných pokynů a záruk s cílem zajistit odpovědné a transparentní zavádění umělé inteligence a podporovat inovace, a to při dodržování základních práv, bezpečnosti a odpovědnosti; bere na vědomí, že vývoj umělé inteligence bude pozorně sledován v souladu se zásadami stanovenými předsednictvem; zdůrazňuje, že investice do umělé inteligence by se neměly zaměřovat pouze na administrativní efektivitu, ale také na zvýšení demokratické transparentnosti a zajištění větší angažovanosti občanů;</w:t>
      </w:r>
    </w:p>
    <w:p w14:paraId="1631397D" w14:textId="487B8CD2" w:rsidR="00D71FE4" w:rsidRPr="00181656" w:rsidRDefault="00A163D5" w:rsidP="00775806">
      <w:pPr>
        <w:pStyle w:val="action0"/>
        <w:ind w:left="567" w:hanging="567"/>
        <w:rPr>
          <w:bCs/>
          <w:iCs/>
        </w:rPr>
      </w:pPr>
      <w:r w:rsidRPr="00181656">
        <w:lastRenderedPageBreak/>
        <w:t>1</w:t>
      </w:r>
      <w:r w:rsidR="00D94147">
        <w:t>5</w:t>
      </w:r>
      <w:r w:rsidR="00D71FE4" w:rsidRPr="00181656">
        <w:t>.</w:t>
      </w:r>
      <w:r w:rsidR="00D71FE4" w:rsidRPr="00181656">
        <w:tab/>
        <w:t>poukazuje na to, že vzhledem ke geopolitické situaci a investicím, které bude muset Evropská unie realizovat v zájmu své strategické autonomie, musí jít Evropský parlament příkladem; bere na vědomí přípravu konsolidovaného akčního plánu zaměřeného na upevnění pozice Parlamentu v oblasti digitální suverenity; očekává pravidelné informace o dosaženém pokroku; poukazuje na to, že je důležité zajistit v rámci digitální infrastruktury Parlamentu vysokou míru kybernetické bezpečnosti, ochrany údajů a odolnosti; zdůrazňuje, že je nutné důkladně vyhodnotit rizika spojená se spoléháním se na neevropské poskytovatele, mj. na základě posouzení rizik; poukazuje na to, že je důležité zachovat bezpečná, konkurenceschopná a spolehlivá řešení, pokud možno na základě upřednostňování evropských poskytovatelů; vyzývá k tomu, aby bylo v koordinaci s dalšími orgány EU prováděno pravidelné posuzování komunikačních kanálů a digitálních nástrojů Parlamentu z hlediska bezpečnosti a dodržování právních předpisů EU s cílem zajistit ochranu parlamentních údajů a neporušenost jeho komunikace;</w:t>
      </w:r>
    </w:p>
    <w:p w14:paraId="6D82AC49" w14:textId="77777777" w:rsidR="00D71FE4" w:rsidRPr="00181656" w:rsidRDefault="00D71FE4" w:rsidP="00775806">
      <w:pPr>
        <w:pStyle w:val="action0"/>
        <w:ind w:left="0" w:firstLine="0"/>
        <w:rPr>
          <w:b/>
          <w:i/>
        </w:rPr>
      </w:pPr>
      <w:r w:rsidRPr="00181656">
        <w:rPr>
          <w:b/>
          <w:i/>
        </w:rPr>
        <w:t>Infrastruktura</w:t>
      </w:r>
    </w:p>
    <w:p w14:paraId="49186155" w14:textId="46D62A62" w:rsidR="00D71FE4" w:rsidRPr="00181656" w:rsidRDefault="00A163D5" w:rsidP="00775806">
      <w:pPr>
        <w:pStyle w:val="action0"/>
        <w:ind w:left="567" w:hanging="567"/>
        <w:rPr>
          <w:color w:val="000000"/>
        </w:rPr>
      </w:pPr>
      <w:r w:rsidRPr="00181656">
        <w:rPr>
          <w:color w:val="000000"/>
        </w:rPr>
        <w:t>1</w:t>
      </w:r>
      <w:r w:rsidR="00D94147">
        <w:rPr>
          <w:color w:val="000000"/>
        </w:rPr>
        <w:t>6</w:t>
      </w:r>
      <w:r w:rsidR="00D71FE4" w:rsidRPr="00181656">
        <w:rPr>
          <w:color w:val="000000"/>
        </w:rPr>
        <w:t>.</w:t>
      </w:r>
      <w:r w:rsidR="00D71FE4" w:rsidRPr="00181656">
        <w:rPr>
          <w:color w:val="000000"/>
        </w:rPr>
        <w:tab/>
        <w:t>je si vědom nového přístupu v oblasti budov, který spočívá spíše v konsolidaci stávajících než v získávání nových budov a v jehož rámci se zohledňuje udržitelnost, přístupnost a mobilita poslanců a zaměstnanců, ale i návštěvníků;</w:t>
      </w:r>
    </w:p>
    <w:p w14:paraId="475ADA9C" w14:textId="2124C021" w:rsidR="00D71FE4" w:rsidRPr="00181656" w:rsidRDefault="00A163D5" w:rsidP="00775806">
      <w:pPr>
        <w:pStyle w:val="action0"/>
        <w:ind w:left="567" w:hanging="567"/>
        <w:rPr>
          <w:color w:val="000000"/>
        </w:rPr>
      </w:pPr>
      <w:r w:rsidRPr="00181656">
        <w:rPr>
          <w:color w:val="000000"/>
        </w:rPr>
        <w:t>1</w:t>
      </w:r>
      <w:r w:rsidR="00D94147">
        <w:rPr>
          <w:color w:val="000000"/>
        </w:rPr>
        <w:t>7</w:t>
      </w:r>
      <w:r w:rsidR="00D71FE4" w:rsidRPr="00181656">
        <w:rPr>
          <w:color w:val="000000"/>
        </w:rPr>
        <w:t>.</w:t>
      </w:r>
      <w:r w:rsidR="00D71FE4" w:rsidRPr="00181656">
        <w:rPr>
          <w:color w:val="000000"/>
        </w:rPr>
        <w:tab/>
        <w:t xml:space="preserve">bere na vědomí, že v roce 2027 se začne provádět renovace budovy SPAAK; bere dále na vědomí, že celkový rozpočet na její renovaci byl stanoven na 455 milionů EUR a že na rok 2027 se počítá se 77,67 milionu EUR; poukazuje na to, že tyto náklady nejsou zahrnuty do rozpočtu na rok 2027; </w:t>
      </w:r>
      <w:bookmarkStart w:id="8" w:name="_Hlk227680019"/>
      <w:r w:rsidR="00D71FE4" w:rsidRPr="00181656">
        <w:rPr>
          <w:color w:val="000000"/>
        </w:rPr>
        <w:t>zdůrazňuje, že je třeba zajistit přísnou kontrolu nákladů, transparentnost a dodržování plánovaného rozpočtu;</w:t>
      </w:r>
      <w:r w:rsidR="00D71FE4" w:rsidRPr="00181656">
        <w:rPr>
          <w:b/>
          <w:i/>
          <w:color w:val="000000"/>
        </w:rPr>
        <w:t xml:space="preserve"> </w:t>
      </w:r>
      <w:bookmarkEnd w:id="8"/>
    </w:p>
    <w:p w14:paraId="03817F9F" w14:textId="19EB7341" w:rsidR="00D71FE4" w:rsidRPr="00181656" w:rsidRDefault="00A163D5" w:rsidP="00775806">
      <w:pPr>
        <w:pStyle w:val="action0"/>
        <w:ind w:left="567" w:hanging="567"/>
        <w:rPr>
          <w:color w:val="000000"/>
        </w:rPr>
      </w:pPr>
      <w:r w:rsidRPr="00181656">
        <w:rPr>
          <w:color w:val="000000"/>
        </w:rPr>
        <w:t>1</w:t>
      </w:r>
      <w:r w:rsidR="00D94147">
        <w:rPr>
          <w:color w:val="000000"/>
        </w:rPr>
        <w:t>8</w:t>
      </w:r>
      <w:r w:rsidR="00D71FE4" w:rsidRPr="00181656">
        <w:rPr>
          <w:color w:val="000000"/>
        </w:rPr>
        <w:t>.</w:t>
      </w:r>
      <w:r w:rsidR="00D71FE4" w:rsidRPr="00181656">
        <w:rPr>
          <w:color w:val="000000"/>
        </w:rPr>
        <w:tab/>
        <w:t>bere na vědomí, že Parlament hodlá sjednat na financování projektu renovace budovy SPAAK půjčky, mj. u Evropské investiční banky; bere na vědomí, že v rozpočtu na rok 2027 jsou zahrnuty náklady spojené s úroky (3,17 milionu EUR) a se splácením jistiny (0,65 milionu EUR); naléhavě požaduje, aby byly v příslušných případech jasně uvedeny a zahrnuty do rozpočtu také náklady, které s rekonstrukčními pracemi přímo nesouvisejí; vyzývá správu, aby Rozpočtový výbor průběžně podrobně informovala o platných úrokových sazbách platných pro tyto půjčky a o dlouhodobém plánování splácení jistiny; poukazuje na to, že je nutné zajistit obezřetné řízení dluhu;</w:t>
      </w:r>
    </w:p>
    <w:p w14:paraId="1A09AE49" w14:textId="78B1401A" w:rsidR="00D71FE4" w:rsidRPr="00181656" w:rsidRDefault="00D94147" w:rsidP="00D71FE4">
      <w:pPr>
        <w:pStyle w:val="action0"/>
        <w:ind w:left="567" w:hanging="567"/>
        <w:rPr>
          <w:b/>
          <w:bCs/>
          <w:i/>
          <w:iCs/>
          <w:color w:val="000000"/>
        </w:rPr>
      </w:pPr>
      <w:r>
        <w:rPr>
          <w:color w:val="000000"/>
        </w:rPr>
        <w:t>19</w:t>
      </w:r>
      <w:r w:rsidR="00D71FE4" w:rsidRPr="00181656">
        <w:rPr>
          <w:color w:val="000000"/>
        </w:rPr>
        <w:t>.</w:t>
      </w:r>
      <w:r w:rsidR="00D71FE4" w:rsidRPr="00181656">
        <w:rPr>
          <w:color w:val="000000"/>
        </w:rPr>
        <w:tab/>
        <w:t xml:space="preserve">vyjadřuje politování nad zpožděním při zřizování center Europa </w:t>
      </w:r>
      <w:proofErr w:type="spellStart"/>
      <w:r w:rsidR="00D71FE4" w:rsidRPr="00181656">
        <w:rPr>
          <w:color w:val="000000"/>
        </w:rPr>
        <w:t>Experience</w:t>
      </w:r>
      <w:proofErr w:type="spellEnd"/>
      <w:r w:rsidR="00D71FE4" w:rsidRPr="00181656">
        <w:rPr>
          <w:color w:val="000000"/>
        </w:rPr>
        <w:t xml:space="preserve"> ve všech členských státech; vítá novou koncepci, kterou předsednictvo schválilo dne 31. března 2025 a jejímž cílem je optimalizovat využívání prostorů těchto center s ohledem na rozdílnou situaci v jednotlivých členských státech; zdůrazňuje, že je důležité zajistit, aby tato centra nabízela návštěvníkům poutavé zážitky, a přilákala tak občany; vyzývá ke zřízení center Europa </w:t>
      </w:r>
      <w:proofErr w:type="spellStart"/>
      <w:r w:rsidR="00D71FE4" w:rsidRPr="00181656">
        <w:rPr>
          <w:color w:val="000000"/>
        </w:rPr>
        <w:t>Experience</w:t>
      </w:r>
      <w:proofErr w:type="spellEnd"/>
      <w:r w:rsidR="00D71FE4" w:rsidRPr="00181656">
        <w:rPr>
          <w:color w:val="000000"/>
        </w:rPr>
        <w:t xml:space="preserve"> s tím, že by měly být upřednostněny ty členské státy, které jsou nejvíce vzdáleny od tří pracovních míst Parlamentu, a zároveň by se mělo zajistit, aby jejich rozvoj a provoz zůstal nákladově efektivní; připomíná, že centra Europa </w:t>
      </w:r>
      <w:proofErr w:type="spellStart"/>
      <w:r w:rsidR="00D71FE4" w:rsidRPr="00181656">
        <w:rPr>
          <w:color w:val="000000"/>
        </w:rPr>
        <w:t>Experience</w:t>
      </w:r>
      <w:proofErr w:type="spellEnd"/>
      <w:r w:rsidR="00D71FE4" w:rsidRPr="00181656">
        <w:rPr>
          <w:color w:val="000000"/>
        </w:rPr>
        <w:t xml:space="preserve"> by měla všem občanům umožnit lépe pochopit, jak fungují orgány a instituce Unie, a lépe porozumět našim společným hodnotám; zdůrazňuje, že je třeba účinně využívat rozpočtové prostředky přidělené těmto centrům s cílem zajistit, aby v rámci své komunikace oslovila především mladé lidi a ohrožené skupiny obyvatel; poukazuje na to, že při jejich financování by se mělo upřednostnit šíření věcných a dostupných informací o dopadu politiky EU v daném místě, což představuje nákladově efektivní nástroj ochrany demokratické integrity Unie před dezinformacemi;</w:t>
      </w:r>
    </w:p>
    <w:p w14:paraId="006FF0DA" w14:textId="42F52E31" w:rsidR="00D71FE4" w:rsidRPr="00181656" w:rsidRDefault="00A163D5" w:rsidP="00D71FE4">
      <w:pPr>
        <w:pStyle w:val="action0"/>
        <w:ind w:left="567" w:hanging="567"/>
        <w:rPr>
          <w:bCs/>
          <w:iCs/>
          <w:color w:val="000000"/>
        </w:rPr>
      </w:pPr>
      <w:r>
        <w:rPr>
          <w:color w:val="000000"/>
        </w:rPr>
        <w:lastRenderedPageBreak/>
        <w:t>2</w:t>
      </w:r>
      <w:r w:rsidR="00D94147">
        <w:rPr>
          <w:color w:val="000000"/>
        </w:rPr>
        <w:t>0</w:t>
      </w:r>
      <w:r w:rsidR="00D71FE4" w:rsidRPr="00181656">
        <w:rPr>
          <w:color w:val="000000"/>
        </w:rPr>
        <w:t>.</w:t>
      </w:r>
      <w:r w:rsidR="00D71FE4" w:rsidRPr="00181656">
        <w:rPr>
          <w:color w:val="000000"/>
        </w:rPr>
        <w:tab/>
        <w:t xml:space="preserve">s ohledem na nedávné trendy svědčící o znepokojivém poklesu svobody a nezávislosti sdělovacích prostředků v Unii připomíná význam programu Evropského parlamentu „Vyslanci do škol“, který má podporovat aktivní zapojení mladých Evropanů, a vzdělávacího programu pro mladé novináře pojmenovaného na počest Davida </w:t>
      </w:r>
      <w:proofErr w:type="spellStart"/>
      <w:r w:rsidR="00D71FE4" w:rsidRPr="00181656">
        <w:rPr>
          <w:color w:val="000000"/>
        </w:rPr>
        <w:t>Sassoliho</w:t>
      </w:r>
      <w:proofErr w:type="spellEnd"/>
      <w:r w:rsidR="00D71FE4" w:rsidRPr="00181656">
        <w:rPr>
          <w:color w:val="000000"/>
        </w:rPr>
        <w:t>, jehož cílem je zajistit, aby novináři Unii lépe porozuměli a lépe chápali její fungování, neboť se jedná o nejlepší prostředek boje proti dezinformacím;</w:t>
      </w:r>
    </w:p>
    <w:p w14:paraId="617795DD" w14:textId="52F9D44F" w:rsidR="00D71FE4" w:rsidRPr="00181656" w:rsidRDefault="00D71FE4" w:rsidP="00D71FE4">
      <w:pPr>
        <w:pStyle w:val="action0"/>
        <w:ind w:left="567" w:hanging="567"/>
        <w:rPr>
          <w:bCs/>
          <w:iCs/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1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znovu opakuje, že podporuje vybudování celoevropského památníku obětem totalitních režimů 20. století v Bruselu, který by odrážel rozmanitou historickou zkušenost; vyzývá předsednictvo, aby s cílem přijmout rozhodnutí tuto záležitost projednalo a přihlédlo přitom k rozpočtovým omezením v posledních letech stávajícího VFR a k ekonomickým problémům, jimž čelí evropští občané;</w:t>
      </w:r>
    </w:p>
    <w:p w14:paraId="43BD21BE" w14:textId="5552B19D" w:rsidR="00D71FE4" w:rsidRPr="00181656" w:rsidRDefault="00D71FE4" w:rsidP="00D71FE4">
      <w:pPr>
        <w:pStyle w:val="action0"/>
        <w:ind w:left="567" w:hanging="567"/>
        <w:rPr>
          <w:bCs/>
          <w:iCs/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2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poukazuje na to, že pokud by měl Parlament jen jedno sídlo, mohlo by to vést ke snížení finančních a environmentálních nákladů; připomíná, že podle Smlouvy o Evropské unii má mít Parlament sídlo ve Štrasburku; konstatuje, že trvalé změny by si vyžádaly změnu Smlouvy, k níž je zapotřebí jednomyslnost;</w:t>
      </w:r>
    </w:p>
    <w:p w14:paraId="49C44EE3" w14:textId="77777777" w:rsidR="00D71FE4" w:rsidRPr="00181656" w:rsidRDefault="00D71FE4" w:rsidP="00D71FE4">
      <w:pPr>
        <w:pStyle w:val="action0"/>
        <w:ind w:left="0" w:firstLine="0"/>
        <w:rPr>
          <w:b/>
          <w:i/>
          <w:color w:val="000000"/>
        </w:rPr>
      </w:pPr>
      <w:r w:rsidRPr="00181656">
        <w:rPr>
          <w:b/>
          <w:i/>
          <w:color w:val="000000"/>
        </w:rPr>
        <w:t xml:space="preserve">Ekologický parlament </w:t>
      </w:r>
    </w:p>
    <w:p w14:paraId="0B1344A4" w14:textId="6074C8D9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3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oceňuje cíle systému environmentálního řízení Parlamentu (EMAS) na období let 2025–2029; vítá investice do infrastruktury, které jsou součástí plánovaných opatření v oblasti energetické účinnosti a environmentálních renovací na období let 2025–2029, což je dobrý způsob jak zajistit efektivitu nákladů; bere na vědomí, že na investice do energetické účinnosti a životního prostředí, jež mají dále zlepšit environmentální výkonnost budov Parlamentu, je v odhadu příjmů a výdajů na rok 2027 vyčleněn rozpočet ve výši 8,97 milionu EUR; konstatuje, že to ve srovnání s rozpočtem na rok 2026 odpovídá zvýšení o 6,1 %; oceňuje, že s cílem dále zvyšovat podíl energie z obnovitelných zdrojů vyrobené na místě Parlament nainstaloval fotovoltaické solární panely a pokračuje v jejich instalaci; zdůrazňuje, že je třeba zajistit, aby takovéto investice vedly mj. vzhledem ke geopolitické situaci k měřitelnému zvýšení efektivity a dlouhodobým úsporám nákladů;</w:t>
      </w:r>
    </w:p>
    <w:p w14:paraId="7D3D09D0" w14:textId="7B4A0D7C" w:rsidR="00D71FE4" w:rsidRPr="00181656" w:rsidRDefault="00D71FE4" w:rsidP="00D71FE4">
      <w:pPr>
        <w:widowControl/>
        <w:spacing w:after="240"/>
        <w:ind w:left="567" w:hanging="567"/>
        <w:rPr>
          <w:bCs/>
          <w:iCs/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4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připomíná, že téměř dvě třetiny uhlíkové stopy Parlamentu jsou způsobeny přepravou osob; bere na vědomí, že významná část rozpočtu Parlamentu – v roce 2027 má činit 162,1 milionu EUR – je vynakládána na pokrytí výdajů poslanců a zaměstnanců na služební cesty; vyzývá orgány Parlamentu k zamyšlení nad postupy v oblasti pracovních cest mimo tři pracovní místa a k revizi pravidel a postupů pro pracovní cesty, aby se obecně snížil počet pracovních cest a související finanční a environmentální náklady; vyzývá poslance, aby využívali alternativní nízkouhlíkové způsoby dopravy a nejvýhodnější nabídky leteckého spojení;</w:t>
      </w:r>
    </w:p>
    <w:p w14:paraId="29AE6048" w14:textId="62F45A63" w:rsidR="00D71FE4" w:rsidRPr="00181656" w:rsidRDefault="00D71FE4" w:rsidP="00D71FE4">
      <w:pPr>
        <w:widowControl/>
        <w:spacing w:after="240"/>
        <w:ind w:left="567" w:hanging="567"/>
        <w:rPr>
          <w:bCs/>
          <w:iCs/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5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vítá větší využívání veřejné dopravy při pravidelném dojíždění a zároveň bere na vědomí zvýšenou poptávku po systému finančních dotací na sezónní jízdenky, zejména v Bruselu, což vede k nutnosti navýšit příslušné prostředky; domnívá se, že Parlament musí jít příkladem a podporovat opatření, která mají zajistit účinné využívání zdrojů tím, že rozšíří udržitelné způsoby dopravy při dojíždění a vytvoří další pobídky pro dojíždění na kole;</w:t>
      </w:r>
    </w:p>
    <w:p w14:paraId="21B07D67" w14:textId="533C6A0C" w:rsidR="00D71FE4" w:rsidRPr="00181656" w:rsidRDefault="00D71FE4" w:rsidP="00D71FE4">
      <w:pPr>
        <w:widowControl/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6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 xml:space="preserve">bere na vědomí výrazné zvýšení ceny uhlíkových kreditů, které by v roce 2027 při současné úrovni emisí vyžadovalo přibližně 950 000 EUR; vyzývá správu, aby se prioritně zabývala snižováním emisí Parlamentu mj. tím, že bude více investovat </w:t>
      </w:r>
      <w:r w:rsidRPr="00181656">
        <w:rPr>
          <w:color w:val="000000"/>
        </w:rPr>
        <w:lastRenderedPageBreak/>
        <w:t>do systémů čistého topení, ventilace a klimatizace, především do instalace tepelného čerpadla v Bruselu, a do dalších přiměřených a nákladově účinných opatření zaměřených na omezení emisí, pokud jsou rozumná, místo aby nakupovala uhlíkové kredity; považuje rozšíření nabídky vlaků pro pracovní cesty do Štrasburku od června 2025 za pozitivní krok ke snížení emisí CO</w:t>
      </w:r>
      <w:r w:rsidRPr="00181656">
        <w:rPr>
          <w:color w:val="000000"/>
          <w:vertAlign w:val="subscript"/>
        </w:rPr>
        <w:t>2</w:t>
      </w:r>
      <w:r w:rsidRPr="00181656">
        <w:rPr>
          <w:color w:val="000000"/>
        </w:rPr>
        <w:t xml:space="preserve">; </w:t>
      </w:r>
    </w:p>
    <w:p w14:paraId="0AC7AAB1" w14:textId="77777777" w:rsidR="00D71FE4" w:rsidRPr="00181656" w:rsidRDefault="00D71FE4" w:rsidP="00D71FE4">
      <w:pPr>
        <w:pStyle w:val="action0"/>
        <w:ind w:left="0" w:firstLine="0"/>
        <w:rPr>
          <w:b/>
          <w:i/>
          <w:color w:val="000000"/>
        </w:rPr>
      </w:pPr>
      <w:r w:rsidRPr="00181656">
        <w:rPr>
          <w:b/>
          <w:i/>
          <w:color w:val="000000"/>
        </w:rPr>
        <w:t>Další</w:t>
      </w:r>
    </w:p>
    <w:p w14:paraId="28EC0CB6" w14:textId="4FBD1F48" w:rsidR="00D71FE4" w:rsidRPr="00181656" w:rsidRDefault="00D71FE4" w:rsidP="00D71FE4">
      <w:pPr>
        <w:pStyle w:val="action0"/>
        <w:ind w:left="567" w:hanging="567"/>
        <w:rPr>
          <w:bCs/>
          <w:iCs/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7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vyzývá Konferenci předsedů, aby neprodleně přijala rozhodnutí ohledně příslušných článků svých interních pravidel týkajících se účasti akreditovaných asistentů doprovázejících poslance na oficiálních pracovních cestách a v delegacích mimo tři pracovní místa Parlamentu, pokud nebyla sekretariátu Parlamentu oficiálně oznámena účast žádného zaměstnance jejich politické skupiny na dané pracovní cestě;</w:t>
      </w:r>
    </w:p>
    <w:p w14:paraId="02B075BE" w14:textId="2565ED97" w:rsidR="00D71FE4" w:rsidRDefault="00D71FE4" w:rsidP="00D71FE4">
      <w:pPr>
        <w:spacing w:after="240"/>
        <w:ind w:left="567" w:hanging="567"/>
        <w:rPr>
          <w:b/>
          <w:i/>
          <w:color w:val="000000"/>
        </w:rPr>
      </w:pPr>
      <w:r w:rsidRPr="00181656">
        <w:rPr>
          <w:color w:val="000000"/>
        </w:rPr>
        <w:t>2</w:t>
      </w:r>
      <w:r w:rsidR="00D94147">
        <w:rPr>
          <w:color w:val="000000"/>
        </w:rPr>
        <w:t>8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domnívá se, že pokud jde o práva osob se zdravotním postižením, měl by jít Parlament příkladem, a to jako zaměstnavatel i jako veřejná instituce; vítá politiku Parlamentu, jejímž cílem je zajistit, aby mohly osoby se zdravotním postižením využívat budovy Parlamentu zcela nezávisle, a podporuje další opatření a úpravy, které jsou v tomto ohledu nezbytné; konstatuje, že v rozpočtu je na tento účel pro jeho budovy ve Štrasburku vyčleněno 2,07 milionu EUR; zdůrazňuje, že přístupnost by měla být při rekonstrukci budovy SPAAK a při vyvíjení veškerých digitálních platforem klíčovým kritériem;</w:t>
      </w:r>
      <w:r w:rsidRPr="00181656">
        <w:rPr>
          <w:b/>
          <w:i/>
          <w:color w:val="000000"/>
        </w:rPr>
        <w:t xml:space="preserve"> </w:t>
      </w:r>
    </w:p>
    <w:p w14:paraId="6FA8C97B" w14:textId="1A108629" w:rsidR="004B6C87" w:rsidRPr="005729D6" w:rsidRDefault="004B6C87" w:rsidP="00D71FE4">
      <w:pPr>
        <w:spacing w:after="240"/>
        <w:ind w:left="567" w:hanging="567"/>
        <w:rPr>
          <w:bCs/>
          <w:iCs/>
          <w:color w:val="000000"/>
        </w:rPr>
      </w:pPr>
      <w:r w:rsidRPr="005729D6">
        <w:rPr>
          <w:bCs/>
          <w:iCs/>
          <w:color w:val="000000"/>
        </w:rPr>
        <w:t>2</w:t>
      </w:r>
      <w:r>
        <w:rPr>
          <w:bCs/>
          <w:iCs/>
          <w:color w:val="000000"/>
        </w:rPr>
        <w:t>9</w:t>
      </w:r>
      <w:r w:rsidRPr="005729D6">
        <w:rPr>
          <w:bCs/>
          <w:iCs/>
          <w:color w:val="000000"/>
        </w:rPr>
        <w:t xml:space="preserve">. </w:t>
      </w:r>
      <w:r w:rsidRPr="005729D6">
        <w:rPr>
          <w:bCs/>
          <w:iCs/>
          <w:color w:val="000000"/>
        </w:rPr>
        <w:tab/>
        <w:t xml:space="preserve">vítá nedávné iniciativy schválené Konferencí předsedů a předsednictvem, které umožňují poslankyním v perinatálním období hlasovat v zastoupení, což považuje za pozitivní krok k větší </w:t>
      </w:r>
      <w:proofErr w:type="spellStart"/>
      <w:r w:rsidRPr="005729D6">
        <w:rPr>
          <w:bCs/>
          <w:iCs/>
          <w:color w:val="000000"/>
        </w:rPr>
        <w:t>inkluzivnosti</w:t>
      </w:r>
      <w:proofErr w:type="spellEnd"/>
      <w:r w:rsidRPr="005729D6">
        <w:rPr>
          <w:bCs/>
          <w:iCs/>
          <w:color w:val="000000"/>
        </w:rPr>
        <w:t xml:space="preserve"> parlamentní činnosti, a vyzývá všechny strany, aby toto opatření urychleně provedly; trvá však na tom, že toto opatření nesplňuje opakované výzvy Parlamentu k zajištění hlasovacích práv nejen pro poslankyně v perinatálním období, ale také pro poslance, kteří čerpají rodičovskou nebo otcovskou dovolenou nebo kteří jsou v dlouhodobé pracovní neschopnosti  potvrzené lékařským osvědčením;</w:t>
      </w:r>
    </w:p>
    <w:p w14:paraId="46A1A269" w14:textId="3720865B" w:rsidR="00D71FE4" w:rsidRPr="00181656" w:rsidRDefault="004B6C87" w:rsidP="00D71FE4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30</w:t>
      </w:r>
      <w:r w:rsidR="00D71FE4" w:rsidRPr="00181656">
        <w:rPr>
          <w:color w:val="000000"/>
        </w:rPr>
        <w:t>.</w:t>
      </w:r>
      <w:r w:rsidR="00D71FE4" w:rsidRPr="00181656">
        <w:rPr>
          <w:color w:val="000000"/>
        </w:rPr>
        <w:tab/>
      </w:r>
      <w:r w:rsidR="00D94147" w:rsidRPr="00D94147">
        <w:rPr>
          <w:color w:val="000000"/>
        </w:rPr>
        <w:t xml:space="preserve">. vyjadřuje znepokojení nad tím, že častá výměna poskytovatele služeb od roku 2020 měla vliv na kvalitu a zajištění nepřetržitých služeb poskytovaných parlamentními jeslemi </w:t>
      </w:r>
      <w:proofErr w:type="spellStart"/>
      <w:r w:rsidR="00D94147" w:rsidRPr="00D94147">
        <w:rPr>
          <w:color w:val="000000"/>
        </w:rPr>
        <w:t>Wayenberg</w:t>
      </w:r>
      <w:proofErr w:type="spellEnd"/>
      <w:r w:rsidR="00D94147" w:rsidRPr="00D94147">
        <w:rPr>
          <w:color w:val="000000"/>
        </w:rPr>
        <w:t xml:space="preserve">, ale vedla také k problémům způsobených nedostatkem personálu, vysokou absencí pracovníků jeslí a jejich vysokou fluktuaci; bere na vědomí, že současná smlouva na zajištění parlamentních služeb v oblasti péče o děti byla uzavřena krátce po zveřejnění zadávacího řízení s novou společností, která je údajně napojena na předchozího provozovatele – společnost </w:t>
      </w:r>
      <w:proofErr w:type="spellStart"/>
      <w:r w:rsidR="00D94147" w:rsidRPr="00D94147">
        <w:rPr>
          <w:color w:val="000000"/>
        </w:rPr>
        <w:t>Esedra</w:t>
      </w:r>
      <w:proofErr w:type="spellEnd"/>
      <w:r w:rsidR="00D94147" w:rsidRPr="00D94147">
        <w:rPr>
          <w:color w:val="000000"/>
        </w:rPr>
        <w:t xml:space="preserve">; připomíná, že poté, co byla vůči předchozímu provozovateli jeslí </w:t>
      </w:r>
      <w:proofErr w:type="spellStart"/>
      <w:r w:rsidR="00D94147" w:rsidRPr="00D94147">
        <w:rPr>
          <w:color w:val="000000"/>
        </w:rPr>
        <w:t>Wayenberg</w:t>
      </w:r>
      <w:proofErr w:type="spellEnd"/>
      <w:r w:rsidR="00D94147" w:rsidRPr="00D94147">
        <w:rPr>
          <w:color w:val="000000"/>
        </w:rPr>
        <w:t xml:space="preserve"> – společnosti </w:t>
      </w:r>
      <w:proofErr w:type="spellStart"/>
      <w:r w:rsidR="00D94147" w:rsidRPr="00D94147">
        <w:rPr>
          <w:color w:val="000000"/>
        </w:rPr>
        <w:t>Esedra</w:t>
      </w:r>
      <w:proofErr w:type="spellEnd"/>
      <w:r w:rsidR="00D94147" w:rsidRPr="00D94147">
        <w:rPr>
          <w:color w:val="000000"/>
        </w:rPr>
        <w:t xml:space="preserve"> – vznesena řada závažných obvinění, Parlament smlouvu s touto společností ukončil; opakuje, že přiměřené finanční ohodnocení externích zaměstnanců a jejich důstojné pracovní podmínky, mj. pokud jde o jejich další vzdělávání, rozvoj dovedností, opatření proti násilí a obtěžování, smysluplný sociální dialog a investice do zajištění jejich fyzické a psychické pohody, by měly být při zadávání veřejných zakázek Parlamentu v příslušných případech obecně prioritou; požaduje provedení nezávislého externího auditu zadávacího řízení a uplatňování stávající smlouvy, včetně nezávislého externího posouzení pracovních podmínek a fyzické a psychické pohody zaměstnanců;</w:t>
      </w:r>
    </w:p>
    <w:p w14:paraId="41E06C51" w14:textId="75CF12D8" w:rsidR="00D71FE4" w:rsidRPr="00181656" w:rsidRDefault="00A163D5" w:rsidP="00D71FE4">
      <w:pPr>
        <w:spacing w:after="240"/>
        <w:ind w:left="567" w:hanging="567"/>
        <w:rPr>
          <w:bCs/>
          <w:iCs/>
          <w:color w:val="000000"/>
        </w:rPr>
      </w:pPr>
      <w:r>
        <w:rPr>
          <w:color w:val="000000"/>
        </w:rPr>
        <w:t>3</w:t>
      </w:r>
      <w:r w:rsidR="004B6C87">
        <w:rPr>
          <w:color w:val="000000"/>
        </w:rPr>
        <w:t>1</w:t>
      </w:r>
      <w:r w:rsidR="00D71FE4" w:rsidRPr="00181656">
        <w:rPr>
          <w:color w:val="000000"/>
        </w:rPr>
        <w:t>.</w:t>
      </w:r>
      <w:r w:rsidR="00D71FE4" w:rsidRPr="00181656">
        <w:rPr>
          <w:color w:val="000000"/>
        </w:rPr>
        <w:tab/>
        <w:t xml:space="preserve">vítá, že ve Štrasburku existuje rodinná místnost, která poskytuje poslancům a zaměstnancům s malými dětmi smysluplnou pomoc; konstatuje však, že má k dispozici pouze omezenou kapacitu, a sice místo pro 30 dětí; konstatuje dále, že </w:t>
      </w:r>
      <w:r w:rsidR="00D71FE4" w:rsidRPr="00181656">
        <w:rPr>
          <w:color w:val="000000"/>
        </w:rPr>
        <w:lastRenderedPageBreak/>
        <w:t>v posledních letech došlo ke snížení průměrného věku poslanců Evropského parlamentu a jeho zaměstnanců, což vedlo ke zvýšení počtu mladých rodin a k větší poptávce po zařízeních péče o dítě; vyzývá předsednictvo a generálního tajemníka, aby nalezli a realizovali řešení, které by ve Štrasburku vedlo k dalšímu zlepšení péče o děti;</w:t>
      </w:r>
    </w:p>
    <w:p w14:paraId="59A8258F" w14:textId="2412D4BE" w:rsidR="00D71FE4" w:rsidRPr="00181656" w:rsidRDefault="00D71FE4" w:rsidP="00D71FE4">
      <w:pPr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3</w:t>
      </w:r>
      <w:r w:rsidR="004B6C87">
        <w:rPr>
          <w:color w:val="000000"/>
        </w:rPr>
        <w:t>2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 xml:space="preserve">opakuje svou výzvu generálnímu tajemníkovi, aby trval na tom, že je důležité, aby byl veškerý nábor zaměstnanců založen na jejich kompetenci a aby při něm byla zajištěna zeměpisná vyváženost mezi všemi členskými státy, pokud jde o všechny kategorie zaměstnanců; zdůrazňuje, že dosažení spravedlivého zeměpisného zastoupení na všech úrovních správy, a to i pokud jde o věk a gender, má zásadní význam pro podporu skutečně evropské veřejné služby; konstatuje, že Parlament přijímá opatření na podporu tohoto cíle, včetně pořádání výběrových řízení pro jednotlivé země; poukazuje na to, že je třeba urychlit výběrová řízení a zároveň důsledně dodržovat postup výběru na základě zásluh; </w:t>
      </w:r>
    </w:p>
    <w:p w14:paraId="22B5B964" w14:textId="017842A3" w:rsidR="00D71FE4" w:rsidRPr="00181656" w:rsidRDefault="00D71FE4" w:rsidP="00D71FE4">
      <w:pPr>
        <w:spacing w:after="240"/>
        <w:ind w:left="567" w:hanging="567"/>
        <w:rPr>
          <w:color w:val="000000"/>
        </w:rPr>
      </w:pPr>
      <w:r w:rsidRPr="00181656">
        <w:rPr>
          <w:color w:val="000000"/>
        </w:rPr>
        <w:t>3</w:t>
      </w:r>
      <w:r w:rsidR="004B6C87">
        <w:rPr>
          <w:color w:val="000000"/>
        </w:rPr>
        <w:t>3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 xml:space="preserve">zdůrazňuje, že klíčovou zásadou, na níž je založena činnost Parlamentu, je mnohojazyčnost; žádá, aby Parlament podle možnosti využíval významného technického rozvoje služeb v oblasti mnohojazyčnosti, včetně rozvoje a využívání umělé inteligence; </w:t>
      </w:r>
    </w:p>
    <w:p w14:paraId="3095EE05" w14:textId="7DA110DF" w:rsidR="00D71FE4" w:rsidRPr="00181656" w:rsidRDefault="00D71FE4" w:rsidP="00D71FE4">
      <w:pPr>
        <w:spacing w:after="240"/>
        <w:ind w:left="567" w:hanging="567"/>
        <w:rPr>
          <w:bCs/>
          <w:iCs/>
          <w:color w:val="000000"/>
        </w:rPr>
      </w:pPr>
      <w:r w:rsidRPr="00181656">
        <w:rPr>
          <w:color w:val="000000"/>
        </w:rPr>
        <w:t>3</w:t>
      </w:r>
      <w:r w:rsidR="004B6C87">
        <w:rPr>
          <w:color w:val="000000"/>
        </w:rPr>
        <w:t>4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bere na vědomí rozsudek Tribunálu Soudního dvora Evropské unie ze dne 17. prosince 2025, který potvrdil zákonnost opatření přijatých předsednictvem v roce 2023 v souvislosti s dobrovolným penzijním fondem pro poslance</w:t>
      </w:r>
      <w:r w:rsidRPr="00181656">
        <w:rPr>
          <w:rStyle w:val="FootnoteReference"/>
          <w:bCs/>
          <w:iCs/>
          <w:color w:val="000000"/>
        </w:rPr>
        <w:footnoteReference w:id="13"/>
      </w:r>
      <w:r w:rsidRPr="00181656">
        <w:rPr>
          <w:color w:val="000000"/>
        </w:rPr>
        <w:t>; zdůrazňuje, že ačkoli tato opatření snížila příslib z požitků o 63 %, fond se stále nachází ve velmi nestabilní finanční situaci; očekává, že obdrží aktuální informace o dalším vývoji dobrovolného systému důchodového pojištění;</w:t>
      </w:r>
    </w:p>
    <w:p w14:paraId="02D9149B" w14:textId="27113AEB" w:rsidR="00D71FE4" w:rsidRPr="00181656" w:rsidRDefault="00D71FE4" w:rsidP="00D71FE4">
      <w:pPr>
        <w:spacing w:after="240"/>
        <w:ind w:left="567" w:hanging="567"/>
        <w:rPr>
          <w:bCs/>
          <w:iCs/>
          <w:color w:val="000000"/>
        </w:rPr>
      </w:pPr>
      <w:r w:rsidRPr="00181656">
        <w:rPr>
          <w:color w:val="000000"/>
        </w:rPr>
        <w:t>3</w:t>
      </w:r>
      <w:r w:rsidR="004B6C87">
        <w:rPr>
          <w:color w:val="000000"/>
        </w:rPr>
        <w:t>5</w:t>
      </w:r>
      <w:r w:rsidRPr="00181656">
        <w:rPr>
          <w:color w:val="000000"/>
        </w:rPr>
        <w:t>.</w:t>
      </w:r>
      <w:r w:rsidRPr="00181656">
        <w:rPr>
          <w:color w:val="000000"/>
        </w:rPr>
        <w:tab/>
        <w:t>poukazuje na to, že požadavky odhlasované na plenárním zasedání by měly být plněny jako vysoce prioritní;</w:t>
      </w:r>
    </w:p>
    <w:p w14:paraId="5CF8292B" w14:textId="5B0E0AC8" w:rsidR="00D71FE4" w:rsidRPr="00181656" w:rsidRDefault="00D71FE4" w:rsidP="00D71FE4">
      <w:pPr>
        <w:spacing w:after="240"/>
        <w:ind w:left="567" w:hanging="567"/>
      </w:pPr>
      <w:r w:rsidRPr="00181656">
        <w:t>3</w:t>
      </w:r>
      <w:r w:rsidR="004B6C87">
        <w:t>6</w:t>
      </w:r>
      <w:r w:rsidRPr="00181656">
        <w:t>.</w:t>
      </w:r>
      <w:r w:rsidRPr="00181656">
        <w:tab/>
        <w:t>přijímá odhad příjmů a výdajů na rozpočtový rok 2027;</w:t>
      </w:r>
    </w:p>
    <w:p w14:paraId="37502C91" w14:textId="44C08A73" w:rsidR="00D71FE4" w:rsidRDefault="00D71FE4" w:rsidP="00D71FE4">
      <w:pPr>
        <w:spacing w:after="240"/>
        <w:ind w:left="567" w:hanging="567"/>
        <w:jc w:val="both"/>
      </w:pPr>
      <w:r w:rsidRPr="00181656">
        <w:t>3</w:t>
      </w:r>
      <w:r w:rsidR="004B6C87">
        <w:t>7</w:t>
      </w:r>
      <w:r w:rsidRPr="00181656">
        <w:t>.</w:t>
      </w:r>
      <w:r w:rsidRPr="00181656">
        <w:tab/>
        <w:t>pověřuje svou předsedkyni, aby předala toto usnesení a odhad příjmů a výdajů Radě a Komisi.</w:t>
      </w:r>
    </w:p>
    <w:p w14:paraId="4B63C015" w14:textId="77777777" w:rsidR="008C5726" w:rsidRPr="00181656" w:rsidRDefault="008C5726" w:rsidP="00D71FE4">
      <w:pPr>
        <w:spacing w:after="240"/>
        <w:ind w:left="567" w:hanging="567"/>
        <w:jc w:val="both"/>
      </w:pPr>
    </w:p>
    <w:sectPr w:rsidR="008C5726" w:rsidRPr="00181656" w:rsidSect="008C57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8F7E5" w14:textId="77777777" w:rsidR="00401F8A" w:rsidRPr="00181656" w:rsidRDefault="00401F8A">
      <w:r w:rsidRPr="00181656">
        <w:separator/>
      </w:r>
    </w:p>
  </w:endnote>
  <w:endnote w:type="continuationSeparator" w:id="0">
    <w:p w14:paraId="5BD6579B" w14:textId="77777777" w:rsidR="00401F8A" w:rsidRPr="00181656" w:rsidRDefault="00401F8A">
      <w:r w:rsidRPr="001816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8900" w14:textId="77777777" w:rsidR="00064002" w:rsidRPr="001816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9F5E" w14:textId="77777777" w:rsidR="00064002" w:rsidRPr="001816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B87A" w14:textId="77777777" w:rsidR="00064002" w:rsidRPr="001816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DBB8" w14:textId="77777777" w:rsidR="00401F8A" w:rsidRPr="00181656" w:rsidRDefault="00401F8A">
      <w:r w:rsidRPr="00181656">
        <w:separator/>
      </w:r>
    </w:p>
  </w:footnote>
  <w:footnote w:type="continuationSeparator" w:id="0">
    <w:p w14:paraId="4D4BD28F" w14:textId="77777777" w:rsidR="00401F8A" w:rsidRPr="00181656" w:rsidRDefault="00401F8A">
      <w:r w:rsidRPr="00181656">
        <w:continuationSeparator/>
      </w:r>
    </w:p>
  </w:footnote>
  <w:footnote w:id="1">
    <w:p w14:paraId="74A4B3D2" w14:textId="0C229DD6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 xml:space="preserve">. L, 2024/2509, 26.9.2024, ELI: </w:t>
      </w:r>
      <w:r w:rsidRPr="00181656">
        <w:rPr>
          <w:color w:val="337AB7"/>
          <w:u w:val="single"/>
        </w:rPr>
        <w:t>http://data.europa.eu/eli/reg/2024/2509/oj.</w:t>
      </w:r>
    </w:p>
  </w:footnote>
  <w:footnote w:id="2">
    <w:p w14:paraId="6D93888E" w14:textId="59EBF226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 xml:space="preserve">. L 433 I, 22.12.2020, s. 11, ELI: </w:t>
      </w:r>
      <w:hyperlink r:id="rId1" w:history="1">
        <w:r w:rsidRPr="00181656">
          <w:rPr>
            <w:rStyle w:val="Hyperlink"/>
          </w:rPr>
          <w:t>http://data.europa.eu/eli/reg/2020/2093/oj</w:t>
        </w:r>
      </w:hyperlink>
      <w:r w:rsidRPr="00181656">
        <w:rPr>
          <w:color w:val="000000"/>
        </w:rPr>
        <w:t>.</w:t>
      </w:r>
    </w:p>
  </w:footnote>
  <w:footnote w:id="3">
    <w:p w14:paraId="4FEAA6CC" w14:textId="0E54AB40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>. C 444 I, 22.12.2020, s. 4.</w:t>
      </w:r>
    </w:p>
  </w:footnote>
  <w:footnote w:id="4">
    <w:p w14:paraId="780DB9A5" w14:textId="1A894424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>. C 445, 29.10.2021, s. 252.</w:t>
      </w:r>
    </w:p>
  </w:footnote>
  <w:footnote w:id="5">
    <w:p w14:paraId="4197F177" w14:textId="08F478A0" w:rsidR="00D71FE4" w:rsidRPr="00181656" w:rsidRDefault="00D71FE4" w:rsidP="00181656">
      <w:pPr>
        <w:ind w:left="567" w:hanging="567"/>
      </w:pPr>
      <w:r w:rsidRPr="00181656">
        <w:rPr>
          <w:rStyle w:val="FootnoteReference"/>
          <w:rFonts w:eastAsiaTheme="majorEastAsia"/>
        </w:rPr>
        <w:footnoteRef/>
      </w:r>
      <w:r w:rsidR="00181656" w:rsidRPr="00181656">
        <w:t xml:space="preserve"> </w:t>
      </w:r>
      <w:r w:rsidR="00181656" w:rsidRPr="00181656">
        <w:tab/>
      </w:r>
      <w:proofErr w:type="spellStart"/>
      <w:r w:rsidRPr="00181656">
        <w:t>Úř</w:t>
      </w:r>
      <w:proofErr w:type="spellEnd"/>
      <w:r w:rsidRPr="00181656">
        <w:t>. </w:t>
      </w:r>
      <w:proofErr w:type="spellStart"/>
      <w:r w:rsidRPr="00181656">
        <w:t>věst</w:t>
      </w:r>
      <w:proofErr w:type="spellEnd"/>
      <w:r w:rsidRPr="00181656">
        <w:t xml:space="preserve">. L 325, 20.12.2022, s. 11, ELI: </w:t>
      </w:r>
      <w:hyperlink r:id="rId2" w:history="1">
        <w:r w:rsidRPr="00181656">
          <w:rPr>
            <w:rStyle w:val="Hyperlink"/>
          </w:rPr>
          <w:t>http://data.europa.eu/eli/reg/2022/2496/oj</w:t>
        </w:r>
      </w:hyperlink>
      <w:r w:rsidRPr="00181656">
        <w:t>.</w:t>
      </w:r>
    </w:p>
  </w:footnote>
  <w:footnote w:id="6">
    <w:p w14:paraId="7D174C40" w14:textId="746D0519" w:rsidR="00D71FE4" w:rsidRPr="00181656" w:rsidRDefault="00D71FE4" w:rsidP="00181656">
      <w:pPr>
        <w:ind w:left="567" w:hanging="567"/>
      </w:pPr>
      <w:r w:rsidRPr="00181656">
        <w:rPr>
          <w:rStyle w:val="FootnoteReference"/>
        </w:rPr>
        <w:footnoteRef/>
      </w:r>
      <w:r w:rsidR="00181656" w:rsidRPr="00181656">
        <w:t xml:space="preserve"> </w:t>
      </w:r>
      <w:r w:rsidR="00181656" w:rsidRPr="00181656">
        <w:tab/>
      </w:r>
      <w:proofErr w:type="spellStart"/>
      <w:r w:rsidRPr="00181656">
        <w:t>Úř</w:t>
      </w:r>
      <w:proofErr w:type="spellEnd"/>
      <w:r w:rsidRPr="00181656">
        <w:t>. </w:t>
      </w:r>
      <w:proofErr w:type="spellStart"/>
      <w:r w:rsidRPr="00181656">
        <w:t>věst</w:t>
      </w:r>
      <w:proofErr w:type="spellEnd"/>
      <w:r w:rsidRPr="00181656">
        <w:t xml:space="preserve">. L, 2024/765, 29.2.2024, ELI: </w:t>
      </w:r>
      <w:hyperlink r:id="rId3" w:history="1">
        <w:r w:rsidRPr="00181656">
          <w:rPr>
            <w:rStyle w:val="Hyperlink"/>
          </w:rPr>
          <w:t>http://data.europa.eu/eli/reg/2024/765/oj</w:t>
        </w:r>
      </w:hyperlink>
      <w:r w:rsidRPr="00181656">
        <w:t>.</w:t>
      </w:r>
    </w:p>
  </w:footnote>
  <w:footnote w:id="7">
    <w:p w14:paraId="01D53448" w14:textId="0DEDD0FA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 xml:space="preserve">. L 433 I, 22.12.2020, s. 28, ELI: </w:t>
      </w:r>
      <w:hyperlink r:id="rId4" w:history="1">
        <w:r w:rsidRPr="00181656">
          <w:rPr>
            <w:rStyle w:val="Hyperlink"/>
          </w:rPr>
          <w:t>http://data.europa.eu/eli/agree_interinstit/2020/1222/oj</w:t>
        </w:r>
      </w:hyperlink>
      <w:r w:rsidRPr="00181656">
        <w:rPr>
          <w:color w:val="000000"/>
        </w:rPr>
        <w:t>.</w:t>
      </w:r>
    </w:p>
  </w:footnote>
  <w:footnote w:id="8">
    <w:p w14:paraId="6B43598A" w14:textId="2162A0F2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>. C 445, 29.10.2021, s. 240.</w:t>
      </w:r>
    </w:p>
  </w:footnote>
  <w:footnote w:id="9">
    <w:p w14:paraId="11CEE37F" w14:textId="2B4C78E4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>. C 177, 17.5.2023, s. 115.</w:t>
      </w:r>
    </w:p>
  </w:footnote>
  <w:footnote w:id="10">
    <w:p w14:paraId="48FA39F5" w14:textId="249EA824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 xml:space="preserve">. </w:t>
      </w:r>
      <w:r w:rsidRPr="00181656">
        <w:rPr>
          <w:color w:val="000000"/>
        </w:rPr>
        <w:t xml:space="preserve">C, C/2024/1195, 23.2.2024, ELI: </w:t>
      </w:r>
      <w:hyperlink r:id="rId5" w:history="1">
        <w:r w:rsidRPr="00181656">
          <w:rPr>
            <w:rStyle w:val="Hyperlink"/>
          </w:rPr>
          <w:t>http://data.europa.eu/eli/C/2024/1195/oj</w:t>
        </w:r>
      </w:hyperlink>
      <w:r w:rsidRPr="00181656">
        <w:rPr>
          <w:color w:val="000000"/>
        </w:rPr>
        <w:t>.</w:t>
      </w:r>
    </w:p>
  </w:footnote>
  <w:footnote w:id="11">
    <w:p w14:paraId="428E3609" w14:textId="429145DB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 xml:space="preserve">. C, C/2024/6751, 26.11.2024, ELI: </w:t>
      </w:r>
      <w:hyperlink r:id="rId6" w:history="1">
        <w:r w:rsidRPr="00181656">
          <w:rPr>
            <w:rStyle w:val="Hyperlink"/>
          </w:rPr>
          <w:t>http://data.europa.eu/eli/C/2024/6751/oj</w:t>
        </w:r>
      </w:hyperlink>
      <w:r w:rsidRPr="00181656">
        <w:rPr>
          <w:color w:val="000000"/>
        </w:rPr>
        <w:t>.</w:t>
      </w:r>
    </w:p>
  </w:footnote>
  <w:footnote w:id="12">
    <w:p w14:paraId="64BBBC6D" w14:textId="3E60A5E5" w:rsidR="00D71FE4" w:rsidRPr="00181656" w:rsidRDefault="00D71FE4" w:rsidP="00181656">
      <w:pPr>
        <w:ind w:left="567" w:hanging="567"/>
        <w:rPr>
          <w:color w:val="000000"/>
        </w:rPr>
      </w:pPr>
      <w:r w:rsidRPr="00181656">
        <w:rPr>
          <w:rStyle w:val="FootnoteReference"/>
        </w:rPr>
        <w:footnoteRef/>
      </w:r>
      <w:r w:rsidR="00181656" w:rsidRPr="00181656">
        <w:rPr>
          <w:color w:val="000000"/>
        </w:rPr>
        <w:t xml:space="preserve"> </w:t>
      </w:r>
      <w:r w:rsidR="00181656" w:rsidRPr="00181656">
        <w:rPr>
          <w:color w:val="000000"/>
        </w:rPr>
        <w:tab/>
      </w:r>
      <w:proofErr w:type="spellStart"/>
      <w:r w:rsidRPr="00181656">
        <w:rPr>
          <w:color w:val="000000"/>
        </w:rPr>
        <w:t>Úř</w:t>
      </w:r>
      <w:proofErr w:type="spellEnd"/>
      <w:r w:rsidRPr="00181656">
        <w:rPr>
          <w:color w:val="000000"/>
        </w:rPr>
        <w:t>. </w:t>
      </w:r>
      <w:proofErr w:type="spellStart"/>
      <w:r w:rsidRPr="00181656">
        <w:rPr>
          <w:color w:val="000000"/>
        </w:rPr>
        <w:t>věst</w:t>
      </w:r>
      <w:proofErr w:type="spellEnd"/>
      <w:r w:rsidRPr="00181656">
        <w:rPr>
          <w:color w:val="000000"/>
        </w:rPr>
        <w:t xml:space="preserve">. L, 2026/72, 26.2.2026, ELI: </w:t>
      </w:r>
      <w:hyperlink r:id="rId7" w:history="1">
        <w:r w:rsidRPr="00181656">
          <w:rPr>
            <w:rStyle w:val="Hyperlink"/>
          </w:rPr>
          <w:t>http://data.europa.eu/eli/budget/2026/72/oj</w:t>
        </w:r>
      </w:hyperlink>
      <w:r w:rsidRPr="00181656">
        <w:rPr>
          <w:color w:val="000000"/>
        </w:rPr>
        <w:t xml:space="preserve">. </w:t>
      </w:r>
    </w:p>
  </w:footnote>
  <w:footnote w:id="13">
    <w:p w14:paraId="1138948A" w14:textId="40E9D933" w:rsidR="00D71FE4" w:rsidRPr="00181656" w:rsidRDefault="00D71FE4" w:rsidP="00181656">
      <w:pPr>
        <w:pStyle w:val="FootnoteText"/>
        <w:ind w:left="567" w:hanging="567"/>
        <w:rPr>
          <w:sz w:val="24"/>
          <w:lang w:val="cs-CZ"/>
        </w:rPr>
      </w:pPr>
      <w:r w:rsidRPr="00181656">
        <w:rPr>
          <w:rStyle w:val="FootnoteReference"/>
          <w:sz w:val="24"/>
          <w:lang w:val="cs-CZ"/>
        </w:rPr>
        <w:footnoteRef/>
      </w:r>
      <w:r w:rsidR="00181656" w:rsidRPr="00181656">
        <w:rPr>
          <w:sz w:val="24"/>
          <w:lang w:val="cs-CZ"/>
        </w:rPr>
        <w:t xml:space="preserve"> </w:t>
      </w:r>
      <w:r w:rsidR="00181656" w:rsidRPr="00181656">
        <w:rPr>
          <w:sz w:val="24"/>
          <w:lang w:val="cs-CZ"/>
        </w:rPr>
        <w:tab/>
      </w:r>
      <w:r w:rsidRPr="00181656">
        <w:rPr>
          <w:sz w:val="24"/>
          <w:lang w:val="cs-CZ"/>
        </w:rPr>
        <w:t xml:space="preserve">Rozsudek </w:t>
      </w:r>
      <w:r w:rsidR="00F97625" w:rsidRPr="00F97625">
        <w:rPr>
          <w:sz w:val="24"/>
          <w:lang w:val="cs-CZ"/>
        </w:rPr>
        <w:t>Tribunálu</w:t>
      </w:r>
      <w:r w:rsidR="00F97625">
        <w:rPr>
          <w:sz w:val="24"/>
          <w:lang w:val="cs-CZ"/>
        </w:rPr>
        <w:t xml:space="preserve"> </w:t>
      </w:r>
      <w:r w:rsidRPr="00181656">
        <w:rPr>
          <w:sz w:val="24"/>
          <w:lang w:val="cs-CZ"/>
        </w:rPr>
        <w:t>ze dne 17. prosince 2025, FE vs. Evropský parlament, T-521/24, ECLI:</w:t>
      </w:r>
      <w:proofErr w:type="gramStart"/>
      <w:r w:rsidRPr="00181656">
        <w:rPr>
          <w:sz w:val="24"/>
          <w:lang w:val="cs-CZ"/>
        </w:rPr>
        <w:t>EU:T</w:t>
      </w:r>
      <w:proofErr w:type="gramEnd"/>
      <w:r w:rsidRPr="00181656">
        <w:rPr>
          <w:sz w:val="24"/>
          <w:lang w:val="cs-CZ"/>
        </w:rPr>
        <w:t>:2025:1121.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D639" w14:textId="77777777" w:rsidR="00064002" w:rsidRPr="001816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7F7C0" w14:textId="77777777" w:rsidR="00064002" w:rsidRPr="001816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032E" w14:textId="77777777" w:rsidR="00064002" w:rsidRPr="001816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3E8"/>
    <w:multiLevelType w:val="multilevel"/>
    <w:tmpl w:val="3B9ACA00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700"/>
        </w:tabs>
        <w:ind w:left="1700" w:hanging="1700"/>
      </w:pPr>
    </w:lvl>
    <w:lvl w:ilvl="5">
      <w:start w:val="1"/>
      <w:numFmt w:val="decimal"/>
      <w:lvlText w:val="%1.%2.%3.%4.%5.%6."/>
      <w:lvlJc w:val="left"/>
      <w:pPr>
        <w:tabs>
          <w:tab w:val="num" w:pos="1700"/>
        </w:tabs>
        <w:ind w:left="1700" w:hanging="1700"/>
      </w:pPr>
    </w:lvl>
    <w:lvl w:ilvl="6">
      <w:start w:val="1"/>
      <w:numFmt w:val="decimal"/>
      <w:lvlText w:val="%1.%2.%3.%4.%5.%6.%7."/>
      <w:lvlJc w:val="left"/>
      <w:pPr>
        <w:tabs>
          <w:tab w:val="num" w:pos="1700"/>
        </w:tabs>
        <w:ind w:left="1700" w:hanging="1700"/>
      </w:pPr>
    </w:lvl>
    <w:lvl w:ilvl="7">
      <w:start w:val="1"/>
      <w:numFmt w:val="decimal"/>
      <w:lvlText w:val="%1.%2.%3.%4.%5.%6.%7.%8."/>
      <w:lvlJc w:val="left"/>
      <w:pPr>
        <w:tabs>
          <w:tab w:val="num" w:pos="1700"/>
        </w:tabs>
        <w:ind w:left="1700" w:hanging="1700"/>
      </w:pPr>
    </w:lvl>
    <w:lvl w:ilvl="8">
      <w:start w:val="1"/>
      <w:numFmt w:val="decimal"/>
      <w:lvlText w:val="%1.%2.%3.%4.%5.%6.%7.%8.%9."/>
      <w:lvlJc w:val="left"/>
      <w:pPr>
        <w:tabs>
          <w:tab w:val="num" w:pos="1700"/>
        </w:tabs>
        <w:ind w:left="1700" w:hanging="1700"/>
      </w:pPr>
    </w:lvl>
  </w:abstractNum>
  <w:abstractNum w:abstractNumId="1" w15:restartNumberingAfterBreak="0">
    <w:nsid w:val="000003F2"/>
    <w:multiLevelType w:val="singleLevel"/>
    <w:tmpl w:val="4190AB00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" w15:restartNumberingAfterBreak="0">
    <w:nsid w:val="000003F3"/>
    <w:multiLevelType w:val="singleLevel"/>
    <w:tmpl w:val="4190AB01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3F4"/>
    <w:multiLevelType w:val="singleLevel"/>
    <w:tmpl w:val="4190AB02"/>
    <w:name w:val="Tiret 2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" w15:restartNumberingAfterBreak="0">
    <w:nsid w:val="000003F5"/>
    <w:multiLevelType w:val="singleLevel"/>
    <w:tmpl w:val="4190AB03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000003F6"/>
    <w:multiLevelType w:val="singleLevel"/>
    <w:tmpl w:val="4190AB04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5091794">
    <w:abstractNumId w:val="6"/>
  </w:num>
  <w:num w:numId="2" w16cid:durableId="145301214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4/2026"/>
    <w:docVar w:name="dvlangue" w:val="CS"/>
    <w:docVar w:name="dvnumam" w:val="0"/>
    <w:docVar w:name="dvpe" w:val="785.303"/>
    <w:docVar w:name="dvrapporteur" w:val="Zpravodaj: "/>
    <w:docVar w:name="dvtitre" w:val="Usnesení Evropského parlamentu ze dne.... 2026 o odhadu příjmů a výdajů Evropského parlamentu na rozpočtový rok 2027(2025/2247(BUI))"/>
  </w:docVars>
  <w:rsids>
    <w:rsidRoot w:val="00401F8A"/>
    <w:rsid w:val="00002272"/>
    <w:rsid w:val="00064002"/>
    <w:rsid w:val="000677B9"/>
    <w:rsid w:val="000831BA"/>
    <w:rsid w:val="000A42CC"/>
    <w:rsid w:val="000E7DD9"/>
    <w:rsid w:val="0010095E"/>
    <w:rsid w:val="00125B37"/>
    <w:rsid w:val="0018165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1F8A"/>
    <w:rsid w:val="00411CCE"/>
    <w:rsid w:val="0041666E"/>
    <w:rsid w:val="00421060"/>
    <w:rsid w:val="00471C19"/>
    <w:rsid w:val="004867E3"/>
    <w:rsid w:val="00494A28"/>
    <w:rsid w:val="004B6C87"/>
    <w:rsid w:val="004C0004"/>
    <w:rsid w:val="004C5D52"/>
    <w:rsid w:val="0050519A"/>
    <w:rsid w:val="005072A1"/>
    <w:rsid w:val="00514517"/>
    <w:rsid w:val="005418B6"/>
    <w:rsid w:val="00545827"/>
    <w:rsid w:val="00560270"/>
    <w:rsid w:val="005729D6"/>
    <w:rsid w:val="005C2568"/>
    <w:rsid w:val="005D4FD0"/>
    <w:rsid w:val="005F1B17"/>
    <w:rsid w:val="006037C0"/>
    <w:rsid w:val="006631B6"/>
    <w:rsid w:val="00680577"/>
    <w:rsid w:val="006B4858"/>
    <w:rsid w:val="006F74FA"/>
    <w:rsid w:val="00731ADD"/>
    <w:rsid w:val="00734777"/>
    <w:rsid w:val="00747932"/>
    <w:rsid w:val="00751A4A"/>
    <w:rsid w:val="00756632"/>
    <w:rsid w:val="00762C74"/>
    <w:rsid w:val="0077580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726"/>
    <w:rsid w:val="00930C23"/>
    <w:rsid w:val="0093193B"/>
    <w:rsid w:val="00934486"/>
    <w:rsid w:val="009509D8"/>
    <w:rsid w:val="00950B64"/>
    <w:rsid w:val="00981893"/>
    <w:rsid w:val="00A163D5"/>
    <w:rsid w:val="00A1687D"/>
    <w:rsid w:val="00A3194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02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FE4"/>
    <w:rsid w:val="00D834A0"/>
    <w:rsid w:val="00D872DF"/>
    <w:rsid w:val="00D91E21"/>
    <w:rsid w:val="00D9414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6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59E29"/>
  <w15:chartTrackingRefBased/>
  <w15:docId w15:val="{6CB392CB-D8AC-4D79-9C7E-3D639B9E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71FE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9"/>
    <w:rsid w:val="00D71FE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9"/>
    <w:rsid w:val="00D71FE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9"/>
    <w:rsid w:val="00D71FE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9"/>
    <w:rsid w:val="00D71FE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9"/>
    <w:rsid w:val="00D71FE4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9"/>
    <w:rsid w:val="00D71FE4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9"/>
    <w:rsid w:val="00D71FE4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9"/>
    <w:rsid w:val="00D71FE4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D71FE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71F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71FE4"/>
    <w:pPr>
      <w:spacing w:after="240"/>
    </w:pPr>
  </w:style>
  <w:style w:type="paragraph" w:customStyle="1" w:styleId="TOCPage">
    <w:name w:val="TOC Page"/>
    <w:basedOn w:val="Normal"/>
    <w:next w:val="TOC1"/>
    <w:rsid w:val="00D71FE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71FE4"/>
    <w:pPr>
      <w:keepNext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1FE4"/>
    <w:rPr>
      <w:b/>
    </w:rPr>
  </w:style>
  <w:style w:type="paragraph" w:customStyle="1" w:styleId="NormalHanging12a">
    <w:name w:val="NormalHanging12a"/>
    <w:basedOn w:val="Normal"/>
    <w:rsid w:val="00D71FE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71FE4"/>
    <w:pPr>
      <w:spacing w:after="480"/>
      <w:ind w:left="1417"/>
    </w:pPr>
  </w:style>
  <w:style w:type="paragraph" w:customStyle="1" w:styleId="CoverNormal">
    <w:name w:val="CoverNormal"/>
    <w:basedOn w:val="Normal"/>
    <w:rsid w:val="00D71FE4"/>
    <w:pPr>
      <w:ind w:left="1418"/>
    </w:pPr>
  </w:style>
  <w:style w:type="paragraph" w:customStyle="1" w:styleId="CoverReference">
    <w:name w:val="CoverReference"/>
    <w:basedOn w:val="Normal"/>
    <w:rsid w:val="00D71FE4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71FE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71FE4"/>
    <w:pPr>
      <w:spacing w:before="240" w:after="1200"/>
    </w:pPr>
  </w:style>
  <w:style w:type="paragraph" w:customStyle="1" w:styleId="EPBody">
    <w:name w:val="EPBody"/>
    <w:basedOn w:val="Normal"/>
    <w:rsid w:val="00D71FE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71F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D71F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FE4"/>
    <w:rPr>
      <w:sz w:val="24"/>
      <w:lang w:val="cs-CZ"/>
    </w:rPr>
  </w:style>
  <w:style w:type="paragraph" w:customStyle="1" w:styleId="EPComma">
    <w:name w:val="EPComma"/>
    <w:basedOn w:val="Normal"/>
    <w:rsid w:val="00D71FE4"/>
    <w:pPr>
      <w:spacing w:before="480" w:after="240"/>
    </w:pPr>
  </w:style>
  <w:style w:type="character" w:styleId="Hyperlink">
    <w:name w:val="Hyperlink"/>
    <w:basedOn w:val="DefaultParagraphFont"/>
    <w:uiPriority w:val="99"/>
    <w:rsid w:val="00D71F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FE4"/>
    <w:rPr>
      <w:color w:val="605E5C"/>
      <w:shd w:val="clear" w:color="auto" w:fill="E1DFDD"/>
    </w:rPr>
  </w:style>
  <w:style w:type="paragraph" w:customStyle="1" w:styleId="Action">
    <w:name w:val="Action"/>
    <w:basedOn w:val="Normal"/>
    <w:rsid w:val="00D71FE4"/>
    <w:pPr>
      <w:tabs>
        <w:tab w:val="left" w:pos="357"/>
      </w:tabs>
      <w:spacing w:after="240"/>
      <w:ind w:left="357" w:hanging="357"/>
    </w:pPr>
    <w:rPr>
      <w:lang w:eastAsia="en-US"/>
    </w:rPr>
  </w:style>
  <w:style w:type="paragraph" w:customStyle="1" w:styleId="action0">
    <w:name w:val="action"/>
    <w:basedOn w:val="Normal"/>
    <w:rsid w:val="00D71FE4"/>
    <w:pPr>
      <w:widowControl/>
      <w:spacing w:after="240"/>
      <w:ind w:left="357" w:hanging="357"/>
    </w:pPr>
    <w:rPr>
      <w:rFonts w:eastAsiaTheme="minorHAnsi"/>
      <w:szCs w:val="24"/>
    </w:rPr>
  </w:style>
  <w:style w:type="paragraph" w:customStyle="1" w:styleId="Institutionquiagit">
    <w:name w:val="Institution qui agit"/>
    <w:basedOn w:val="Normal"/>
    <w:next w:val="Normal"/>
    <w:rsid w:val="00D71FE4"/>
    <w:pPr>
      <w:keepNext/>
      <w:snapToGrid w:val="0"/>
      <w:spacing w:after="240"/>
    </w:pPr>
    <w:rPr>
      <w:i/>
      <w:lang w:eastAsia="en-US"/>
    </w:rPr>
  </w:style>
  <w:style w:type="paragraph" w:customStyle="1" w:styleId="FootnoteReference1">
    <w:name w:val="Footnote Reference1"/>
    <w:basedOn w:val="Normal"/>
    <w:link w:val="FootnoteReference"/>
    <w:rsid w:val="00D71FE4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D71FE4"/>
    <w:rPr>
      <w:sz w:val="24"/>
      <w:lang w:val="cs-CZ"/>
    </w:rPr>
  </w:style>
  <w:style w:type="paragraph" w:styleId="Footer">
    <w:name w:val="footer"/>
    <w:basedOn w:val="Normal"/>
    <w:link w:val="FooterChar"/>
    <w:uiPriority w:val="99"/>
    <w:rsid w:val="00D71F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FE4"/>
    <w:rPr>
      <w:sz w:val="24"/>
      <w:lang w:val="cs-CZ"/>
    </w:rPr>
  </w:style>
  <w:style w:type="character" w:styleId="CommentReference">
    <w:name w:val="annotation reference"/>
    <w:basedOn w:val="DefaultParagraphFont"/>
    <w:uiPriority w:val="99"/>
    <w:rsid w:val="00D71F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71FE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FE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71F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71FE4"/>
    <w:rPr>
      <w:b/>
      <w:bCs/>
      <w:lang w:val="cs-CZ"/>
    </w:rPr>
  </w:style>
  <w:style w:type="paragraph" w:customStyle="1" w:styleId="Normal24a">
    <w:name w:val="Normal24a"/>
    <w:basedOn w:val="Normal"/>
    <w:rsid w:val="00D71FE4"/>
    <w:pPr>
      <w:spacing w:after="480"/>
    </w:pPr>
  </w:style>
  <w:style w:type="paragraph" w:customStyle="1" w:styleId="NormalBoldCenter">
    <w:name w:val="NormalBoldCenter"/>
    <w:basedOn w:val="Normal"/>
    <w:rsid w:val="00D71FE4"/>
    <w:pPr>
      <w:jc w:val="center"/>
    </w:pPr>
    <w:rPr>
      <w:b/>
    </w:rPr>
  </w:style>
  <w:style w:type="paragraph" w:customStyle="1" w:styleId="Footprint12b">
    <w:name w:val="Footprint12b"/>
    <w:basedOn w:val="Normal"/>
    <w:rsid w:val="00D71FE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71FE4"/>
    <w:rPr>
      <w:szCs w:val="24"/>
    </w:rPr>
  </w:style>
  <w:style w:type="paragraph" w:styleId="ListParagraph">
    <w:name w:val="List Paragraph"/>
    <w:basedOn w:val="Normal"/>
    <w:uiPriority w:val="34"/>
    <w:qFormat/>
    <w:rsid w:val="00D71FE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71FE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71FE4"/>
    <w:rPr>
      <w:rFonts w:ascii="Arial" w:eastAsiaTheme="majorEastAsia" w:hAnsi="Arial" w:cs="Arial"/>
      <w:b/>
      <w:bCs/>
      <w:kern w:val="28"/>
      <w:sz w:val="32"/>
      <w:szCs w:val="32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FE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71FE4"/>
    <w:rPr>
      <w:rFonts w:ascii="Arial" w:eastAsiaTheme="majorEastAsia" w:hAnsi="Arial" w:cs="Arial"/>
      <w:sz w:val="24"/>
      <w:szCs w:val="24"/>
      <w:lang w:val="cs-CZ" w:eastAsia="en-US"/>
    </w:rPr>
  </w:style>
  <w:style w:type="character" w:styleId="Strong">
    <w:name w:val="Strong"/>
    <w:basedOn w:val="DefaultParagraphFont"/>
    <w:uiPriority w:val="22"/>
    <w:qFormat/>
    <w:rsid w:val="00D71FE4"/>
    <w:rPr>
      <w:b/>
      <w:bCs/>
    </w:rPr>
  </w:style>
  <w:style w:type="character" w:styleId="Emphasis">
    <w:name w:val="Emphasis"/>
    <w:basedOn w:val="DefaultParagraphFont"/>
    <w:uiPriority w:val="20"/>
    <w:qFormat/>
    <w:rsid w:val="00D71FE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71FE4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71FE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71FE4"/>
    <w:rPr>
      <w:rFonts w:eastAsiaTheme="minorHAnsi"/>
      <w:i/>
      <w:sz w:val="24"/>
      <w:szCs w:val="24"/>
      <w:lang w:val="cs-CZ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FE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FE4"/>
    <w:rPr>
      <w:rFonts w:eastAsiaTheme="minorHAnsi"/>
      <w:b/>
      <w:i/>
      <w:sz w:val="24"/>
      <w:szCs w:val="22"/>
      <w:lang w:val="cs-CZ" w:eastAsia="en-US"/>
    </w:rPr>
  </w:style>
  <w:style w:type="character" w:styleId="SubtleEmphasis">
    <w:name w:val="Subtle Emphasis"/>
    <w:uiPriority w:val="19"/>
    <w:qFormat/>
    <w:rsid w:val="00D71FE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71FE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71FE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71FE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71FE4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ableTitle">
    <w:name w:val="Table Title"/>
    <w:basedOn w:val="Normal"/>
    <w:uiPriority w:val="99"/>
    <w:rsid w:val="00D71FE4"/>
    <w:pPr>
      <w:keepNext/>
      <w:widowControl/>
      <w:spacing w:before="120" w:after="120"/>
    </w:pPr>
    <w:rPr>
      <w:rFonts w:eastAsiaTheme="minorEastAsia"/>
      <w:sz w:val="20"/>
    </w:rPr>
  </w:style>
  <w:style w:type="paragraph" w:customStyle="1" w:styleId="Tablesubtitle">
    <w:name w:val="Table subtitle"/>
    <w:basedOn w:val="Normal"/>
    <w:next w:val="Normal"/>
    <w:uiPriority w:val="99"/>
    <w:rsid w:val="00D71FE4"/>
    <w:pPr>
      <w:keepNext/>
      <w:widowControl/>
    </w:pPr>
    <w:rPr>
      <w:rFonts w:eastAsiaTheme="minorEastAsia"/>
      <w:sz w:val="18"/>
      <w:szCs w:val="18"/>
    </w:rPr>
  </w:style>
  <w:style w:type="paragraph" w:customStyle="1" w:styleId="NormalRight">
    <w:name w:val="Normal Right"/>
    <w:basedOn w:val="Normal"/>
    <w:next w:val="Normal"/>
    <w:uiPriority w:val="99"/>
    <w:rsid w:val="00D71FE4"/>
    <w:pPr>
      <w:widowControl/>
      <w:spacing w:before="120" w:after="120"/>
      <w:jc w:val="right"/>
    </w:pPr>
    <w:rPr>
      <w:rFonts w:eastAsiaTheme="minorEastAsia"/>
      <w:szCs w:val="24"/>
    </w:rPr>
  </w:style>
  <w:style w:type="paragraph" w:customStyle="1" w:styleId="ReusedInfo">
    <w:name w:val="ReusedInfo"/>
    <w:next w:val="Normal"/>
    <w:uiPriority w:val="99"/>
    <w:rsid w:val="00D71FE4"/>
    <w:pPr>
      <w:shd w:val="clear" w:color="auto" w:fill="C0C0C0"/>
      <w:spacing w:before="60" w:after="60"/>
    </w:pPr>
    <w:rPr>
      <w:rFonts w:eastAsiaTheme="minorEastAsia"/>
      <w:lang w:val="cs-CZ"/>
    </w:rPr>
  </w:style>
  <w:style w:type="paragraph" w:customStyle="1" w:styleId="Section">
    <w:name w:val="Section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smallCaps/>
      <w:sz w:val="44"/>
      <w:szCs w:val="44"/>
    </w:rPr>
  </w:style>
  <w:style w:type="paragraph" w:customStyle="1" w:styleId="Part">
    <w:name w:val="Part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smallCaps/>
      <w:sz w:val="40"/>
      <w:szCs w:val="40"/>
    </w:rPr>
  </w:style>
  <w:style w:type="paragraph" w:customStyle="1" w:styleId="Revenue">
    <w:name w:val="Revenue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Expenditure">
    <w:name w:val="Expenditure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title2">
    <w:name w:val="title2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smallCaps/>
      <w:sz w:val="32"/>
      <w:szCs w:val="32"/>
    </w:rPr>
  </w:style>
  <w:style w:type="paragraph" w:customStyle="1" w:styleId="Chapter">
    <w:name w:val="Chapter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smallCaps/>
      <w:sz w:val="28"/>
      <w:szCs w:val="28"/>
    </w:rPr>
  </w:style>
  <w:style w:type="paragraph" w:customStyle="1" w:styleId="Article">
    <w:name w:val="Article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i/>
      <w:iCs/>
      <w:szCs w:val="24"/>
    </w:rPr>
  </w:style>
  <w:style w:type="paragraph" w:customStyle="1" w:styleId="Item">
    <w:name w:val="Item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sz w:val="22"/>
      <w:szCs w:val="22"/>
    </w:rPr>
  </w:style>
  <w:style w:type="paragraph" w:customStyle="1" w:styleId="SubItem">
    <w:name w:val="SubItem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sz w:val="20"/>
    </w:rPr>
  </w:style>
  <w:style w:type="paragraph" w:customStyle="1" w:styleId="Annex">
    <w:name w:val="Annex"/>
    <w:basedOn w:val="Normal"/>
    <w:next w:val="Normal"/>
    <w:uiPriority w:val="99"/>
    <w:rsid w:val="00D71FE4"/>
    <w:pPr>
      <w:keepNext/>
      <w:widowControl/>
      <w:spacing w:before="480" w:after="120"/>
    </w:pPr>
    <w:rPr>
      <w:rFonts w:eastAsiaTheme="minorEastAsia"/>
      <w:b/>
      <w:bCs/>
      <w:sz w:val="32"/>
      <w:szCs w:val="32"/>
    </w:rPr>
  </w:style>
  <w:style w:type="paragraph" w:customStyle="1" w:styleId="EndofAnnex">
    <w:name w:val="End of Annex"/>
    <w:basedOn w:val="Normal"/>
    <w:next w:val="Normal"/>
    <w:uiPriority w:val="99"/>
    <w:rsid w:val="00D71FE4"/>
    <w:pPr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Objective">
    <w:name w:val="Objective"/>
    <w:basedOn w:val="Normal"/>
    <w:next w:val="Normal"/>
    <w:uiPriority w:val="99"/>
    <w:rsid w:val="00D71FE4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Figures">
    <w:name w:val="Figures"/>
    <w:basedOn w:val="Normal"/>
    <w:next w:val="Normal"/>
    <w:uiPriority w:val="99"/>
    <w:rsid w:val="00D71FE4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marks">
    <w:name w:val="Remarks"/>
    <w:basedOn w:val="Normal"/>
    <w:next w:val="Normal"/>
    <w:uiPriority w:val="99"/>
    <w:rsid w:val="00D71FE4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serveCond">
    <w:name w:val="ReserveCond"/>
    <w:basedOn w:val="Normal"/>
    <w:next w:val="Normal"/>
    <w:uiPriority w:val="99"/>
    <w:rsid w:val="00D71FE4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Legalbasis">
    <w:name w:val="Legal basis"/>
    <w:basedOn w:val="Normal"/>
    <w:next w:val="Normal"/>
    <w:uiPriority w:val="99"/>
    <w:rsid w:val="00D71FE4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ference">
    <w:name w:val="Reference"/>
    <w:basedOn w:val="Normal"/>
    <w:next w:val="Normal"/>
    <w:uiPriority w:val="99"/>
    <w:rsid w:val="00D71FE4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character" w:customStyle="1" w:styleId="tw4winExternal">
    <w:name w:val="tw4winExternal"/>
    <w:basedOn w:val="DefaultParagraphFont"/>
    <w:uiPriority w:val="99"/>
    <w:rsid w:val="00D71FE4"/>
  </w:style>
  <w:style w:type="character" w:customStyle="1" w:styleId="tw4winInternal">
    <w:name w:val="tw4winInternal"/>
    <w:basedOn w:val="DefaultParagraphFont"/>
    <w:uiPriority w:val="99"/>
    <w:rsid w:val="00D71FE4"/>
    <w:rPr>
      <w:sz w:val="16"/>
      <w:szCs w:val="16"/>
      <w:u w:val="dash"/>
      <w:shd w:val="clear" w:color="auto" w:fill="FFFF00"/>
    </w:rPr>
  </w:style>
  <w:style w:type="character" w:customStyle="1" w:styleId="ReusedInlineInfo">
    <w:name w:val="ReusedInlineInfo"/>
    <w:basedOn w:val="DefaultParagraphFont"/>
    <w:uiPriority w:val="99"/>
    <w:rsid w:val="00D71FE4"/>
    <w:rPr>
      <w:sz w:val="16"/>
      <w:szCs w:val="16"/>
      <w:u w:val="dash"/>
      <w:shd w:val="clear" w:color="auto" w:fill="FFFF00"/>
    </w:rPr>
  </w:style>
  <w:style w:type="character" w:customStyle="1" w:styleId="Error">
    <w:name w:val="Error"/>
    <w:basedOn w:val="DefaultParagraphFont"/>
    <w:uiPriority w:val="99"/>
    <w:rsid w:val="00D71FE4"/>
    <w:rPr>
      <w:shd w:val="clear" w:color="auto" w:fill="FF0000"/>
    </w:rPr>
  </w:style>
  <w:style w:type="paragraph" w:styleId="BalloonText">
    <w:name w:val="Balloon Text"/>
    <w:basedOn w:val="Normal"/>
    <w:link w:val="BalloonTextChar"/>
    <w:uiPriority w:val="99"/>
    <w:unhideWhenUsed/>
    <w:rsid w:val="00D71FE4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71FE4"/>
    <w:rPr>
      <w:rFonts w:ascii="Segoe UI" w:eastAsiaTheme="minorHAnsi" w:hAnsi="Segoe UI" w:cs="Segoe UI"/>
      <w:sz w:val="18"/>
      <w:szCs w:val="18"/>
      <w:lang w:val="cs-CZ" w:eastAsia="en-US"/>
    </w:rPr>
  </w:style>
  <w:style w:type="numbering" w:customStyle="1" w:styleId="NoList1">
    <w:name w:val="No List1"/>
    <w:next w:val="NoList"/>
    <w:uiPriority w:val="99"/>
    <w:semiHidden/>
    <w:unhideWhenUsed/>
    <w:rsid w:val="00D71FE4"/>
  </w:style>
  <w:style w:type="numbering" w:customStyle="1" w:styleId="NoList2">
    <w:name w:val="No List2"/>
    <w:next w:val="NoList"/>
    <w:uiPriority w:val="99"/>
    <w:semiHidden/>
    <w:unhideWhenUsed/>
    <w:rsid w:val="00D71FE4"/>
  </w:style>
  <w:style w:type="paragraph" w:customStyle="1" w:styleId="RollCallVotes">
    <w:name w:val="RollCallVotes"/>
    <w:basedOn w:val="Normal"/>
    <w:rsid w:val="00D71FE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71FE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71FE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71FE4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://data.europa.eu/eli/budget/2026/72/oj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://data.europa.eu/eli/C/2024/6751/oj" TargetMode="External"/><Relationship Id="rId5" Type="http://schemas.openxmlformats.org/officeDocument/2006/relationships/hyperlink" Target="http://data.europa.eu/eli/C/2024/1195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3922</Words>
  <Characters>22785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2026-07-06T09:57:00Z</dcterms:created>
  <dcterms:modified xsi:type="dcterms:W3CDTF">2026-07-06T09:57:00Z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P10_TA(2026)0155_</vt:lpwstr>
  </property>
  <property fmtid="{D5CDD505-2E9C-101B-9397-08002B2CF9AE}" pid="4" name="&lt;Type&gt;">
    <vt:lpwstr>RR</vt:lpwstr>
  </property>
</Properties>
</file>