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B064B" w14:paraId="6616E4FB" w14:textId="77777777" w:rsidTr="0010095E">
        <w:trPr>
          <w:trHeight w:hRule="exact" w:val="1418"/>
        </w:trPr>
        <w:tc>
          <w:tcPr>
            <w:tcW w:w="6804" w:type="dxa"/>
            <w:shd w:val="clear" w:color="auto" w:fill="auto"/>
            <w:vAlign w:val="center"/>
          </w:tcPr>
          <w:p w14:paraId="3DF98668" w14:textId="77777777" w:rsidR="00751A4A" w:rsidRPr="002B064B" w:rsidRDefault="00F7063C" w:rsidP="0010095E">
            <w:pPr>
              <w:pStyle w:val="EPName"/>
            </w:pPr>
            <w:r w:rsidRPr="002B064B">
              <w:t>Europa-Parlamentet</w:t>
            </w:r>
          </w:p>
          <w:p w14:paraId="28A60831" w14:textId="77777777" w:rsidR="00751A4A" w:rsidRPr="002B064B" w:rsidRDefault="005F1B17" w:rsidP="005F1B17">
            <w:pPr>
              <w:pStyle w:val="EPTerm"/>
              <w:rPr>
                <w:rStyle w:val="HideTWBExt"/>
                <w:noProof w:val="0"/>
                <w:vanish w:val="0"/>
                <w:color w:val="auto"/>
              </w:rPr>
            </w:pPr>
            <w:r w:rsidRPr="002B064B">
              <w:t>2024</w:t>
            </w:r>
            <w:r w:rsidR="00817416" w:rsidRPr="002B064B">
              <w:t>-202</w:t>
            </w:r>
            <w:r w:rsidRPr="002B064B">
              <w:t>9</w:t>
            </w:r>
          </w:p>
        </w:tc>
        <w:tc>
          <w:tcPr>
            <w:tcW w:w="2268" w:type="dxa"/>
            <w:shd w:val="clear" w:color="auto" w:fill="auto"/>
          </w:tcPr>
          <w:p w14:paraId="0495136D" w14:textId="77777777" w:rsidR="00751A4A" w:rsidRPr="002B064B" w:rsidRDefault="00187494" w:rsidP="0010095E">
            <w:pPr>
              <w:pStyle w:val="EPLogo"/>
            </w:pPr>
            <w:r w:rsidRPr="002B064B">
              <w:rPr>
                <w:noProof/>
                <w:lang w:eastAsia="ja-JP"/>
              </w:rPr>
              <w:drawing>
                <wp:inline distT="0" distB="0" distL="0" distR="0" wp14:anchorId="696D5E40" wp14:editId="23C5B3A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75B6DB8" w14:textId="77777777" w:rsidR="00D058B8" w:rsidRPr="002B064B" w:rsidRDefault="00D058B8" w:rsidP="004C5D52">
      <w:pPr>
        <w:pStyle w:val="LineTop"/>
      </w:pPr>
    </w:p>
    <w:p w14:paraId="298CDAFA" w14:textId="77777777" w:rsidR="00680577" w:rsidRPr="002B064B" w:rsidRDefault="00F7063C" w:rsidP="00680577">
      <w:pPr>
        <w:pStyle w:val="EPBodyTA1"/>
      </w:pPr>
      <w:r w:rsidRPr="002B064B">
        <w:t>VEDTAGNE TEKSTER</w:t>
      </w:r>
    </w:p>
    <w:p w14:paraId="1BB965F7" w14:textId="77777777" w:rsidR="00D058B8" w:rsidRPr="002B064B" w:rsidRDefault="00D058B8" w:rsidP="00D058B8">
      <w:pPr>
        <w:pStyle w:val="LineBottom"/>
      </w:pPr>
    </w:p>
    <w:p w14:paraId="32897099" w14:textId="667A4DB9" w:rsidR="00F7063C" w:rsidRPr="002B064B" w:rsidRDefault="00F7063C" w:rsidP="00F7063C">
      <w:pPr>
        <w:pStyle w:val="ATHeading1"/>
      </w:pPr>
      <w:bookmarkStart w:id="0" w:name="TANumber"/>
      <w:r w:rsidRPr="002B064B">
        <w:t>P10_</w:t>
      </w:r>
      <w:proofErr w:type="gramStart"/>
      <w:r w:rsidRPr="002B064B">
        <w:t>TA(</w:t>
      </w:r>
      <w:proofErr w:type="gramEnd"/>
      <w:r w:rsidRPr="002B064B">
        <w:t>2026)0</w:t>
      </w:r>
      <w:bookmarkEnd w:id="0"/>
      <w:r w:rsidR="00F9096D" w:rsidRPr="002B064B">
        <w:t>155</w:t>
      </w:r>
    </w:p>
    <w:p w14:paraId="5DB17C71" w14:textId="0AD5BD7F" w:rsidR="00F7063C" w:rsidRPr="002B064B" w:rsidRDefault="00ED3A28" w:rsidP="00F7063C">
      <w:pPr>
        <w:pStyle w:val="ATHeading2"/>
      </w:pPr>
      <w:r w:rsidRPr="002B064B">
        <w:t>Overslag over indtægter og udgifter for regnskabsåret 2027 – Sektion I – Europa-Parlamentet</w:t>
      </w:r>
    </w:p>
    <w:p w14:paraId="7CFFD33D" w14:textId="77777777" w:rsidR="00F7063C" w:rsidRPr="002B064B" w:rsidRDefault="00F7063C" w:rsidP="00F7063C">
      <w:pPr>
        <w:rPr>
          <w:i/>
          <w:vanish/>
        </w:rPr>
      </w:pPr>
      <w:r w:rsidRPr="002B064B">
        <w:rPr>
          <w:i/>
        </w:rPr>
        <w:fldChar w:fldCharType="begin"/>
      </w:r>
      <w:r w:rsidRPr="002B064B">
        <w:rPr>
          <w:i/>
        </w:rPr>
        <w:instrText xml:space="preserve"> TC"(</w:instrText>
      </w:r>
      <w:bookmarkStart w:id="1" w:name="DocNumber"/>
      <w:r w:rsidRPr="002B064B">
        <w:rPr>
          <w:i/>
        </w:rPr>
        <w:instrText>A10-0124/2026</w:instrText>
      </w:r>
      <w:bookmarkEnd w:id="1"/>
      <w:r w:rsidRPr="002B064B">
        <w:rPr>
          <w:i/>
        </w:rPr>
        <w:instrText xml:space="preserve"> - Ordfører: </w:instrText>
      </w:r>
      <w:proofErr w:type="spellStart"/>
      <w:r w:rsidRPr="002B064B">
        <w:rPr>
          <w:i/>
        </w:rPr>
        <w:instrText>Michalis</w:instrText>
      </w:r>
      <w:proofErr w:type="spellEnd"/>
      <w:r w:rsidRPr="002B064B">
        <w:rPr>
          <w:i/>
        </w:rPr>
        <w:instrText xml:space="preserve"> </w:instrText>
      </w:r>
      <w:proofErr w:type="spellStart"/>
      <w:r w:rsidRPr="002B064B">
        <w:rPr>
          <w:i/>
        </w:rPr>
        <w:instrText>Hadjipantela</w:instrText>
      </w:r>
      <w:proofErr w:type="spellEnd"/>
      <w:r w:rsidRPr="002B064B">
        <w:rPr>
          <w:i/>
        </w:rPr>
        <w:instrText xml:space="preserve">)"\l3 \n&gt; \* MERGEFORMAT </w:instrText>
      </w:r>
      <w:r w:rsidRPr="002B064B">
        <w:rPr>
          <w:i/>
        </w:rPr>
        <w:fldChar w:fldCharType="end"/>
      </w:r>
    </w:p>
    <w:p w14:paraId="7D57C357" w14:textId="77777777" w:rsidR="00F7063C" w:rsidRPr="002B064B" w:rsidRDefault="00F7063C" w:rsidP="00F7063C">
      <w:pPr>
        <w:rPr>
          <w:vanish/>
        </w:rPr>
      </w:pPr>
      <w:bookmarkStart w:id="2" w:name="Commission"/>
      <w:r w:rsidRPr="002B064B">
        <w:rPr>
          <w:vanish/>
        </w:rPr>
        <w:t>Budgetudvalget</w:t>
      </w:r>
      <w:bookmarkEnd w:id="2"/>
    </w:p>
    <w:p w14:paraId="2AEDEE4C" w14:textId="77777777" w:rsidR="00F7063C" w:rsidRPr="002B064B" w:rsidRDefault="00F7063C" w:rsidP="00F7063C">
      <w:pPr>
        <w:rPr>
          <w:vanish/>
        </w:rPr>
      </w:pPr>
      <w:bookmarkStart w:id="3" w:name="PE"/>
      <w:r w:rsidRPr="002B064B">
        <w:rPr>
          <w:vanish/>
        </w:rPr>
        <w:t>PE785.303</w:t>
      </w:r>
      <w:bookmarkEnd w:id="3"/>
    </w:p>
    <w:p w14:paraId="04DB9FAC" w14:textId="03F02B45" w:rsidR="00F7063C" w:rsidRPr="002B064B" w:rsidRDefault="00F7063C" w:rsidP="00F7063C">
      <w:pPr>
        <w:pStyle w:val="ATHeading3"/>
      </w:pPr>
      <w:bookmarkStart w:id="4" w:name="Sujet"/>
      <w:r w:rsidRPr="002B064B">
        <w:t xml:space="preserve">Europa-Parlamentets beslutning af </w:t>
      </w:r>
      <w:r w:rsidR="00ED3A28" w:rsidRPr="002B064B">
        <w:t>30. april</w:t>
      </w:r>
      <w:r w:rsidRPr="002B064B">
        <w:t xml:space="preserve"> 2026 om overslag over Europa-Parlamentets indtægter og udgifter for regnskabsåret 2027</w:t>
      </w:r>
      <w:bookmarkEnd w:id="4"/>
      <w:r w:rsidRPr="002B064B">
        <w:t xml:space="preserve"> </w:t>
      </w:r>
      <w:bookmarkStart w:id="5" w:name="References"/>
      <w:r w:rsidRPr="002B064B">
        <w:t>(2025/2247(BUI))</w:t>
      </w:r>
      <w:bookmarkEnd w:id="5"/>
    </w:p>
    <w:p w14:paraId="5E89D437" w14:textId="77777777" w:rsidR="00394979" w:rsidRPr="002B064B" w:rsidRDefault="00394979" w:rsidP="00394979">
      <w:pPr>
        <w:pStyle w:val="Institutionquiagit"/>
        <w:spacing w:before="480"/>
        <w:rPr>
          <w:i w:val="0"/>
        </w:rPr>
      </w:pPr>
      <w:bookmarkStart w:id="6" w:name="TextBodyBegin"/>
      <w:bookmarkEnd w:id="6"/>
      <w:r w:rsidRPr="002B064B">
        <w:t>Europa-Parlamentet,</w:t>
      </w:r>
    </w:p>
    <w:p w14:paraId="689F25C8" w14:textId="77777777" w:rsidR="00394979" w:rsidRPr="002B064B" w:rsidRDefault="00394979" w:rsidP="00394979">
      <w:pPr>
        <w:pStyle w:val="Action"/>
        <w:tabs>
          <w:tab w:val="clear" w:pos="357"/>
        </w:tabs>
        <w:spacing w:after="120"/>
        <w:ind w:left="567" w:hanging="567"/>
        <w:outlineLvl w:val="0"/>
      </w:pPr>
      <w:r w:rsidRPr="002B064B">
        <w:t>–</w:t>
      </w:r>
      <w:r w:rsidRPr="002B064B">
        <w:tab/>
        <w:t>der henviser til artikel 314 i traktaten om Den Europæiske Unions funktionsmåde,</w:t>
      </w:r>
    </w:p>
    <w:p w14:paraId="3C7967C3" w14:textId="77777777" w:rsidR="00394979" w:rsidRPr="002B064B" w:rsidRDefault="00394979" w:rsidP="00394979">
      <w:pPr>
        <w:widowControl/>
        <w:spacing w:after="240"/>
        <w:ind w:left="567" w:hanging="567"/>
        <w:rPr>
          <w:color w:val="000000"/>
        </w:rPr>
      </w:pPr>
      <w:r w:rsidRPr="002B064B">
        <w:rPr>
          <w:color w:val="000000"/>
        </w:rPr>
        <w:t>–</w:t>
      </w:r>
      <w:r w:rsidRPr="002B064B">
        <w:rPr>
          <w:color w:val="000000"/>
        </w:rPr>
        <w:tab/>
        <w:t xml:space="preserve">der henviser til Europa-Parlamentets og Rådets forordning (EU, </w:t>
      </w:r>
      <w:proofErr w:type="spellStart"/>
      <w:r w:rsidRPr="002B064B">
        <w:rPr>
          <w:color w:val="000000"/>
        </w:rPr>
        <w:t>Euratom</w:t>
      </w:r>
      <w:proofErr w:type="spellEnd"/>
      <w:r w:rsidRPr="002B064B">
        <w:rPr>
          <w:color w:val="000000"/>
        </w:rPr>
        <w:t>) 2024/2509 af 23. september 2024 om de finansielle regler vedrørende Unionens almindelige budget (omarbejdning)</w:t>
      </w:r>
      <w:r w:rsidRPr="002B064B">
        <w:rPr>
          <w:color w:val="000000"/>
          <w:vertAlign w:val="superscript"/>
        </w:rPr>
        <w:footnoteReference w:id="1"/>
      </w:r>
      <w:r w:rsidRPr="002B064B">
        <w:rPr>
          <w:color w:val="000000"/>
        </w:rPr>
        <w:t xml:space="preserve"> (finansforordningen),</w:t>
      </w:r>
    </w:p>
    <w:p w14:paraId="188E7238" w14:textId="77777777" w:rsidR="00394979" w:rsidRPr="002B064B" w:rsidRDefault="00394979" w:rsidP="00394979">
      <w:pPr>
        <w:spacing w:after="240"/>
        <w:ind w:left="567" w:hanging="567"/>
        <w:rPr>
          <w:color w:val="000000"/>
        </w:rPr>
      </w:pPr>
      <w:r w:rsidRPr="002B064B">
        <w:rPr>
          <w:color w:val="000000"/>
        </w:rPr>
        <w:t>–</w:t>
      </w:r>
      <w:r w:rsidRPr="002B064B">
        <w:rPr>
          <w:color w:val="000000"/>
        </w:rPr>
        <w:tab/>
      </w:r>
      <w:r w:rsidRPr="002B064B">
        <w:t xml:space="preserve">der henviser til Rådets forordning (EU, </w:t>
      </w:r>
      <w:proofErr w:type="spellStart"/>
      <w:r w:rsidRPr="002B064B">
        <w:t>Euratom</w:t>
      </w:r>
      <w:proofErr w:type="spellEnd"/>
      <w:r w:rsidRPr="002B064B">
        <w:t xml:space="preserve">) 2020/2093 af 17. december 2020 om fastlæggelse af </w:t>
      </w:r>
      <w:sdt>
        <w:sdtPr>
          <w:tag w:val="goog_rdk_0"/>
          <w:id w:val="399490220"/>
        </w:sdtPr>
        <w:sdtEndPr/>
        <w:sdtContent/>
      </w:sdt>
      <w:sdt>
        <w:sdtPr>
          <w:tag w:val="goog_rdk_1"/>
          <w:id w:val="-2088213729"/>
        </w:sdtPr>
        <w:sdtEndPr/>
        <w:sdtContent/>
      </w:sdt>
      <w:r w:rsidRPr="002B064B">
        <w:t>den flerårige finansielle ramme for årene 2021-2027</w:t>
      </w:r>
      <w:r w:rsidRPr="002B064B">
        <w:rPr>
          <w:color w:val="000000"/>
          <w:vertAlign w:val="superscript"/>
        </w:rPr>
        <w:footnoteReference w:id="2"/>
      </w:r>
      <w:r w:rsidRPr="002B064B">
        <w:t xml:space="preserve"> og til den fælles erklæring, der er opnået enighed om mellem Parlamentet, Rådet og Kommissionen i den forbindelse</w:t>
      </w:r>
      <w:r w:rsidRPr="002B064B">
        <w:rPr>
          <w:color w:val="000000"/>
          <w:vertAlign w:val="superscript"/>
        </w:rPr>
        <w:footnoteReference w:id="3"/>
      </w:r>
      <w:r w:rsidRPr="002B064B">
        <w:t>, samt de dertil knyttede ensidige erklæringer</w:t>
      </w:r>
      <w:r w:rsidRPr="002B064B">
        <w:rPr>
          <w:color w:val="000000"/>
          <w:vertAlign w:val="superscript"/>
        </w:rPr>
        <w:footnoteReference w:id="4"/>
      </w:r>
      <w:r w:rsidRPr="002B064B">
        <w:t>,</w:t>
      </w:r>
    </w:p>
    <w:p w14:paraId="2BC081AC" w14:textId="77777777" w:rsidR="00394979" w:rsidRPr="002B064B" w:rsidRDefault="00394979" w:rsidP="00394979">
      <w:pPr>
        <w:spacing w:after="240"/>
        <w:ind w:left="567" w:hanging="567"/>
        <w:rPr>
          <w:color w:val="000000" w:themeColor="text1"/>
        </w:rPr>
      </w:pPr>
      <w:r w:rsidRPr="002B064B">
        <w:rPr>
          <w:color w:val="000000"/>
        </w:rPr>
        <w:t>–</w:t>
      </w:r>
      <w:r w:rsidRPr="002B064B">
        <w:rPr>
          <w:color w:val="000000"/>
        </w:rPr>
        <w:tab/>
        <w:t xml:space="preserve">der henviser til Rådets forordning (EU, </w:t>
      </w:r>
      <w:proofErr w:type="spellStart"/>
      <w:r w:rsidRPr="002B064B">
        <w:rPr>
          <w:color w:val="000000"/>
        </w:rPr>
        <w:t>Euratom</w:t>
      </w:r>
      <w:proofErr w:type="spellEnd"/>
      <w:r w:rsidRPr="002B064B">
        <w:rPr>
          <w:color w:val="000000"/>
        </w:rPr>
        <w:t xml:space="preserve">) 2022/2496 af 15. december 2022 om ændring af forordning (EU, </w:t>
      </w:r>
      <w:proofErr w:type="spellStart"/>
      <w:r w:rsidRPr="002B064B">
        <w:rPr>
          <w:color w:val="000000"/>
        </w:rPr>
        <w:t>Euratom</w:t>
      </w:r>
      <w:proofErr w:type="spellEnd"/>
      <w:r w:rsidRPr="002B064B">
        <w:rPr>
          <w:color w:val="000000"/>
        </w:rPr>
        <w:t>) 2020/2093 om fastlæggelse af den flerårige finansielle ramme for årene 2021‑2027</w:t>
      </w:r>
      <w:r w:rsidRPr="002B064B">
        <w:rPr>
          <w:color w:val="000000"/>
          <w:vertAlign w:val="superscript"/>
        </w:rPr>
        <w:footnoteReference w:id="5"/>
      </w:r>
      <w:r w:rsidRPr="002B064B">
        <w:rPr>
          <w:color w:val="000000"/>
        </w:rPr>
        <w:t>,</w:t>
      </w:r>
    </w:p>
    <w:p w14:paraId="133B6739" w14:textId="77777777" w:rsidR="00394979" w:rsidRPr="002B064B" w:rsidRDefault="00394979" w:rsidP="00394979">
      <w:pPr>
        <w:spacing w:after="240"/>
        <w:ind w:left="567" w:hanging="567"/>
      </w:pPr>
      <w:r w:rsidRPr="002B064B">
        <w:t>–</w:t>
      </w:r>
      <w:r w:rsidRPr="002B064B">
        <w:tab/>
      </w:r>
      <w:r w:rsidRPr="002B064B">
        <w:rPr>
          <w:color w:val="000000"/>
        </w:rPr>
        <w:t xml:space="preserve">der henviser til Rådets forordning (EU, </w:t>
      </w:r>
      <w:proofErr w:type="spellStart"/>
      <w:r w:rsidRPr="002B064B">
        <w:rPr>
          <w:color w:val="000000"/>
        </w:rPr>
        <w:t>Euratom</w:t>
      </w:r>
      <w:proofErr w:type="spellEnd"/>
      <w:r w:rsidRPr="002B064B">
        <w:rPr>
          <w:color w:val="000000"/>
        </w:rPr>
        <w:t xml:space="preserve">) 2024/765 om ændring af forordning (EU, </w:t>
      </w:r>
      <w:proofErr w:type="spellStart"/>
      <w:r w:rsidRPr="002B064B">
        <w:rPr>
          <w:color w:val="000000"/>
        </w:rPr>
        <w:t>Euratom</w:t>
      </w:r>
      <w:proofErr w:type="spellEnd"/>
      <w:r w:rsidRPr="002B064B">
        <w:rPr>
          <w:color w:val="000000"/>
        </w:rPr>
        <w:t>) 2020/2093 om fastlæggelse af den flerårige finansielle ramme for årene 2021-2027</w:t>
      </w:r>
      <w:r w:rsidRPr="002B064B">
        <w:rPr>
          <w:rStyle w:val="FootnoteReference"/>
          <w:color w:val="000000"/>
        </w:rPr>
        <w:footnoteReference w:id="6"/>
      </w:r>
      <w:r w:rsidRPr="002B064B">
        <w:rPr>
          <w:color w:val="000000"/>
        </w:rPr>
        <w:t xml:space="preserve"> (FFR-revisionen),</w:t>
      </w:r>
    </w:p>
    <w:p w14:paraId="68F3B0F9" w14:textId="77777777" w:rsidR="00394979" w:rsidRPr="002B064B" w:rsidRDefault="00394979" w:rsidP="00394979">
      <w:pPr>
        <w:spacing w:after="240"/>
        <w:ind w:left="567" w:hanging="567"/>
        <w:rPr>
          <w:color w:val="000000"/>
        </w:rPr>
      </w:pPr>
      <w:r w:rsidRPr="002B064B">
        <w:rPr>
          <w:color w:val="000000"/>
        </w:rPr>
        <w:t>–</w:t>
      </w:r>
      <w:r w:rsidRPr="002B064B">
        <w:rPr>
          <w:color w:val="000000"/>
        </w:rPr>
        <w:tab/>
        <w:t xml:space="preserve">der henviser til den </w:t>
      </w:r>
      <w:proofErr w:type="spellStart"/>
      <w:r w:rsidRPr="002B064B">
        <w:rPr>
          <w:color w:val="000000"/>
        </w:rPr>
        <w:t>interinstitutionelle</w:t>
      </w:r>
      <w:proofErr w:type="spellEnd"/>
      <w:r w:rsidRPr="002B064B">
        <w:rPr>
          <w:color w:val="000000"/>
        </w:rPr>
        <w:t xml:space="preserve"> aftale af 16. december 2020 mellem Europa-Parlamentet, Rådet for Den Europæiske Union og Europa-Kommissionen om budgetdisciplin, om samarbejde på budgetområdet og om forsvarlig økonomisk forvaltning samt om nye egne indtægter, herunder en køreplan hen imod indførelse af </w:t>
      </w:r>
      <w:r w:rsidRPr="002B064B">
        <w:rPr>
          <w:color w:val="000000"/>
        </w:rPr>
        <w:lastRenderedPageBreak/>
        <w:t>nye egne indtægter</w:t>
      </w:r>
      <w:r w:rsidRPr="002B064B">
        <w:rPr>
          <w:color w:val="000000"/>
          <w:vertAlign w:val="superscript"/>
        </w:rPr>
        <w:footnoteReference w:id="7"/>
      </w:r>
      <w:r w:rsidRPr="002B064B">
        <w:rPr>
          <w:color w:val="000000"/>
        </w:rPr>
        <w:t>,</w:t>
      </w:r>
    </w:p>
    <w:p w14:paraId="67D9344B" w14:textId="77777777" w:rsidR="00394979" w:rsidRPr="002B064B" w:rsidRDefault="00394979" w:rsidP="00394979">
      <w:pPr>
        <w:spacing w:after="240"/>
        <w:ind w:left="567" w:hanging="567"/>
      </w:pPr>
      <w:r w:rsidRPr="002B064B">
        <w:t>–</w:t>
      </w:r>
      <w:r w:rsidRPr="002B064B">
        <w:tab/>
        <w:t>der henviser til sin lovgivningsmæssige beslutning af 16. december 2020 om udkast til Rådets forordning om fastlæggelse af den flerårige finansielle ramme for årene 2021-2027</w:t>
      </w:r>
      <w:r w:rsidRPr="002B064B">
        <w:rPr>
          <w:vertAlign w:val="superscript"/>
        </w:rPr>
        <w:footnoteReference w:id="8"/>
      </w:r>
      <w:r w:rsidRPr="002B064B">
        <w:t>,</w:t>
      </w:r>
    </w:p>
    <w:p w14:paraId="12B81A69" w14:textId="77777777" w:rsidR="00394979" w:rsidRPr="002B064B" w:rsidRDefault="00394979" w:rsidP="00394979">
      <w:pPr>
        <w:spacing w:after="240"/>
        <w:ind w:left="567" w:hanging="567"/>
        <w:rPr>
          <w:color w:val="000000"/>
        </w:rPr>
      </w:pPr>
      <w:r w:rsidRPr="002B064B">
        <w:rPr>
          <w:color w:val="000000"/>
        </w:rPr>
        <w:t>–</w:t>
      </w:r>
      <w:r w:rsidRPr="002B064B">
        <w:rPr>
          <w:color w:val="000000"/>
        </w:rPr>
        <w:tab/>
        <w:t xml:space="preserve">der henviser til sin beslutning af 15. december 2022 om </w:t>
      </w:r>
      <w:proofErr w:type="spellStart"/>
      <w:r w:rsidRPr="002B064B">
        <w:rPr>
          <w:color w:val="000000"/>
        </w:rPr>
        <w:t>opskalering</w:t>
      </w:r>
      <w:proofErr w:type="spellEnd"/>
      <w:r w:rsidRPr="002B064B">
        <w:rPr>
          <w:color w:val="000000"/>
        </w:rPr>
        <w:t xml:space="preserve"> af den flerårige finansielle ramme for 2021-2027: Et robust EU-budget, der er egnet til nye udfordringer</w:t>
      </w:r>
      <w:r w:rsidRPr="002B064B">
        <w:rPr>
          <w:color w:val="000000"/>
          <w:vertAlign w:val="superscript"/>
        </w:rPr>
        <w:footnoteReference w:id="9"/>
      </w:r>
      <w:r w:rsidRPr="002B064B">
        <w:rPr>
          <w:color w:val="000000"/>
        </w:rPr>
        <w:t>,</w:t>
      </w:r>
    </w:p>
    <w:p w14:paraId="3BD9D69B" w14:textId="77777777" w:rsidR="00394979" w:rsidRPr="002B064B" w:rsidRDefault="00394979" w:rsidP="00394979">
      <w:pPr>
        <w:spacing w:after="240"/>
        <w:ind w:left="567" w:hanging="567"/>
      </w:pPr>
      <w:r w:rsidRPr="002B064B">
        <w:t>–</w:t>
      </w:r>
      <w:r w:rsidRPr="002B064B">
        <w:tab/>
        <w:t>der henviser til sin beslutning af 3. oktober 2023 om forslaget til en midtvejsrevision af den flerårige finansielle ramme for årene 2021-2027</w:t>
      </w:r>
      <w:r w:rsidRPr="002B064B">
        <w:rPr>
          <w:vertAlign w:val="superscript"/>
        </w:rPr>
        <w:footnoteReference w:id="10"/>
      </w:r>
      <w:r w:rsidRPr="002B064B">
        <w:t>,</w:t>
      </w:r>
    </w:p>
    <w:p w14:paraId="2F0AD572" w14:textId="77777777" w:rsidR="00394979" w:rsidRPr="002B064B" w:rsidRDefault="00394979" w:rsidP="00394979">
      <w:pPr>
        <w:spacing w:after="240"/>
        <w:ind w:left="567" w:hanging="567"/>
        <w:rPr>
          <w:color w:val="000000"/>
        </w:rPr>
      </w:pPr>
      <w:r w:rsidRPr="002B064B">
        <w:rPr>
          <w:color w:val="000000"/>
        </w:rPr>
        <w:t>–</w:t>
      </w:r>
      <w:r w:rsidRPr="002B064B">
        <w:rPr>
          <w:color w:val="000000"/>
        </w:rPr>
        <w:tab/>
        <w:t xml:space="preserve">der henviser til sin beslutning af 27. februar 2024 om udkast til Rådets forordning om ændring af forordning (EU, </w:t>
      </w:r>
      <w:proofErr w:type="spellStart"/>
      <w:r w:rsidRPr="002B064B">
        <w:rPr>
          <w:color w:val="000000"/>
        </w:rPr>
        <w:t>Euratom</w:t>
      </w:r>
      <w:proofErr w:type="spellEnd"/>
      <w:r w:rsidRPr="002B064B">
        <w:rPr>
          <w:color w:val="000000"/>
        </w:rPr>
        <w:t>) 2020/2093 om fastlæggelse af den flerårige finansielle ramme for årene 2021-2027</w:t>
      </w:r>
      <w:r w:rsidRPr="002B064B">
        <w:rPr>
          <w:color w:val="000000"/>
          <w:vertAlign w:val="superscript"/>
        </w:rPr>
        <w:footnoteReference w:id="11"/>
      </w:r>
      <w:r w:rsidRPr="002B064B">
        <w:rPr>
          <w:color w:val="000000"/>
        </w:rPr>
        <w:t>,</w:t>
      </w:r>
    </w:p>
    <w:p w14:paraId="4DAB47C9" w14:textId="77777777" w:rsidR="00394979" w:rsidRPr="002B064B" w:rsidRDefault="00394979" w:rsidP="00394979">
      <w:pPr>
        <w:spacing w:after="240"/>
        <w:ind w:left="567" w:hanging="567"/>
        <w:rPr>
          <w:color w:val="000000"/>
        </w:rPr>
      </w:pPr>
      <w:r w:rsidRPr="002B064B">
        <w:rPr>
          <w:color w:val="000000"/>
        </w:rPr>
        <w:t>–</w:t>
      </w:r>
      <w:r w:rsidRPr="002B064B">
        <w:rPr>
          <w:color w:val="000000"/>
        </w:rPr>
        <w:tab/>
      </w:r>
      <w:r w:rsidRPr="002B064B">
        <w:t>der henviser til Den Europæiske Unions almindelige budget for regnskabsåret 2026, endeligt vedtaget den 26. november 2025</w:t>
      </w:r>
      <w:r w:rsidRPr="002B064B">
        <w:rPr>
          <w:color w:val="000000"/>
          <w:vertAlign w:val="superscript"/>
        </w:rPr>
        <w:footnoteReference w:id="12"/>
      </w:r>
      <w:r w:rsidRPr="002B064B">
        <w:t>, og til de vedføjede fælles erklæringer fra Parlamentet, Rådet og Kommissionen,</w:t>
      </w:r>
    </w:p>
    <w:p w14:paraId="3EEDCDE6" w14:textId="77777777" w:rsidR="00394979" w:rsidRPr="002B064B" w:rsidRDefault="00394979" w:rsidP="00394979">
      <w:pPr>
        <w:pStyle w:val="Action"/>
        <w:tabs>
          <w:tab w:val="clear" w:pos="357"/>
        </w:tabs>
        <w:spacing w:after="120"/>
        <w:ind w:left="567" w:hanging="567"/>
        <w:outlineLvl w:val="0"/>
      </w:pPr>
      <w:r w:rsidRPr="002B064B">
        <w:t>–</w:t>
      </w:r>
      <w:r w:rsidRPr="002B064B">
        <w:tab/>
        <w:t>der henviser til generalsekretærens beretning til Præsidiet med henblik på opstilling af det foreløbige forslag til Parlamentets budgetoverslag for regnskabsåret 2027,</w:t>
      </w:r>
    </w:p>
    <w:p w14:paraId="4400CF44" w14:textId="77777777" w:rsidR="00394979" w:rsidRPr="002B064B" w:rsidRDefault="00394979" w:rsidP="00394979">
      <w:pPr>
        <w:pStyle w:val="Action"/>
        <w:tabs>
          <w:tab w:val="clear" w:pos="357"/>
        </w:tabs>
        <w:spacing w:after="120"/>
        <w:ind w:left="567" w:hanging="567"/>
        <w:outlineLvl w:val="0"/>
      </w:pPr>
      <w:r w:rsidRPr="002B064B">
        <w:t>–</w:t>
      </w:r>
      <w:r w:rsidRPr="002B064B">
        <w:tab/>
        <w:t>der henviser til det foreløbige forslag til budgetoverslag, opstillet af Præsidiet den 9. marts 2026, jf. forretningsordenens artikel 25, stk. 7, og artikel 104, stk. 1,</w:t>
      </w:r>
    </w:p>
    <w:p w14:paraId="6E1C2DF4" w14:textId="77777777" w:rsidR="00394979" w:rsidRPr="002B064B" w:rsidRDefault="00394979" w:rsidP="00394979">
      <w:pPr>
        <w:pStyle w:val="Action"/>
        <w:tabs>
          <w:tab w:val="clear" w:pos="357"/>
        </w:tabs>
        <w:spacing w:after="120"/>
        <w:ind w:left="567" w:hanging="567"/>
        <w:outlineLvl w:val="0"/>
      </w:pPr>
      <w:r w:rsidRPr="002B064B">
        <w:t>–</w:t>
      </w:r>
      <w:r w:rsidRPr="002B064B">
        <w:tab/>
        <w:t>der henviser til forslag til budgetoverslag, opstillet af Budgetudvalget, jf. forretningsordenens artikel 104, stk. 2,</w:t>
      </w:r>
    </w:p>
    <w:p w14:paraId="4A1BEA11" w14:textId="77777777" w:rsidR="00394979" w:rsidRPr="002B064B" w:rsidRDefault="00394979" w:rsidP="00394979">
      <w:pPr>
        <w:pStyle w:val="Action"/>
        <w:tabs>
          <w:tab w:val="clear" w:pos="357"/>
        </w:tabs>
        <w:spacing w:after="120"/>
        <w:ind w:left="567" w:hanging="567"/>
        <w:outlineLvl w:val="0"/>
      </w:pPr>
      <w:r w:rsidRPr="002B064B">
        <w:t>–</w:t>
      </w:r>
      <w:r w:rsidRPr="002B064B">
        <w:tab/>
        <w:t>der henviser til forretningsordenens artikel 104,</w:t>
      </w:r>
    </w:p>
    <w:p w14:paraId="2BEF74E7" w14:textId="77777777" w:rsidR="00394979" w:rsidRPr="002B064B" w:rsidRDefault="00394979" w:rsidP="00394979">
      <w:pPr>
        <w:pStyle w:val="Action"/>
        <w:tabs>
          <w:tab w:val="clear" w:pos="357"/>
        </w:tabs>
        <w:ind w:left="567" w:hanging="567"/>
        <w:outlineLvl w:val="0"/>
      </w:pPr>
      <w:r w:rsidRPr="002B064B">
        <w:t>–</w:t>
      </w:r>
      <w:r w:rsidRPr="002B064B">
        <w:tab/>
        <w:t>der henviser til betænkning fra Budgetudvalget (A10-0124/2026),</w:t>
      </w:r>
    </w:p>
    <w:p w14:paraId="1C649CE2" w14:textId="77777777" w:rsidR="00394979" w:rsidRPr="002B064B" w:rsidRDefault="00394979" w:rsidP="00394979">
      <w:pPr>
        <w:pStyle w:val="Action"/>
        <w:tabs>
          <w:tab w:val="clear" w:pos="357"/>
        </w:tabs>
        <w:spacing w:after="120"/>
        <w:ind w:left="567" w:hanging="567"/>
        <w:outlineLvl w:val="0"/>
      </w:pPr>
      <w:r w:rsidRPr="002B064B">
        <w:t>A.</w:t>
      </w:r>
      <w:r w:rsidRPr="002B064B">
        <w:tab/>
        <w:t>der henviser til, at det budget, som generalsekretæren foreslog den 9. februar 2026 til det foreløbige forslag til Parlamentets budgetoverslag for 2027, beløber sig til 2 665 474 853 EUR og udgør en stigning på 2,33 % eller 60 618 266 mio. EUR i forhold til 2026-budgettet;</w:t>
      </w:r>
    </w:p>
    <w:p w14:paraId="5AE35135" w14:textId="77777777" w:rsidR="00394979" w:rsidRPr="002B064B" w:rsidRDefault="00394979" w:rsidP="00394979">
      <w:pPr>
        <w:pStyle w:val="Action"/>
        <w:tabs>
          <w:tab w:val="clear" w:pos="357"/>
        </w:tabs>
        <w:spacing w:after="120"/>
        <w:ind w:left="567" w:hanging="567"/>
        <w:outlineLvl w:val="0"/>
      </w:pPr>
      <w:r w:rsidRPr="002B064B">
        <w:t>B.</w:t>
      </w:r>
      <w:r w:rsidRPr="002B064B">
        <w:tab/>
        <w:t>der henviser til, at stigningen på 2,33 % som foreslået af generalsekretæren skyldes en stigning på 2,01 % for vedtægtsmæssige finansielle forpligtelser og 2,89 % for ikkevedtægtsmæssige udgifter;</w:t>
      </w:r>
    </w:p>
    <w:p w14:paraId="5DAF468D" w14:textId="77777777" w:rsidR="00394979" w:rsidRPr="002B064B" w:rsidRDefault="00394979" w:rsidP="00394979">
      <w:pPr>
        <w:pStyle w:val="Action"/>
        <w:tabs>
          <w:tab w:val="clear" w:pos="357"/>
        </w:tabs>
        <w:ind w:left="567" w:hanging="567"/>
        <w:outlineLvl w:val="0"/>
      </w:pPr>
      <w:r w:rsidRPr="002B064B">
        <w:t>C.</w:t>
      </w:r>
      <w:r w:rsidRPr="002B064B">
        <w:tab/>
        <w:t>der henviser til, at den årlige inflation i Unionen ifølge Eurostat var på 2,3 % i december 2025, hvilket er et fald i forhold til 2,7 % i december 2024; der henviser til, at udgiftsniveauet under udgiftsområde 7 i den flerårige finansielle ramme (FFR) for 2021-2027 er baseret på en årlig stigning på 2 %;</w:t>
      </w:r>
    </w:p>
    <w:p w14:paraId="2832896F" w14:textId="77777777" w:rsidR="00394979" w:rsidRPr="002B064B" w:rsidRDefault="00394979" w:rsidP="00394979">
      <w:pPr>
        <w:pStyle w:val="Action"/>
        <w:tabs>
          <w:tab w:val="clear" w:pos="357"/>
        </w:tabs>
        <w:ind w:left="567" w:hanging="567"/>
        <w:outlineLvl w:val="0"/>
      </w:pPr>
      <w:r w:rsidRPr="002B064B">
        <w:lastRenderedPageBreak/>
        <w:t>D.</w:t>
      </w:r>
      <w:r w:rsidRPr="002B064B">
        <w:tab/>
        <w:t>der henviser til, at Parlamentets troværdighed afhænger af dets evne til at levere resultater i sit centrale budget-, lovgivnings- og kontrolarbejde og udføre dette arbejde efter den højeste standard og samtidig foregå andre EU-institutioner med et godt eksempel ved at planlægge og gennemføre sine udgifter på en forsigtig og effektiv måde og afspejle de aktuelle økonomiske realiteter;</w:t>
      </w:r>
    </w:p>
    <w:p w14:paraId="35CF249E" w14:textId="77777777" w:rsidR="00394979" w:rsidRPr="002B064B" w:rsidRDefault="00394979" w:rsidP="00394979">
      <w:pPr>
        <w:pStyle w:val="NormalHanging12a"/>
        <w:rPr>
          <w:b/>
          <w:i/>
        </w:rPr>
      </w:pPr>
      <w:r w:rsidRPr="002B064B">
        <w:rPr>
          <w:b/>
          <w:i/>
        </w:rPr>
        <w:t>Generel ramme</w:t>
      </w:r>
    </w:p>
    <w:p w14:paraId="66BC8B33" w14:textId="77777777" w:rsidR="00394979" w:rsidRPr="002B064B" w:rsidRDefault="00394979" w:rsidP="00394979">
      <w:pPr>
        <w:widowControl/>
        <w:spacing w:after="240"/>
        <w:ind w:left="567" w:hanging="567"/>
        <w:rPr>
          <w:color w:val="000000"/>
        </w:rPr>
      </w:pPr>
      <w:r w:rsidRPr="002B064B">
        <w:rPr>
          <w:color w:val="000000"/>
        </w:rPr>
        <w:t>1.</w:t>
      </w:r>
      <w:r w:rsidRPr="002B064B">
        <w:rPr>
          <w:color w:val="000000"/>
        </w:rPr>
        <w:tab/>
        <w:t>er bekymret over situationen med hensyn til udgiftsområde 7 i den nuværende FFR; minder om, at begrænsningerne er resultatet af de nedskæringer, som Rådet foretog i Kommissionens allerede meget lave oprindelige forslag, da der blev opnået enighed om FFR for 2021-2027, samt den samlede virkning af en højere inflation end forventet over flere år; beklager Rådets modstand mod Kommissionens forslag om at forhøje loftet for udgiftsområde 7 i revisionen af FFR fra og med 2024; påpeger, at problemet med loftet for udgiftsområde 7 ikke er blevet løst i forbindelse med revisionen af FFR; fremhæver, at den forventede negative margen for 2027 forudsætter, at de særlige instrumenter under udgiftsområde 7 anvendes til dette formål; understreger, at anvendelsen af særlige instrumenter fortsat bør være undtagelsesvis, behørigt begrundet og begrænset til uforudsete omstændigheder;</w:t>
      </w:r>
    </w:p>
    <w:p w14:paraId="6A352081" w14:textId="77777777" w:rsidR="00394979" w:rsidRPr="002B064B" w:rsidRDefault="00394979" w:rsidP="00394979">
      <w:pPr>
        <w:widowControl/>
        <w:spacing w:after="240"/>
        <w:ind w:left="567" w:hanging="567"/>
        <w:rPr>
          <w:color w:val="000000"/>
        </w:rPr>
      </w:pPr>
      <w:r w:rsidRPr="002B064B">
        <w:rPr>
          <w:color w:val="000000"/>
        </w:rPr>
        <w:t>2.</w:t>
      </w:r>
      <w:r w:rsidRPr="002B064B">
        <w:rPr>
          <w:color w:val="000000"/>
        </w:rPr>
        <w:tab/>
        <w:t xml:space="preserve">tilslutter sig den aftale, der blev indgået under forligsproceduren mellem Præsidiet og Budgetudvalget den 15. april 2026, om at fastsætte forhøjelsen i forhold til 2026-budgettet til 1,98 %, hvilket svarer til et samlet overslag på 2 656 435 753 EUR for 2027, og om tilsvarende at nedskære de foreslåede bevillinger på følgende budgetposter til i alt 10 554 000 EUR: </w:t>
      </w:r>
    </w:p>
    <w:p w14:paraId="132CF42B" w14:textId="77777777" w:rsidR="00394979" w:rsidRPr="002B064B" w:rsidRDefault="00394979" w:rsidP="00394979">
      <w:pPr>
        <w:widowControl/>
        <w:spacing w:after="240"/>
        <w:ind w:left="567"/>
        <w:rPr>
          <w:color w:val="000000"/>
        </w:rPr>
      </w:pPr>
      <w:r w:rsidRPr="002B064B">
        <w:rPr>
          <w:color w:val="000000"/>
        </w:rPr>
        <w:t xml:space="preserve">1 0 0 6 — Godtgørelse af generelle udgifter, 1 4 0 5 01 — Udgifter til tolkning: ekstern tolkning, 1 4 2 — Eksterne oversættelsesydelser, 1 6 1 2 07 — Læring og udvikling: eksterne kurser til GD ITEC, 2 0 0 7 04 — Opførelse af bygninger og indretning af lokaler: forbindelseskontorer/Europa </w:t>
      </w:r>
      <w:proofErr w:type="spellStart"/>
      <w:r w:rsidRPr="002B064B">
        <w:rPr>
          <w:color w:val="000000"/>
        </w:rPr>
        <w:t>Experience</w:t>
      </w:r>
      <w:proofErr w:type="spellEnd"/>
      <w:r w:rsidRPr="002B064B">
        <w:rPr>
          <w:color w:val="000000"/>
        </w:rPr>
        <w:t xml:space="preserve">, 2 1 0 0 02 — IT-forvaltning og </w:t>
      </w:r>
      <w:proofErr w:type="spellStart"/>
      <w:r w:rsidRPr="002B064B">
        <w:rPr>
          <w:color w:val="000000"/>
        </w:rPr>
        <w:t>cybersikkerhed</w:t>
      </w:r>
      <w:proofErr w:type="spellEnd"/>
      <w:r w:rsidRPr="002B064B">
        <w:rPr>
          <w:color w:val="000000"/>
        </w:rPr>
        <w:t xml:space="preserve"> — IKT-sikkerhed, -risici og -overholdelse, 2 1 0 0 03 — IT-forvaltning og </w:t>
      </w:r>
      <w:proofErr w:type="spellStart"/>
      <w:r w:rsidRPr="002B064B">
        <w:rPr>
          <w:color w:val="000000"/>
        </w:rPr>
        <w:t>cybersikkerhed</w:t>
      </w:r>
      <w:proofErr w:type="spellEnd"/>
      <w:r w:rsidRPr="002B064B">
        <w:rPr>
          <w:color w:val="000000"/>
        </w:rPr>
        <w:t xml:space="preserve"> – Frontteknologi, 2 1 0 1 02 — Forvaltning af erhvervsapplikationer — Levering af IT-løsninger, 2 1 0 1 13 —  Forvaltning af erhvervsapplikationer — GD FINS, 2 1 0 2 03 — Infrastruktur og forvaltning af driften— Telecom, 2 1 0 2 04 — Infrastruktur og forvaltning af driften — Institutionel infrastruktur, 2 1 0 2 05 — Infrastruktur og forvaltning af driften — Software —Infrastruktur, 2 1 0 2 07 — Infrastruktur og forvaltning af driften — Trykkeriforvaltning, 2 1 0 3 01 — Tjenester og udstyr til den digitale arbejdsplads — Individuelt IT-udstyr, 2 1 2 0 01 — Møbler: køb, leje, udskiftning, vedligeholdelse og reparation af inventar, 2 1 6 0 01 — Transport af medlemmer, andre personer og varer: medlemmernes transport (leje og brug) 3 0 0 0 02 — Udgifter til personalets tjenesterejser og rejser mellem de tre arbejdssteder: tjenesterejser uden for de tre arbejdssteder, 3 0 0 0 03 — Udgifter til personalets tjenesterejser og rejser mellem de tre arbejdssteder: læring og udvikling, 3 2 1 0 01 — Udgifter til Europa-Parlamentets forskningstjenester, herunder biblioteket, de historiske arkiver, vurdering af videnskabelige og teknologiske projekter (STOA) samt det europæiske videnskabelige mediecentrum: konsekvensanalyse og europæisk merværdi, 3 2 2 0 09 — Udgifter til dokumentation: abonnementer og medieovervågning, 3 2 4 2 01 — Udgifter til publikation, information og deltagelse i offentlige arrangementer: informationskampagner, 3 2 4 3 01 — Europa-Parlamentets besøgscentre: </w:t>
      </w:r>
      <w:proofErr w:type="spellStart"/>
      <w:r w:rsidRPr="002B064B">
        <w:rPr>
          <w:color w:val="000000"/>
        </w:rPr>
        <w:t>Parlamentarium</w:t>
      </w:r>
      <w:proofErr w:type="spellEnd"/>
      <w:r w:rsidRPr="002B064B">
        <w:rPr>
          <w:color w:val="000000"/>
        </w:rPr>
        <w:t xml:space="preserve"> og "Europa </w:t>
      </w:r>
      <w:proofErr w:type="spellStart"/>
      <w:r w:rsidRPr="002B064B">
        <w:rPr>
          <w:color w:val="000000"/>
        </w:rPr>
        <w:t>Experience</w:t>
      </w:r>
      <w:proofErr w:type="spellEnd"/>
      <w:r w:rsidRPr="002B064B">
        <w:rPr>
          <w:color w:val="000000"/>
        </w:rPr>
        <w:t xml:space="preserve">" (Europa </w:t>
      </w:r>
      <w:proofErr w:type="spellStart"/>
      <w:r w:rsidRPr="002B064B">
        <w:rPr>
          <w:color w:val="000000"/>
        </w:rPr>
        <w:t>Experience</w:t>
      </w:r>
      <w:proofErr w:type="spellEnd"/>
      <w:r w:rsidRPr="002B064B">
        <w:rPr>
          <w:color w:val="000000"/>
        </w:rPr>
        <w:t xml:space="preserve">), 3 2 4 3 02 — Europa-Parlamentets besøgscentre: Huset for Europæisk Historie, 101 — Reserve til uforudsete udgifter. </w:t>
      </w:r>
    </w:p>
    <w:p w14:paraId="3E9FE066" w14:textId="77777777" w:rsidR="00394979" w:rsidRPr="002B064B" w:rsidRDefault="00394979" w:rsidP="00394979">
      <w:pPr>
        <w:widowControl/>
        <w:spacing w:after="240"/>
        <w:ind w:left="567"/>
        <w:rPr>
          <w:color w:val="000000"/>
        </w:rPr>
      </w:pPr>
      <w:r w:rsidRPr="002B064B">
        <w:rPr>
          <w:color w:val="000000"/>
        </w:rPr>
        <w:lastRenderedPageBreak/>
        <w:t>Desuden blev det besluttet at forhøje udgiftsniveauet i det foreløbige forslag til budgetoverslag, som Præsidiet godkendte den 9. marts 2026, med 1 514 900 EUR og tilsvarende at forhøje de foreslåede bevillinger på følgende budgetposter:</w:t>
      </w:r>
    </w:p>
    <w:p w14:paraId="16708D89" w14:textId="77777777" w:rsidR="00394979" w:rsidRPr="002B064B" w:rsidRDefault="00394979" w:rsidP="00394979">
      <w:pPr>
        <w:widowControl/>
        <w:spacing w:after="240"/>
        <w:ind w:left="567"/>
        <w:rPr>
          <w:color w:val="000000"/>
        </w:rPr>
      </w:pPr>
      <w:r w:rsidRPr="002B064B">
        <w:rPr>
          <w:color w:val="000000"/>
        </w:rPr>
        <w:t xml:space="preserve">4 0 3 — Finansiering af europæiske politiske fonde og 4 4 0 — Udgifter til tidligere medlemmers møder og andre aktiviteter. </w:t>
      </w:r>
    </w:p>
    <w:p w14:paraId="76F28A7F" w14:textId="77777777" w:rsidR="00394979" w:rsidRPr="002B064B" w:rsidRDefault="00394979" w:rsidP="00394979">
      <w:pPr>
        <w:widowControl/>
        <w:spacing w:after="240"/>
        <w:ind w:left="567" w:hanging="567"/>
        <w:rPr>
          <w:color w:val="000000"/>
        </w:rPr>
      </w:pPr>
      <w:r w:rsidRPr="002B064B">
        <w:rPr>
          <w:color w:val="000000"/>
        </w:rPr>
        <w:t>3.</w:t>
      </w:r>
      <w:r w:rsidRPr="002B064B">
        <w:rPr>
          <w:color w:val="000000"/>
        </w:rPr>
        <w:tab/>
        <w:t>minder om, at næsten to tredjedele af budgettet ligger fast på grund af vedtægtsmæssige forpligtelser; minder om, at Kommissionen på nuværende tidspunkt anslår, at lønindekseringen i overensstemmelse med personalevedtægten og statutten for Europa-Parlamentets medlemmer i juli 2026 vil beløbe sig til 2,2 % og i juli 2027 vil beløbe sig til 2,3 %;</w:t>
      </w:r>
    </w:p>
    <w:p w14:paraId="51B82026" w14:textId="77777777" w:rsidR="00394979" w:rsidRPr="002B064B" w:rsidRDefault="00394979" w:rsidP="00394979">
      <w:pPr>
        <w:widowControl/>
        <w:spacing w:after="240"/>
        <w:ind w:left="567" w:hanging="567"/>
        <w:rPr>
          <w:color w:val="000000"/>
        </w:rPr>
      </w:pPr>
      <w:r w:rsidRPr="002B064B">
        <w:rPr>
          <w:color w:val="000000"/>
        </w:rPr>
        <w:t>4.</w:t>
      </w:r>
      <w:r w:rsidRPr="002B064B">
        <w:rPr>
          <w:color w:val="000000"/>
        </w:rPr>
        <w:tab/>
        <w:t>bemærker, at 32,6 mio. EUR ud af stigningen på 51,6 mio. EUR i forhold til 2026-budgettet skyldes vedtægtsmæssige finansielle forpligtelser, hovedsagelig løntilpasninger for tjenestemænd og midlertidigt ansatte (16,2 mio. EUR) og kontraktansatte (1,7 mio. EUR); glæder sig over, at der fra 2027 og fremefter er planlagt en ekstraordinær direkte støtte til hver praktikant i Luxembourg (op til 500 EUR pr. måneds praktikophold) for at hjælpe dem med at klare de stigende boligudgifter; opfordrer til at sikre, at unge har adgang til praktikophold i en situation med stigende leveomkostninger uanset arbejdssted; glæder sig over Præsidiets beslutning om at afstå fra indeksering af godtgørelse for generelle udgifter for 2026;</w:t>
      </w:r>
    </w:p>
    <w:p w14:paraId="1FB62EF1" w14:textId="77777777" w:rsidR="00394979" w:rsidRPr="002B064B" w:rsidRDefault="00394979" w:rsidP="00394979">
      <w:pPr>
        <w:widowControl/>
        <w:spacing w:after="240"/>
        <w:ind w:left="567" w:hanging="567"/>
        <w:rPr>
          <w:b/>
          <w:i/>
          <w:color w:val="000000"/>
        </w:rPr>
      </w:pPr>
      <w:r w:rsidRPr="002B064B">
        <w:rPr>
          <w:color w:val="000000"/>
        </w:rPr>
        <w:t>5.</w:t>
      </w:r>
      <w:r w:rsidRPr="002B064B">
        <w:rPr>
          <w:b/>
          <w:i/>
          <w:color w:val="000000"/>
        </w:rPr>
        <w:tab/>
      </w:r>
      <w:r w:rsidRPr="002B064B">
        <w:rPr>
          <w:color w:val="000000"/>
        </w:rPr>
        <w:t>bemærker, at det beløb, der er afsat til assistentgodtgørelser, anslås på grundlag af historiske tendenser; understreger, at medlemmer under ingen omstændigheder kan fratages deres ret til at udnytte denne godtgørelse fuldt ud i overensstemmelse med de relevante regler som følge af manglende tilgængelighed på denne budgetpost; anmoder generalsekretæren om nøje at overvåge situationen, underrette Budgetudvalget om gennemførelsen af budgetposten og træffe relevante foranstaltninger, når der er risiko for utilstrækkelige finansielle midler;</w:t>
      </w:r>
    </w:p>
    <w:p w14:paraId="2B33A4ED" w14:textId="77777777" w:rsidR="00394979" w:rsidRPr="002B064B" w:rsidRDefault="00394979" w:rsidP="00394979">
      <w:pPr>
        <w:widowControl/>
        <w:spacing w:after="240"/>
        <w:ind w:left="567" w:hanging="567"/>
        <w:rPr>
          <w:color w:val="000000"/>
        </w:rPr>
      </w:pPr>
      <w:r w:rsidRPr="002B064B">
        <w:rPr>
          <w:color w:val="000000"/>
        </w:rPr>
        <w:t>6.</w:t>
      </w:r>
      <w:r w:rsidRPr="002B064B">
        <w:rPr>
          <w:color w:val="000000"/>
        </w:rPr>
        <w:tab/>
        <w:t xml:space="preserve">bemærker, at Parlamentet for fjerde år i træk ikke anmoder om yderligere stillinger for 2027; </w:t>
      </w:r>
    </w:p>
    <w:p w14:paraId="774AD59C" w14:textId="77777777" w:rsidR="00394979" w:rsidRPr="002B064B" w:rsidRDefault="00394979" w:rsidP="00394979">
      <w:pPr>
        <w:widowControl/>
        <w:spacing w:after="240"/>
        <w:ind w:left="567" w:hanging="567"/>
        <w:rPr>
          <w:color w:val="000000"/>
        </w:rPr>
      </w:pPr>
      <w:r w:rsidRPr="002B064B">
        <w:rPr>
          <w:color w:val="000000"/>
        </w:rPr>
        <w:t>7.</w:t>
      </w:r>
      <w:r w:rsidRPr="002B064B">
        <w:rPr>
          <w:color w:val="000000"/>
        </w:rPr>
        <w:tab/>
        <w:t xml:space="preserve">bemærker, at stigningen i ikkevedtægtsmæssige udgifter mellem 2026 og 2027 er på 2 %; </w:t>
      </w:r>
    </w:p>
    <w:p w14:paraId="0CF1C6BF" w14:textId="77777777" w:rsidR="00394979" w:rsidRPr="002B064B" w:rsidRDefault="00394979" w:rsidP="00394979">
      <w:pPr>
        <w:widowControl/>
        <w:spacing w:after="240"/>
        <w:ind w:left="567" w:hanging="567"/>
        <w:rPr>
          <w:color w:val="000000"/>
        </w:rPr>
      </w:pPr>
      <w:r w:rsidRPr="002B064B">
        <w:rPr>
          <w:color w:val="000000"/>
        </w:rPr>
        <w:t>8.</w:t>
      </w:r>
      <w:r w:rsidRPr="002B064B">
        <w:rPr>
          <w:color w:val="000000"/>
        </w:rPr>
        <w:tab/>
        <w:t xml:space="preserve">glæder sig over generalsekretærens igangværende arbejde – i overensstemmelse med de reformer, som formanden Roberta </w:t>
      </w:r>
      <w:proofErr w:type="spellStart"/>
      <w:r w:rsidRPr="002B064B">
        <w:rPr>
          <w:color w:val="000000"/>
        </w:rPr>
        <w:t>Metsola</w:t>
      </w:r>
      <w:proofErr w:type="spellEnd"/>
      <w:r w:rsidRPr="002B064B">
        <w:rPr>
          <w:color w:val="000000"/>
        </w:rPr>
        <w:t xml:space="preserve"> foreslog den 16. juni 2025 – med administrativt samarbejde, administrativ planlægning og administrativ forenkling, der har til formål at øge effektiviteten, fremme en effektiv anvendelse af ressourcerne og opnå besparelser, hvor det er muligt; opfordrer til styrkede rapporteringsmekanismer for at øge gennemsigtigheden og ansvarligheden; anmoder generalsekretæren om regelmæssigt at orientere Budgetudvalget om gennemførelsen af handlingsplanen for administrativ forenkling og om konsekvenserne heraf for budgettet og personalet;</w:t>
      </w:r>
    </w:p>
    <w:p w14:paraId="326257A4" w14:textId="77777777" w:rsidR="00394979" w:rsidRPr="002B064B" w:rsidRDefault="00394979" w:rsidP="00394979">
      <w:pPr>
        <w:pStyle w:val="action0"/>
        <w:ind w:left="0" w:firstLine="0"/>
        <w:rPr>
          <w:b/>
          <w:i/>
        </w:rPr>
      </w:pPr>
      <w:r w:rsidRPr="002B064B">
        <w:rPr>
          <w:b/>
          <w:i/>
        </w:rPr>
        <w:t>Styrkelse af Parlamentets kernefunktioner</w:t>
      </w:r>
    </w:p>
    <w:p w14:paraId="01C908A5" w14:textId="77777777" w:rsidR="00394979" w:rsidRPr="002B064B" w:rsidRDefault="00394979" w:rsidP="00394979">
      <w:pPr>
        <w:widowControl/>
        <w:spacing w:after="240"/>
        <w:ind w:left="567" w:hanging="567"/>
        <w:rPr>
          <w:color w:val="000000"/>
        </w:rPr>
      </w:pPr>
      <w:r w:rsidRPr="002B064B">
        <w:t>9.</w:t>
      </w:r>
      <w:r w:rsidRPr="002B064B">
        <w:tab/>
        <w:t>noterer sig de fire nye tematiske generaldirektorater (</w:t>
      </w:r>
      <w:proofErr w:type="spellStart"/>
      <w:r w:rsidRPr="002B064B">
        <w:t>GD'er</w:t>
      </w:r>
      <w:proofErr w:type="spellEnd"/>
      <w:r w:rsidRPr="002B064B">
        <w:t>), der har været operationelle siden januar 2025 og er ansvarlige for lovgivnings-, budget- og kontrolaktiviteter, og som skal forbedre Parlamentets funktion som fælleslovgiver, som den ene af budgetmyndighedens to parter og som dechargemyndighed;</w:t>
      </w:r>
    </w:p>
    <w:p w14:paraId="185D6228" w14:textId="77777777" w:rsidR="00394979" w:rsidRPr="002B064B" w:rsidRDefault="00394979" w:rsidP="00394979">
      <w:pPr>
        <w:widowControl/>
        <w:spacing w:after="240"/>
        <w:ind w:left="567" w:hanging="567"/>
        <w:rPr>
          <w:bCs/>
          <w:iCs/>
        </w:rPr>
      </w:pPr>
      <w:r w:rsidRPr="002B064B">
        <w:lastRenderedPageBreak/>
        <w:t>10.</w:t>
      </w:r>
      <w:r w:rsidRPr="002B064B">
        <w:tab/>
        <w:t xml:space="preserve">noterer sig omfordelingen af de interne ressourcer for så vidt angår antallet af tildelte stillinger (+15 % fra 2024 til 2026), budgetrammen for eksternt personale (konto 1400, fra 3,2 mio. EUR i 2024 til 8 mio. EUR i 2027) og budgettet til ekstern ekspertise (konto 3200, fra 3,2 mio. EUR i 2024 til 7,7 mio. EUR i 2027) for at styrke den ekspertise, der stilles til rådighed for medlemmerne; understreger behovet for at sikre, at disse stigninger fortsat er berettigede, proportionale og giver en klar merværdi; anmoder generalsekretæren om regelmæssigt at orientere Budgetudvalget om ressourceudviklingen og </w:t>
      </w:r>
      <w:r w:rsidRPr="002B064B">
        <w:noBreakHyphen/>
        <w:t xml:space="preserve">anvendelsen i disse fire nye </w:t>
      </w:r>
      <w:proofErr w:type="spellStart"/>
      <w:r w:rsidRPr="002B064B">
        <w:t>GD'er</w:t>
      </w:r>
      <w:proofErr w:type="spellEnd"/>
      <w:r w:rsidRPr="002B064B">
        <w:t xml:space="preserve">; understreger nødvendigheden af at sikre det vigtige mål om at styrke Europa-Parlamentets kapacitet til at støtte medlemmernes arbejde; understreger ligeledes, at de politiske grupper spiller en afgørende rolle </w:t>
      </w:r>
      <w:bookmarkStart w:id="7" w:name="_Hlk227243597"/>
      <w:r w:rsidRPr="002B064B">
        <w:t xml:space="preserve">med hensyn til at yde ekspertise </w:t>
      </w:r>
      <w:bookmarkEnd w:id="7"/>
      <w:r w:rsidRPr="002B064B">
        <w:t>og politisk støtte til medlemmerne i forbindelse med deres lovgivningsmæssige og parlamentariske arbejde;</w:t>
      </w:r>
      <w:r w:rsidRPr="002B064B">
        <w:rPr>
          <w:bCs/>
          <w:iCs/>
        </w:rPr>
        <w:t xml:space="preserve"> </w:t>
      </w:r>
    </w:p>
    <w:p w14:paraId="25DAC5BB" w14:textId="241668B3" w:rsidR="00F9096D" w:rsidRPr="002B064B" w:rsidRDefault="00F9096D" w:rsidP="00394979">
      <w:pPr>
        <w:widowControl/>
        <w:spacing w:after="240"/>
        <w:ind w:left="567" w:hanging="567"/>
        <w:rPr>
          <w:bCs/>
          <w:iCs/>
        </w:rPr>
      </w:pPr>
      <w:r w:rsidRPr="002B064B">
        <w:rPr>
          <w:bCs/>
          <w:iCs/>
        </w:rPr>
        <w:t>11.</w:t>
      </w:r>
      <w:r w:rsidRPr="002B064B">
        <w:rPr>
          <w:bCs/>
          <w:iCs/>
        </w:rPr>
        <w:tab/>
        <w:t xml:space="preserve">minder om, at pligten til at beskytte EU's finansielle interesser gælder på samme måde for alle modtagere af EU-midler, herunder politiske grupper, der er aktive i Parlamentet; bemærker, at undersøgelser og inddrivelsesforanstaltninger vedrørende mistanken om misbrug af EU-midler begået af den tidligere Gruppe Identitet og Demokrati, der i dag er blevet </w:t>
      </w:r>
      <w:proofErr w:type="spellStart"/>
      <w:r w:rsidRPr="002B064B">
        <w:rPr>
          <w:bCs/>
          <w:iCs/>
        </w:rPr>
        <w:t>omkonfigureret</w:t>
      </w:r>
      <w:proofErr w:type="spellEnd"/>
      <w:r w:rsidRPr="002B064B">
        <w:rPr>
          <w:bCs/>
          <w:iCs/>
        </w:rPr>
        <w:t xml:space="preserve"> som Gruppen Patrioter for Europa, fremhæver vigtigheden af solide interne kontroller, effektiv efterfølgende kontrol og hurtige inddrivelsesmekanismer i Parlamentets administration; opfordrer Parlamentets administration til straks at afslutte alle udestående inddrivelsesprocedurer og til at henvise alle beviser for regelstridige udgifter til OLAF og EPPO; understreger, at troværdigheden af EU's struktur for bekæmpelse af svig afhænger af, at den anvendes konsekvent over for alle støttemodtagere, herunder dem i selve Parlamentet;</w:t>
      </w:r>
    </w:p>
    <w:p w14:paraId="518B658F" w14:textId="77777777" w:rsidR="00394979" w:rsidRPr="002B064B" w:rsidRDefault="00394979" w:rsidP="00394979">
      <w:pPr>
        <w:spacing w:after="240"/>
        <w:rPr>
          <w:b/>
          <w:i/>
          <w:color w:val="000000"/>
        </w:rPr>
      </w:pPr>
      <w:r w:rsidRPr="002B064B">
        <w:rPr>
          <w:b/>
          <w:i/>
          <w:color w:val="000000"/>
        </w:rPr>
        <w:t xml:space="preserve">Den digitale omstilling </w:t>
      </w:r>
    </w:p>
    <w:p w14:paraId="6BC4054D" w14:textId="3E3FD1ED" w:rsidR="00394979" w:rsidRPr="002B064B" w:rsidRDefault="00C9465A" w:rsidP="00394979">
      <w:pPr>
        <w:pStyle w:val="action0"/>
        <w:ind w:left="567" w:hanging="567"/>
      </w:pPr>
      <w:r w:rsidRPr="002B064B">
        <w:t>12</w:t>
      </w:r>
      <w:r w:rsidR="00394979" w:rsidRPr="002B064B">
        <w:t>.</w:t>
      </w:r>
      <w:r w:rsidR="00394979" w:rsidRPr="002B064B">
        <w:tab/>
      </w:r>
      <w:r w:rsidR="00394979" w:rsidRPr="002B064B">
        <w:rPr>
          <w:color w:val="000000"/>
        </w:rPr>
        <w:t xml:space="preserve">noterer sig, at det samlede IT-budget udgør 7,6 % af det samlede budget i overslagene for 2027 og beløber sig til 202,4 mio. EUR; understreger vigtigheden af at have en solid </w:t>
      </w:r>
      <w:proofErr w:type="spellStart"/>
      <w:r w:rsidR="00394979" w:rsidRPr="002B064B">
        <w:rPr>
          <w:color w:val="000000"/>
        </w:rPr>
        <w:t>cybersikkerhedsinfrastruktur</w:t>
      </w:r>
      <w:proofErr w:type="spellEnd"/>
      <w:r w:rsidR="00394979" w:rsidRPr="002B064B">
        <w:rPr>
          <w:color w:val="000000"/>
        </w:rPr>
        <w:t xml:space="preserve"> i geopolitisk turbulente tider; minder om den planlagte gradvise forhøjelse af de finansielle bevillinger til </w:t>
      </w:r>
      <w:proofErr w:type="spellStart"/>
      <w:r w:rsidR="00394979" w:rsidRPr="002B064B">
        <w:rPr>
          <w:color w:val="000000"/>
        </w:rPr>
        <w:t>cybersikkerhed</w:t>
      </w:r>
      <w:proofErr w:type="spellEnd"/>
      <w:r w:rsidR="00394979" w:rsidRPr="002B064B">
        <w:rPr>
          <w:color w:val="000000"/>
        </w:rPr>
        <w:t xml:space="preserve"> op til 10 % af Parlamentets IKT-budget;</w:t>
      </w:r>
      <w:r w:rsidR="00394979" w:rsidRPr="002B064B">
        <w:t xml:space="preserve"> bemærker, at en sådan planlagt forhøjelse bør gennemføres så hurtigt som muligt;</w:t>
      </w:r>
    </w:p>
    <w:p w14:paraId="5A0C3975" w14:textId="3165494A" w:rsidR="00394979" w:rsidRPr="002B064B" w:rsidRDefault="00C9465A" w:rsidP="00394979">
      <w:pPr>
        <w:pStyle w:val="action0"/>
        <w:ind w:left="567" w:hanging="567"/>
      </w:pPr>
      <w:r w:rsidRPr="002B064B">
        <w:t>13</w:t>
      </w:r>
      <w:r w:rsidR="00394979" w:rsidRPr="002B064B">
        <w:t>.</w:t>
      </w:r>
      <w:r w:rsidR="00394979" w:rsidRPr="002B064B">
        <w:tab/>
        <w:t xml:space="preserve">understreger, at Europa-Parlamentets </w:t>
      </w:r>
      <w:proofErr w:type="spellStart"/>
      <w:r w:rsidR="00394979" w:rsidRPr="002B064B">
        <w:t>cybersikkerhed</w:t>
      </w:r>
      <w:proofErr w:type="spellEnd"/>
      <w:r w:rsidR="00394979" w:rsidRPr="002B064B">
        <w:t xml:space="preserve"> er en nøgleprioritet i en tid med geopolitisk usikkerhed; bemærker, at det samlede beløb, der er afsat til </w:t>
      </w:r>
      <w:proofErr w:type="spellStart"/>
      <w:r w:rsidR="00394979" w:rsidRPr="002B064B">
        <w:t>cybersikkerhed</w:t>
      </w:r>
      <w:proofErr w:type="spellEnd"/>
      <w:r w:rsidR="00394979" w:rsidRPr="002B064B">
        <w:t xml:space="preserve">, er på 16,9 mio. EUR, hvilket omfatter en forhøjelse af den centraliserede budgetpost for </w:t>
      </w:r>
      <w:proofErr w:type="spellStart"/>
      <w:r w:rsidR="00394979" w:rsidRPr="002B064B">
        <w:t>cybersikkerhed</w:t>
      </w:r>
      <w:proofErr w:type="spellEnd"/>
      <w:r w:rsidR="00394979" w:rsidRPr="002B064B">
        <w:t xml:space="preserve"> på 54 % i forhold til 2026; minder om, at investeringer i </w:t>
      </w:r>
      <w:proofErr w:type="spellStart"/>
      <w:r w:rsidR="00394979" w:rsidRPr="002B064B">
        <w:t>cybersikkerhed</w:t>
      </w:r>
      <w:proofErr w:type="spellEnd"/>
      <w:r w:rsidR="00394979" w:rsidRPr="002B064B">
        <w:t xml:space="preserve"> er af helt afgørende betydning med hensyn til at beskytte Parlamentets og Unionens demokratiske stemme og sikre, at Parlamentet fungerer tilfredsstillende;</w:t>
      </w:r>
    </w:p>
    <w:p w14:paraId="2205194B" w14:textId="15B96DB5" w:rsidR="00394979" w:rsidRPr="002B064B" w:rsidRDefault="00C9465A" w:rsidP="00394979">
      <w:pPr>
        <w:pStyle w:val="action0"/>
        <w:ind w:left="567" w:hanging="567"/>
      </w:pPr>
      <w:r w:rsidRPr="002B064B">
        <w:t>14</w:t>
      </w:r>
      <w:r w:rsidR="00394979" w:rsidRPr="002B064B">
        <w:t>.</w:t>
      </w:r>
      <w:r w:rsidR="00394979" w:rsidRPr="002B064B">
        <w:tab/>
        <w:t xml:space="preserve">understreger, at Parlamentet skal stå i spidsen for vedtagelsen af flere digitale arbejdsmetoder; glæder sig over investeringer i kunstig intelligens (AI), der beløber sig til 1 mio. EUR; opfordrer til, at anvendelsen af AI øges for at opnå effektivitetsgevinster og styrke suveræniteten på dette område, samtidig med at der tages hensyn til de dermed forbundne risici, herunder etik og databeskyttelse; understreger, at udbredelsen af AI skal være afstemt efter innovationen og omfatte de nødvendige beskyttelsesforanstaltninger; fremhæver </w:t>
      </w:r>
      <w:proofErr w:type="spellStart"/>
      <w:r w:rsidR="00394979" w:rsidRPr="002B064B">
        <w:t>AI's</w:t>
      </w:r>
      <w:proofErr w:type="spellEnd"/>
      <w:r w:rsidR="00394979" w:rsidRPr="002B064B">
        <w:t xml:space="preserve"> potentiale med hensyn til at strømline administrative processer; tilskynder til, at der udvikles klare retningslinjer og sikkerhedsforanstaltninger for at sikre, at AI, som fremmer innovation, anvendes på en ansvarlig og gennemsigtig måde, samtidig med at de grundlæggende rettigheder, sikkerheden og ansvarligheden opretholdes; bemærker, at udviklingen af AI vil blive </w:t>
      </w:r>
      <w:r w:rsidR="00394979" w:rsidRPr="002B064B">
        <w:lastRenderedPageBreak/>
        <w:t>nøje overvåget i overensstemmelse med de principper, som Præsidiet har fastlagt; understreger, at investeringer i AI ikke kun bør fokusere på administrativ effektivitet, men også på at øge den demokratiske gennemsigtighed og inddragelsen af borgerne;</w:t>
      </w:r>
    </w:p>
    <w:p w14:paraId="38A81947" w14:textId="05B279B8" w:rsidR="00394979" w:rsidRPr="002B064B" w:rsidRDefault="00C9465A" w:rsidP="00394979">
      <w:pPr>
        <w:pStyle w:val="action0"/>
        <w:spacing w:after="0"/>
        <w:ind w:left="567" w:hanging="567"/>
        <w:rPr>
          <w:bCs/>
          <w:iCs/>
        </w:rPr>
      </w:pPr>
      <w:r w:rsidRPr="002B064B">
        <w:t>15</w:t>
      </w:r>
      <w:r w:rsidR="00394979" w:rsidRPr="002B064B">
        <w:t>.</w:t>
      </w:r>
      <w:r w:rsidR="00394979" w:rsidRPr="002B064B">
        <w:tab/>
        <w:t xml:space="preserve">understreger, at Europa-Parlamentet i betragtning af den geopolitiske kontekst og de investeringer, som Den Europæiske Union vil skulle foretage for at opnå sin strategiske autonomi, skal gå forrest med et godt eksempel; noterer sig forberedelserne til en konsolideret handlingsplan, der har til formål at styrke Parlamentets holdning til digital suverænitet; ser frem til regelmæssigt at blive orienteret om de fremskridt, der er gjort; understreger vigtigheden af at sikre et højt niveau af </w:t>
      </w:r>
      <w:proofErr w:type="spellStart"/>
      <w:r w:rsidR="00394979" w:rsidRPr="002B064B">
        <w:t>cybersikkerhed</w:t>
      </w:r>
      <w:proofErr w:type="spellEnd"/>
      <w:r w:rsidR="00394979" w:rsidRPr="002B064B">
        <w:t>, databeskyttelse og modstandsdygtighed i Parlamentets digitale infrastruktur; understreger, at det er nødvendigt nøje at vurdere de risici, der er forbundet med afhængighed af ikkeeuropæiske udbydere, bl.a. gennem risikovurderinger; understreger vigtigheden af at opretholde sikre, konkurrencedygtige og pålidelige løsninger, herunder, hvor det er muligt, ved at prioritere europæiske udbydere; opfordrer til en regelmæssig evaluering af Parlamentets kommunikationskanaler og digitale værktøjer på grundlag af sikkerhed og overholdelse af EU-retten på en koordineret måde med de øvrige EU-institutioner med henblik på at sikre beskyttelsen af de parlamentariske data og integriteten af dets kommunikation;</w:t>
      </w:r>
    </w:p>
    <w:p w14:paraId="23DE9A20" w14:textId="77777777" w:rsidR="00394979" w:rsidRPr="002B064B" w:rsidRDefault="00394979" w:rsidP="00394979">
      <w:pPr>
        <w:pStyle w:val="action0"/>
        <w:spacing w:after="0"/>
        <w:ind w:left="567" w:hanging="567"/>
        <w:rPr>
          <w:b/>
          <w:i/>
        </w:rPr>
      </w:pPr>
    </w:p>
    <w:p w14:paraId="2DCB9598" w14:textId="77777777" w:rsidR="00394979" w:rsidRPr="002B064B" w:rsidRDefault="00394979" w:rsidP="00394979">
      <w:pPr>
        <w:pStyle w:val="action0"/>
        <w:ind w:left="0" w:firstLine="0"/>
        <w:rPr>
          <w:b/>
          <w:i/>
        </w:rPr>
      </w:pPr>
      <w:r w:rsidRPr="002B064B">
        <w:rPr>
          <w:b/>
          <w:i/>
        </w:rPr>
        <w:t>Infrastruktur</w:t>
      </w:r>
    </w:p>
    <w:p w14:paraId="7636A522" w14:textId="2AF44DD4" w:rsidR="00394979" w:rsidRPr="002B064B" w:rsidRDefault="00C9465A" w:rsidP="00394979">
      <w:pPr>
        <w:pStyle w:val="action0"/>
        <w:ind w:left="567" w:hanging="567"/>
        <w:rPr>
          <w:color w:val="000000"/>
        </w:rPr>
      </w:pPr>
      <w:r w:rsidRPr="002B064B">
        <w:rPr>
          <w:color w:val="000000"/>
        </w:rPr>
        <w:t>16</w:t>
      </w:r>
      <w:r w:rsidR="00394979" w:rsidRPr="002B064B">
        <w:rPr>
          <w:color w:val="000000"/>
        </w:rPr>
        <w:t>.</w:t>
      </w:r>
      <w:r w:rsidR="00394979" w:rsidRPr="002B064B">
        <w:rPr>
          <w:color w:val="000000"/>
        </w:rPr>
        <w:tab/>
        <w:t>anerkender den nye tilgang til bygninger, der omfatter konsolidering i stedet for erhvervelse af nye bygninger, idet der tages hensyn til bæredygtighed, tilgængelighed og mobilitet for medlemmerne og personalet samt de besøgende;</w:t>
      </w:r>
    </w:p>
    <w:p w14:paraId="2969FD0B" w14:textId="795A8A84" w:rsidR="00394979" w:rsidRPr="002B064B" w:rsidRDefault="00C9465A" w:rsidP="00394979">
      <w:pPr>
        <w:pStyle w:val="action0"/>
        <w:ind w:left="567" w:hanging="567"/>
        <w:rPr>
          <w:color w:val="000000"/>
        </w:rPr>
      </w:pPr>
      <w:r w:rsidRPr="002B064B">
        <w:rPr>
          <w:color w:val="000000"/>
        </w:rPr>
        <w:t>17</w:t>
      </w:r>
      <w:r w:rsidR="00394979" w:rsidRPr="002B064B">
        <w:rPr>
          <w:color w:val="000000"/>
        </w:rPr>
        <w:t>.</w:t>
      </w:r>
      <w:r w:rsidR="00394979" w:rsidRPr="002B064B">
        <w:rPr>
          <w:color w:val="000000"/>
        </w:rPr>
        <w:tab/>
        <w:t xml:space="preserve">noterer sig, at renoveringen af SPAAK-Bygningen begynder i 2027; noterer sig, at det samlede budget til renoveringen er fastsat til 455 mio. EUR, og at der er afsat 77,67 mio. EUR for 2027; understreger, at disse omkostninger ikke er medtaget i budgettet for 2027; </w:t>
      </w:r>
      <w:bookmarkStart w:id="8" w:name="_Hlk227680019"/>
      <w:r w:rsidR="00394979" w:rsidRPr="002B064B">
        <w:rPr>
          <w:color w:val="000000"/>
        </w:rPr>
        <w:t>understreger behovet for at sikre en streng omkostningskontrol, gennemsigtighed og overholdelse af det planlagte budget;</w:t>
      </w:r>
      <w:r w:rsidR="00394979" w:rsidRPr="002B064B">
        <w:rPr>
          <w:b/>
          <w:i/>
          <w:color w:val="000000"/>
        </w:rPr>
        <w:t xml:space="preserve"> </w:t>
      </w:r>
      <w:bookmarkEnd w:id="8"/>
    </w:p>
    <w:p w14:paraId="621D53DA" w14:textId="2180D541" w:rsidR="00394979" w:rsidRPr="002B064B" w:rsidRDefault="00C9465A" w:rsidP="00394979">
      <w:pPr>
        <w:pStyle w:val="action0"/>
        <w:ind w:left="567" w:hanging="567"/>
        <w:rPr>
          <w:color w:val="000000"/>
        </w:rPr>
      </w:pPr>
      <w:r w:rsidRPr="002B064B">
        <w:rPr>
          <w:color w:val="000000"/>
        </w:rPr>
        <w:t>18</w:t>
      </w:r>
      <w:r w:rsidR="00394979" w:rsidRPr="002B064B">
        <w:rPr>
          <w:color w:val="000000"/>
        </w:rPr>
        <w:t>.</w:t>
      </w:r>
      <w:r w:rsidR="00394979" w:rsidRPr="002B064B">
        <w:rPr>
          <w:color w:val="000000"/>
        </w:rPr>
        <w:tab/>
        <w:t>noterer sig, at Parlamentet har til hensigt at optage lån, bl.a. hos Den Europæiske Investeringsbank, til finansiering af SPAAK-renoveringsprojektet; noterer sig, at omkostningerne i forbindelse med renter (3,17 mio. EUR) og tilbagebetaling af kapital (0,65 mio. EUR) er medtaget i budgettet for 2027; opfordrer indtrængende til, at omkostninger, der ikke er direkte forbundet med renoveringsarbejdet, også bør opføres klart og budgetteres; opfordrer administrationen til at holde Budgetudvalget nøje underrettet om de gældende rentesatser for lånene og den langsigtede planlægning af tilbagebetalingen af hovedstolen; understreger, at det er nødvendigt at sikre en forsigtig gældsforvaltning;</w:t>
      </w:r>
    </w:p>
    <w:p w14:paraId="1A26CFA1" w14:textId="6681D648" w:rsidR="00394979" w:rsidRPr="002B064B" w:rsidRDefault="00C9465A" w:rsidP="00394979">
      <w:pPr>
        <w:pStyle w:val="action0"/>
        <w:ind w:left="567" w:hanging="567"/>
        <w:rPr>
          <w:b/>
          <w:bCs/>
          <w:i/>
          <w:iCs/>
          <w:color w:val="000000"/>
        </w:rPr>
      </w:pPr>
      <w:r w:rsidRPr="002B064B">
        <w:rPr>
          <w:color w:val="000000"/>
        </w:rPr>
        <w:t>19</w:t>
      </w:r>
      <w:r w:rsidR="00394979" w:rsidRPr="002B064B">
        <w:rPr>
          <w:color w:val="000000"/>
        </w:rPr>
        <w:t>.</w:t>
      </w:r>
      <w:r w:rsidR="00394979" w:rsidRPr="002B064B">
        <w:rPr>
          <w:color w:val="000000"/>
        </w:rPr>
        <w:tab/>
        <w:t xml:space="preserve">beklager forsinkelserne i oprettelsen af Europa </w:t>
      </w:r>
      <w:proofErr w:type="spellStart"/>
      <w:r w:rsidR="00394979" w:rsidRPr="002B064B">
        <w:rPr>
          <w:color w:val="000000"/>
        </w:rPr>
        <w:t>Experience</w:t>
      </w:r>
      <w:proofErr w:type="spellEnd"/>
      <w:r w:rsidR="00394979" w:rsidRPr="002B064B">
        <w:rPr>
          <w:color w:val="000000"/>
        </w:rPr>
        <w:t xml:space="preserve">-centre i alle medlemsstater; glæder sig over det nye koncept, som Præsidiet godkendte den 31. marts 2025, om at optimere anvendelsen af Europa </w:t>
      </w:r>
      <w:proofErr w:type="spellStart"/>
      <w:r w:rsidR="00394979" w:rsidRPr="002B064B">
        <w:rPr>
          <w:color w:val="000000"/>
        </w:rPr>
        <w:t>Experience</w:t>
      </w:r>
      <w:proofErr w:type="spellEnd"/>
      <w:r w:rsidR="00394979" w:rsidRPr="002B064B">
        <w:rPr>
          <w:color w:val="000000"/>
        </w:rPr>
        <w:t xml:space="preserve">-områderne under hensyntagen til de forskellige forhold i medlemsstaterne; understreger, at det er vigtigt at sikre, at Europa </w:t>
      </w:r>
      <w:proofErr w:type="spellStart"/>
      <w:r w:rsidR="00394979" w:rsidRPr="002B064B">
        <w:rPr>
          <w:color w:val="000000"/>
        </w:rPr>
        <w:t>Experience</w:t>
      </w:r>
      <w:proofErr w:type="spellEnd"/>
      <w:r w:rsidR="00394979" w:rsidRPr="002B064B">
        <w:rPr>
          <w:color w:val="000000"/>
        </w:rPr>
        <w:t xml:space="preserve"> tilbyder en engagerende besøgsoplevelse for at tiltrække borgere; opfordrer til, at der først og fremmest oprettes Europa </w:t>
      </w:r>
      <w:proofErr w:type="spellStart"/>
      <w:r w:rsidR="00394979" w:rsidRPr="002B064B">
        <w:rPr>
          <w:color w:val="000000"/>
        </w:rPr>
        <w:t>Experience</w:t>
      </w:r>
      <w:proofErr w:type="spellEnd"/>
      <w:r w:rsidR="00394979" w:rsidRPr="002B064B">
        <w:rPr>
          <w:color w:val="000000"/>
        </w:rPr>
        <w:t>-centre i de medlemsstater, der befinder sig længst væk fra de tre arbejdssteder, samtidig med at det sikres, at deres udvikling og drift forbliver omkostningseffektiv; minder om, at Europa </w:t>
      </w:r>
      <w:proofErr w:type="spellStart"/>
      <w:r w:rsidR="00394979" w:rsidRPr="002B064B">
        <w:rPr>
          <w:color w:val="000000"/>
        </w:rPr>
        <w:t>Experience</w:t>
      </w:r>
      <w:proofErr w:type="spellEnd"/>
      <w:r w:rsidR="00394979" w:rsidRPr="002B064B">
        <w:rPr>
          <w:color w:val="000000"/>
        </w:rPr>
        <w:t xml:space="preserve">-centrene bør gøre det muligt for alle borgere at få en bedre forståelse af, hvordan EU-institutionerne fungerer, og af vores fælles værdier; understreger behovet for en effektiv </w:t>
      </w:r>
      <w:r w:rsidR="00394979" w:rsidRPr="002B064B">
        <w:rPr>
          <w:color w:val="000000"/>
        </w:rPr>
        <w:lastRenderedPageBreak/>
        <w:t>anvendelse af de budgetbevillinger, der er afsat til disse centre, for at sikre, at de leverer kommunikation med stor gennemslagskraft og gennemfører opsøgende arbejde over for især unge og sårbare grupper; understreger, at finansiering bør prioritere formidling af faktuelle og tilgængelige oplysninger om de lokale virkninger af EU-politikker, der udgør et omkostningseffektivt redskab til at beskytte Unionens demokratiske integritet mod desinformation;</w:t>
      </w:r>
    </w:p>
    <w:p w14:paraId="5DF80983" w14:textId="1E0686CA" w:rsidR="00394979" w:rsidRPr="002B064B" w:rsidRDefault="00C9465A" w:rsidP="00394979">
      <w:pPr>
        <w:pStyle w:val="action0"/>
        <w:ind w:left="567" w:hanging="567"/>
        <w:rPr>
          <w:bCs/>
          <w:iCs/>
          <w:color w:val="000000"/>
        </w:rPr>
      </w:pPr>
      <w:r w:rsidRPr="002B064B">
        <w:rPr>
          <w:color w:val="000000"/>
        </w:rPr>
        <w:t>20</w:t>
      </w:r>
      <w:r w:rsidR="00394979" w:rsidRPr="002B064B">
        <w:rPr>
          <w:color w:val="000000"/>
        </w:rPr>
        <w:t>.</w:t>
      </w:r>
      <w:r w:rsidR="00394979" w:rsidRPr="002B064B">
        <w:rPr>
          <w:color w:val="000000"/>
        </w:rPr>
        <w:tab/>
        <w:t xml:space="preserve">minder om vigtigheden af Programmet Europa-Parlamentets Ambassadørskole med hensyn til at fremme aktivt engagement blandt unge europæere og af uddannelsesprogrammet for unge journalister, der er navngivet til ære for David </w:t>
      </w:r>
      <w:proofErr w:type="spellStart"/>
      <w:r w:rsidR="00394979" w:rsidRPr="002B064B">
        <w:rPr>
          <w:color w:val="000000"/>
        </w:rPr>
        <w:t>Sassoli</w:t>
      </w:r>
      <w:proofErr w:type="spellEnd"/>
      <w:r w:rsidR="00394979" w:rsidRPr="002B064B">
        <w:rPr>
          <w:color w:val="000000"/>
        </w:rPr>
        <w:t>, med hensyn til at styrke forståelsen af Unionen og dens funktion blandt journalister som den bedste modgift mod desinformation i lyset af de seneste tendenser, der viser et foruroligende fald i mediefriheden og -uafhængigheden i hele Unionen;</w:t>
      </w:r>
    </w:p>
    <w:p w14:paraId="0F91BF02" w14:textId="7B6DA5CE" w:rsidR="00394979" w:rsidRPr="002B064B" w:rsidRDefault="00C9465A" w:rsidP="00394979">
      <w:pPr>
        <w:pStyle w:val="action0"/>
        <w:ind w:left="567" w:hanging="567"/>
        <w:rPr>
          <w:bCs/>
          <w:iCs/>
          <w:color w:val="000000"/>
        </w:rPr>
      </w:pPr>
      <w:r w:rsidRPr="002B064B">
        <w:rPr>
          <w:color w:val="000000"/>
        </w:rPr>
        <w:t>21</w:t>
      </w:r>
      <w:r w:rsidR="00394979" w:rsidRPr="002B064B">
        <w:rPr>
          <w:color w:val="000000"/>
        </w:rPr>
        <w:t>.</w:t>
      </w:r>
      <w:r w:rsidR="00394979" w:rsidRPr="002B064B">
        <w:rPr>
          <w:color w:val="000000"/>
        </w:rPr>
        <w:tab/>
        <w:t>gentager sin støtte til opførelsen af et paneuropæisk mindesmærke i Bruxelles for ofrene for det 20. århundredes totalitære regimer, der afspejler mangfoldigheden af de historiske erfaringer; opfordrer Præsidiet til at overveje dette spørgsmål med henblik på at vedtage en afgørelse under behørig hensyntagen til de budgetmæssige begrænsninger i de sidste år af den nuværende FFR og de økonomiske vanskeligheder, som de europæiske borgere står over for;</w:t>
      </w:r>
    </w:p>
    <w:p w14:paraId="65597017" w14:textId="387ED968" w:rsidR="00394979" w:rsidRPr="002B064B" w:rsidRDefault="00C9465A" w:rsidP="00394979">
      <w:pPr>
        <w:pStyle w:val="action0"/>
        <w:ind w:left="567" w:hanging="567"/>
        <w:rPr>
          <w:bCs/>
          <w:iCs/>
          <w:color w:val="000000"/>
        </w:rPr>
      </w:pPr>
      <w:r w:rsidRPr="002B064B">
        <w:rPr>
          <w:color w:val="000000"/>
        </w:rPr>
        <w:t>22</w:t>
      </w:r>
      <w:r w:rsidR="00394979" w:rsidRPr="002B064B">
        <w:rPr>
          <w:color w:val="000000"/>
        </w:rPr>
        <w:t>.</w:t>
      </w:r>
      <w:r w:rsidR="00394979" w:rsidRPr="002B064B">
        <w:rPr>
          <w:color w:val="000000"/>
        </w:rPr>
        <w:tab/>
        <w:t>understreger, at Parlamentets økonomiske og miljømæssige omkostninger kan reduceres, hvis det kun havde ét enkelt hjemsted; minder om, at Parlamentet i henhold til traktaten om Den Europæiske Union skal have sit hjemsted i Strasbourg; bemærker, at permanente ændringer vil kræve en traktatændring, hvilket kræver enstemmighed</w:t>
      </w:r>
    </w:p>
    <w:p w14:paraId="332DFD52" w14:textId="77777777" w:rsidR="00394979" w:rsidRPr="002B064B" w:rsidRDefault="00394979" w:rsidP="00394979">
      <w:pPr>
        <w:pStyle w:val="action0"/>
        <w:ind w:left="0" w:firstLine="0"/>
        <w:rPr>
          <w:b/>
          <w:i/>
          <w:color w:val="000000"/>
        </w:rPr>
      </w:pPr>
      <w:r w:rsidRPr="002B064B">
        <w:rPr>
          <w:b/>
          <w:i/>
          <w:color w:val="000000"/>
        </w:rPr>
        <w:t xml:space="preserve">Et grønt Parlament </w:t>
      </w:r>
    </w:p>
    <w:p w14:paraId="065BF9E6" w14:textId="75673123" w:rsidR="00394979" w:rsidRPr="002B064B" w:rsidRDefault="00C9465A" w:rsidP="00394979">
      <w:pPr>
        <w:widowControl/>
        <w:spacing w:after="240"/>
        <w:ind w:left="567" w:hanging="567"/>
        <w:rPr>
          <w:color w:val="000000"/>
        </w:rPr>
      </w:pPr>
      <w:r w:rsidRPr="002B064B">
        <w:rPr>
          <w:color w:val="000000"/>
        </w:rPr>
        <w:t>23</w:t>
      </w:r>
      <w:r w:rsidR="00394979" w:rsidRPr="002B064B">
        <w:rPr>
          <w:color w:val="000000"/>
        </w:rPr>
        <w:t>.</w:t>
      </w:r>
      <w:r w:rsidR="00394979" w:rsidRPr="002B064B">
        <w:rPr>
          <w:color w:val="000000"/>
        </w:rPr>
        <w:tab/>
        <w:t>glæder sig over Europa-Parlamentets miljøledelsessystemmål (EMAS) for perioden 2025-2029; glæder sig over investeringerne i infrastruktur som led i de planlagte energieffektivitetsforanstaltninger og miljømæssige renoveringsforanstaltninger, der er planlagt mellem 2025 og 2029, hvilket er en god metode til at opnå valuta for pengene; noterer sig budgettet på 8,97 mio. EUR til investeringer i energieffektivitet og miljø i overslagene for 2027, der tager sigte på at forbedre miljøpræstationerne i dets bygninger yderligere; bemærker, at dette svarer til en stigning på 6,1 % i forhold til 2026-budgettet; glæder sig over, at Parlamentet har installeret og fortsætter med at installere solcellepaneler for yderligere at øge andelen af vedvarende energi produceret på stedet; understreger behovet for at sikre, at sådanne investeringer giver målbare effektivitetsgevinster, også i betragtning af den geopolitiske kontekst og for at opnå langsigtede omkostningsbesparelser;</w:t>
      </w:r>
    </w:p>
    <w:p w14:paraId="118EAE7F" w14:textId="12D4FB10" w:rsidR="00394979" w:rsidRPr="002B064B" w:rsidRDefault="00C9465A" w:rsidP="00394979">
      <w:pPr>
        <w:widowControl/>
        <w:spacing w:after="240"/>
        <w:ind w:left="567" w:hanging="567"/>
        <w:rPr>
          <w:bCs/>
          <w:iCs/>
          <w:color w:val="000000"/>
        </w:rPr>
      </w:pPr>
      <w:r w:rsidRPr="002B064B">
        <w:rPr>
          <w:color w:val="000000"/>
        </w:rPr>
        <w:t>24</w:t>
      </w:r>
      <w:r w:rsidR="00394979" w:rsidRPr="002B064B">
        <w:rPr>
          <w:color w:val="000000"/>
        </w:rPr>
        <w:t>.</w:t>
      </w:r>
      <w:r w:rsidR="00394979" w:rsidRPr="002B064B">
        <w:rPr>
          <w:color w:val="000000"/>
        </w:rPr>
        <w:tab/>
        <w:t>minder om, at næsten to tredjedele af Parlamentets CO</w:t>
      </w:r>
      <w:r w:rsidR="00394979" w:rsidRPr="002B064B">
        <w:rPr>
          <w:color w:val="000000"/>
          <w:vertAlign w:val="subscript"/>
        </w:rPr>
        <w:t>2</w:t>
      </w:r>
      <w:r w:rsidR="00394979" w:rsidRPr="002B064B">
        <w:rPr>
          <w:color w:val="000000"/>
        </w:rPr>
        <w:t>-aftryk stammer fra personbefordring; bemærker, at en betydelig del af Parlamentets budget, 162,1 mio. EUR i 2027, bruges til at dække medlemmernes og personalets udgifter til tjenesterejser; opfordrer Parlamentets organer til at overveje praksis for tjenesterejser uden for de tre arbejdssteder og til at revidere regler og praksis for tjenesterejser med det overordnede mål at reducere antallet af tjenesterejser og de dermed forbundne økonomiske og miljømæssige omkostninger; opfordrer medlemmerne til at anvende lavemissionstransportalternativer og de økonomisk mest fordelagtige flymuligheder;</w:t>
      </w:r>
    </w:p>
    <w:p w14:paraId="29C8EB9F" w14:textId="0FB0454B" w:rsidR="00394979" w:rsidRPr="002B064B" w:rsidRDefault="00C9465A" w:rsidP="00394979">
      <w:pPr>
        <w:widowControl/>
        <w:spacing w:after="240"/>
        <w:ind w:left="567" w:hanging="567"/>
        <w:rPr>
          <w:bCs/>
          <w:iCs/>
          <w:color w:val="000000"/>
        </w:rPr>
      </w:pPr>
      <w:r w:rsidRPr="002B064B">
        <w:rPr>
          <w:color w:val="000000"/>
        </w:rPr>
        <w:t>25</w:t>
      </w:r>
      <w:r w:rsidR="00394979" w:rsidRPr="002B064B">
        <w:rPr>
          <w:color w:val="000000"/>
        </w:rPr>
        <w:t>.</w:t>
      </w:r>
      <w:r w:rsidR="00394979" w:rsidRPr="002B064B">
        <w:rPr>
          <w:color w:val="000000"/>
        </w:rPr>
        <w:tab/>
        <w:t xml:space="preserve">glæder sig over den øgede brug af offentlig transport til pendling og noterer sig samtidig den øgede efterspørgsel efter det finansielle tilskudssystem for abonnementskort til </w:t>
      </w:r>
      <w:r w:rsidR="00394979" w:rsidRPr="002B064B">
        <w:rPr>
          <w:color w:val="000000"/>
        </w:rPr>
        <w:lastRenderedPageBreak/>
        <w:t>offentlig transport, især i Bruxelles, hvilket fører til en stigning i bevillingerne; mener, at Parlamentet skal gå foran med et godt eksempel ved at tilskynde til mulige foranstaltninger til at sikre en effektiv anvendelse af ressourcerne ved at fremme bæredygtige transportformer til pendling og skabe yderligere incitamenter til cykelpendling;</w:t>
      </w:r>
    </w:p>
    <w:p w14:paraId="1C03F00E" w14:textId="785F15B9" w:rsidR="00394979" w:rsidRPr="002B064B" w:rsidRDefault="00C9465A" w:rsidP="00394979">
      <w:pPr>
        <w:widowControl/>
        <w:spacing w:after="240"/>
        <w:ind w:left="567" w:hanging="567"/>
        <w:rPr>
          <w:color w:val="000000"/>
        </w:rPr>
      </w:pPr>
      <w:r w:rsidRPr="002B064B">
        <w:rPr>
          <w:color w:val="000000"/>
        </w:rPr>
        <w:t>26</w:t>
      </w:r>
      <w:r w:rsidR="00394979" w:rsidRPr="002B064B">
        <w:rPr>
          <w:color w:val="000000"/>
        </w:rPr>
        <w:t>.</w:t>
      </w:r>
      <w:r w:rsidR="00394979" w:rsidRPr="002B064B">
        <w:rPr>
          <w:color w:val="000000"/>
        </w:rPr>
        <w:tab/>
        <w:t>noterer sig de betydelige stigninger i priserne på emissionskreditter, som med de nuværende emissionsniveauer ville kræve et anslået beløb på 950 000 EUR for 2027; opfordrer administrationen til at prioritere at reducere Parlamentets emissioner, bl.a. gennem øgede investeringer i rene opvarmnings-, ventilations- og klimaanlæg, navnlig varmepumpeanlæg i Bruxelles, og andre forholdsmæssige og omkostningseffektive foranstaltninger til at reducere emissionerne, hvor det er rimeligt, frem for at købe CO</w:t>
      </w:r>
      <w:r w:rsidR="00394979" w:rsidRPr="002B064B">
        <w:rPr>
          <w:color w:val="000000"/>
          <w:vertAlign w:val="subscript"/>
        </w:rPr>
        <w:t>2</w:t>
      </w:r>
      <w:r w:rsidR="00394979" w:rsidRPr="002B064B">
        <w:rPr>
          <w:color w:val="000000"/>
        </w:rPr>
        <w:t>-kreditter; glæder sig over den forbedrede mulighed for togbefordring i forbindelse med tjenesterejser til Strasbourg fra juni 2025 og anser dette for at være et positivt skridt i retning af at reducere CO</w:t>
      </w:r>
      <w:r w:rsidR="00394979" w:rsidRPr="002B064B">
        <w:rPr>
          <w:color w:val="000000"/>
          <w:vertAlign w:val="subscript"/>
        </w:rPr>
        <w:t>2</w:t>
      </w:r>
      <w:r w:rsidR="00394979" w:rsidRPr="002B064B">
        <w:rPr>
          <w:color w:val="000000"/>
        </w:rPr>
        <w:t xml:space="preserve">-emissionerne; </w:t>
      </w:r>
    </w:p>
    <w:p w14:paraId="5E1D12E4" w14:textId="77777777" w:rsidR="00394979" w:rsidRPr="002B064B" w:rsidRDefault="00394979" w:rsidP="00394979">
      <w:pPr>
        <w:pStyle w:val="action0"/>
        <w:ind w:left="0" w:firstLine="0"/>
        <w:rPr>
          <w:b/>
          <w:i/>
          <w:color w:val="000000"/>
        </w:rPr>
      </w:pPr>
      <w:r w:rsidRPr="002B064B">
        <w:rPr>
          <w:b/>
          <w:i/>
          <w:color w:val="000000"/>
        </w:rPr>
        <w:t>Andet</w:t>
      </w:r>
    </w:p>
    <w:p w14:paraId="1C6A8B73" w14:textId="72D16559" w:rsidR="00394979" w:rsidRPr="002B064B" w:rsidRDefault="00C9465A" w:rsidP="00394979">
      <w:pPr>
        <w:pStyle w:val="action0"/>
        <w:ind w:left="567" w:hanging="567"/>
        <w:rPr>
          <w:bCs/>
          <w:iCs/>
          <w:color w:val="000000"/>
        </w:rPr>
      </w:pPr>
      <w:r w:rsidRPr="002B064B">
        <w:rPr>
          <w:color w:val="000000"/>
        </w:rPr>
        <w:t>27</w:t>
      </w:r>
      <w:r w:rsidR="00394979" w:rsidRPr="002B064B">
        <w:rPr>
          <w:color w:val="000000"/>
        </w:rPr>
        <w:t>.</w:t>
      </w:r>
      <w:r w:rsidR="00394979" w:rsidRPr="002B064B">
        <w:rPr>
          <w:color w:val="000000"/>
        </w:rPr>
        <w:tab/>
        <w:t>opfordrer Formandskonferencen til straks at fremlægge en afgørelse vedrørende de relevante artikler i de interne regler for akkrediterede parlamentariske assistenters mulighed for at ledsage medlemmer i forbindelse med officielle tjenesterejser og delegationer uden for Europa-Parlamentets tre arbejdssteder, når der ikke er blevet givet meddelelse om nogen medarbejdere fra deres politiske gruppe, der er repræsenteret på rejsen, til Parlamentets Generalsekretariat;</w:t>
      </w:r>
    </w:p>
    <w:p w14:paraId="3E746D5B" w14:textId="6629ED02" w:rsidR="00394979" w:rsidRPr="002B064B" w:rsidRDefault="00C9465A" w:rsidP="00394979">
      <w:pPr>
        <w:spacing w:after="240"/>
        <w:ind w:left="567" w:hanging="567"/>
        <w:rPr>
          <w:b/>
          <w:i/>
          <w:color w:val="000000"/>
        </w:rPr>
      </w:pPr>
      <w:r w:rsidRPr="002B064B">
        <w:rPr>
          <w:color w:val="000000"/>
        </w:rPr>
        <w:t>28</w:t>
      </w:r>
      <w:r w:rsidR="00394979" w:rsidRPr="002B064B">
        <w:rPr>
          <w:color w:val="000000"/>
        </w:rPr>
        <w:t>.</w:t>
      </w:r>
      <w:r w:rsidR="00394979" w:rsidRPr="002B064B">
        <w:rPr>
          <w:color w:val="000000"/>
        </w:rPr>
        <w:tab/>
        <w:t>mener, at Parlamentet bør gå foran med et godt eksempel hvad angår rettigheder for personer med handicap, både som arbejdsgiver og som offentlig institution; glæder sig over Parlamentets politik til at ville sikre, at personer med handicap kan anvende Parlamentets bygninger fuldstændig uafhængigt, og støtter yderligere foranstaltninger og tilpasninger, der er nødvendige i den henseende; bemærker, at der på budgettet er afsat 2,07 mio. EUR til dette formål til dets bygninger i Strasbourg; understreger, at tilgængelighed bør være et centralt kriterium i renoveringen af SPAAK-Bygningen og udviklingen af alle digitale platforme;</w:t>
      </w:r>
      <w:r w:rsidR="00394979" w:rsidRPr="002B064B">
        <w:rPr>
          <w:b/>
          <w:i/>
          <w:color w:val="000000"/>
        </w:rPr>
        <w:t xml:space="preserve"> </w:t>
      </w:r>
    </w:p>
    <w:p w14:paraId="6A0383C0" w14:textId="74B658F3" w:rsidR="00041147" w:rsidRPr="002B064B" w:rsidRDefault="00041147" w:rsidP="00394979">
      <w:pPr>
        <w:spacing w:after="240"/>
        <w:ind w:left="567" w:hanging="567"/>
        <w:rPr>
          <w:color w:val="000000"/>
        </w:rPr>
      </w:pPr>
      <w:r w:rsidRPr="002B064B">
        <w:rPr>
          <w:color w:val="000000"/>
        </w:rPr>
        <w:t>29.</w:t>
      </w:r>
      <w:r w:rsidRPr="002B064B">
        <w:rPr>
          <w:color w:val="000000"/>
        </w:rPr>
        <w:tab/>
        <w:t xml:space="preserve">glæder sig over de seneste initiativer, som Formandskonferencen og Præsidiet har godkendt, om at give medlemmer i den </w:t>
      </w:r>
      <w:proofErr w:type="spellStart"/>
      <w:r w:rsidRPr="002B064B">
        <w:rPr>
          <w:color w:val="000000"/>
        </w:rPr>
        <w:t>perinatale</w:t>
      </w:r>
      <w:proofErr w:type="spellEnd"/>
      <w:r w:rsidRPr="002B064B">
        <w:rPr>
          <w:color w:val="000000"/>
        </w:rPr>
        <w:t xml:space="preserve"> periode mulighed for at afgive stemme ved fuldmagt, og anerkender dette som et positivt skridt i retning af større inklusion i det parlamentariske arbejde og opfordrer alle parter til hurtigt at gennemføre foranstaltningerne; fastholder imidlertid, at denne foranstaltning ikke slår til med hensyn til Parlamentets gentagne opfordringer til at sikre stemmerettigheder ikke blot for medlemmer, der befinder sig i den </w:t>
      </w:r>
      <w:proofErr w:type="spellStart"/>
      <w:r w:rsidRPr="002B064B">
        <w:rPr>
          <w:color w:val="000000"/>
        </w:rPr>
        <w:t>perinatale</w:t>
      </w:r>
      <w:proofErr w:type="spellEnd"/>
      <w:r w:rsidRPr="002B064B">
        <w:rPr>
          <w:color w:val="000000"/>
        </w:rPr>
        <w:t xml:space="preserve"> periode, men også for medlemmer, der er på forældreorlov eller fædreorlov, eller som er langtidssygemeldt med lægeerklæring;</w:t>
      </w:r>
    </w:p>
    <w:p w14:paraId="139406D7" w14:textId="63400F04" w:rsidR="00394979" w:rsidRPr="002B064B" w:rsidRDefault="00041147" w:rsidP="00394979">
      <w:pPr>
        <w:spacing w:after="240"/>
        <w:ind w:left="567" w:hanging="567"/>
        <w:rPr>
          <w:color w:val="000000"/>
        </w:rPr>
      </w:pPr>
      <w:r w:rsidRPr="002B064B">
        <w:rPr>
          <w:color w:val="000000"/>
        </w:rPr>
        <w:t>30</w:t>
      </w:r>
      <w:r w:rsidR="00394979" w:rsidRPr="002B064B">
        <w:rPr>
          <w:color w:val="000000"/>
        </w:rPr>
        <w:t>.</w:t>
      </w:r>
      <w:r w:rsidR="00394979" w:rsidRPr="002B064B">
        <w:rPr>
          <w:color w:val="000000"/>
        </w:rPr>
        <w:tab/>
      </w:r>
      <w:r w:rsidR="00D521CA" w:rsidRPr="002B064B">
        <w:t xml:space="preserve">udtrykker bekymring over, at kvaliteten og kontinuiteten af de tjenester, der leveres af Parlamentets </w:t>
      </w:r>
      <w:proofErr w:type="spellStart"/>
      <w:r w:rsidR="00D521CA" w:rsidRPr="002B064B">
        <w:t>Wayenberg</w:t>
      </w:r>
      <w:proofErr w:type="spellEnd"/>
      <w:r w:rsidR="00D521CA" w:rsidRPr="002B064B">
        <w:t xml:space="preserve">-vuggestue, har været påvirket af hyppige skift af tjenesteudbydere siden 2020 sammen med udfordringer i forbindelse med personalemangel, højt personalefravær og personaleudskiftning i vuggestuen; noterer sig tildelingen af den nuværende kontrakt om Parlamentets børnepasningstilbud i Bruxelles til en ny virksomhed, der blev oprettet kort efter offentliggørelsen af udbuddet, og som angiveligt er knyttet til den tidligere udbyder, </w:t>
      </w:r>
      <w:proofErr w:type="spellStart"/>
      <w:r w:rsidR="00D521CA" w:rsidRPr="002B064B">
        <w:t>Esedra</w:t>
      </w:r>
      <w:proofErr w:type="spellEnd"/>
      <w:r w:rsidR="00D521CA" w:rsidRPr="002B064B">
        <w:t xml:space="preserve">; minder om Parlamentets førtidige opsigelse af kontrakten med </w:t>
      </w:r>
      <w:proofErr w:type="spellStart"/>
      <w:r w:rsidR="00D521CA" w:rsidRPr="002B064B">
        <w:t>Esedra</w:t>
      </w:r>
      <w:proofErr w:type="spellEnd"/>
      <w:r w:rsidR="00D521CA" w:rsidRPr="002B064B">
        <w:t xml:space="preserve">, den tidligere tjenesteleverandør, der stod for driften af </w:t>
      </w:r>
      <w:proofErr w:type="spellStart"/>
      <w:r w:rsidR="00D521CA" w:rsidRPr="002B064B">
        <w:t>Wayenberg</w:t>
      </w:r>
      <w:proofErr w:type="spellEnd"/>
      <w:r w:rsidR="00D521CA" w:rsidRPr="002B064B">
        <w:t xml:space="preserve">-vuggestuen, efter en række </w:t>
      </w:r>
      <w:r w:rsidR="00D521CA" w:rsidRPr="002B064B">
        <w:lastRenderedPageBreak/>
        <w:t>alvorlige beskyldninger mod denne kontrahent; gentager, at anstændige arbejdsvilkår for og tilstrækkelig løn til eksternt personale, inklusive uddannelse, kompetenceudvikling, foranstaltninger til bekæmpelse af vold og chikane, en meningsfuld social dialog og investeringer i personalets trivsel, principielt bør prioriteres, hvor det er relevant, i forbindelse med Parlamentets offentlige udbud; opfordrer til, at der gennemføres en uafhængig ekstern revision af udbudsproceduren og gennemførelsen af den nuværende kontrakt, herunder en uafhængig ekstern vurdering af arbejdsvilkårene og personalets trivsel;</w:t>
      </w:r>
    </w:p>
    <w:p w14:paraId="30D72439" w14:textId="2B8CEB64" w:rsidR="00394979" w:rsidRPr="002B064B" w:rsidRDefault="00041147" w:rsidP="00394979">
      <w:pPr>
        <w:spacing w:after="240"/>
        <w:ind w:left="567" w:hanging="567"/>
        <w:rPr>
          <w:bCs/>
          <w:iCs/>
          <w:color w:val="000000"/>
        </w:rPr>
      </w:pPr>
      <w:r w:rsidRPr="002B064B">
        <w:rPr>
          <w:color w:val="000000"/>
        </w:rPr>
        <w:t>31</w:t>
      </w:r>
      <w:r w:rsidR="00394979" w:rsidRPr="002B064B">
        <w:rPr>
          <w:color w:val="000000"/>
        </w:rPr>
        <w:t>.</w:t>
      </w:r>
      <w:r w:rsidR="00394979" w:rsidRPr="002B064B">
        <w:rPr>
          <w:color w:val="000000"/>
        </w:rPr>
        <w:tab/>
        <w:t>glæder sig over familielokalet i Strasbourg som en værdifuld støtte til medlemmer og personale med små børn under deres parlamentariske virksomhed; bemærker imidlertid, at dens modtagekapacitet er begrænset til 30 børn; bemærker, at gennemsnitsalderen for medlemmer af Europa-Parlamentet og Parlamentets personale er faldet i de seneste år, hvilket har ført til et større antal unge familier og en øget efterspørgsel efter børnepasningsfaciliteter; opfordrer Præsidiet og generalsekretæren til at finde og gennemføre løsninger med henblik på yderligere at forbedre børnepasningen i Strasbourg;</w:t>
      </w:r>
    </w:p>
    <w:p w14:paraId="48956870" w14:textId="582F141F" w:rsidR="00394979" w:rsidRPr="002B064B" w:rsidRDefault="00041147" w:rsidP="00394979">
      <w:pPr>
        <w:spacing w:after="240"/>
        <w:ind w:left="567" w:hanging="567"/>
        <w:rPr>
          <w:color w:val="000000"/>
        </w:rPr>
      </w:pPr>
      <w:r w:rsidRPr="002B064B">
        <w:rPr>
          <w:color w:val="000000"/>
        </w:rPr>
        <w:t>32</w:t>
      </w:r>
      <w:r w:rsidR="00394979" w:rsidRPr="002B064B">
        <w:rPr>
          <w:color w:val="000000"/>
        </w:rPr>
        <w:t>.</w:t>
      </w:r>
      <w:r w:rsidR="00394979" w:rsidRPr="002B064B">
        <w:rPr>
          <w:color w:val="000000"/>
        </w:rPr>
        <w:tab/>
        <w:t xml:space="preserve">gentager sin opfordring til generalsekretæren om at understrege det grundlæggende princip om, at al ansættelse bør baseres på kompetence, samtidig med at der sikres geografisk balance mellem alle medlemsstater på alle personaleniveauer; understreger, at opnåelse af en retfærdig geografisk repræsentation på alle administrationsniveauer, også under hensyntagen til alder og køn, er afgørende for at fremme en ægte europæisk offentlig tjeneste; bemærker, at Parlamentet har truffet foranstaltninger til støtte for dette mål, herunder tilrettelæggelsen af nationalitetsspecifikke udvælgelsesprøver; fremhæver, at det er nødvendigt at fremskynde udvælgelsesprocesserne, samtidig med at der opretholdes en streng meritbaseret udvælgelsestilgang; </w:t>
      </w:r>
    </w:p>
    <w:p w14:paraId="26D46057" w14:textId="2123DD54" w:rsidR="00394979" w:rsidRPr="002B064B" w:rsidRDefault="00041147" w:rsidP="00394979">
      <w:pPr>
        <w:spacing w:after="240"/>
        <w:ind w:left="567" w:hanging="567"/>
        <w:rPr>
          <w:color w:val="000000"/>
        </w:rPr>
      </w:pPr>
      <w:r w:rsidRPr="002B064B">
        <w:rPr>
          <w:color w:val="000000"/>
        </w:rPr>
        <w:t>33</w:t>
      </w:r>
      <w:r w:rsidR="00394979" w:rsidRPr="002B064B">
        <w:rPr>
          <w:color w:val="000000"/>
        </w:rPr>
        <w:t>.</w:t>
      </w:r>
      <w:r w:rsidR="00394979" w:rsidRPr="002B064B">
        <w:rPr>
          <w:color w:val="000000"/>
        </w:rPr>
        <w:tab/>
        <w:t xml:space="preserve">fremhæver, at </w:t>
      </w:r>
      <w:proofErr w:type="spellStart"/>
      <w:r w:rsidR="00394979" w:rsidRPr="002B064B">
        <w:rPr>
          <w:color w:val="000000"/>
        </w:rPr>
        <w:t>flersprogethed</w:t>
      </w:r>
      <w:proofErr w:type="spellEnd"/>
      <w:r w:rsidR="00394979" w:rsidRPr="002B064B">
        <w:rPr>
          <w:color w:val="000000"/>
        </w:rPr>
        <w:t xml:space="preserve"> er et centralt princip, hvorpå Parlamentets arbejde er baseret; anmoder om, at Parlamentet, hvor det er relevant, udnytter den store teknologiske udvikling inden for flersprogede tjenester, herunder udvikling og anvendelse af AI; </w:t>
      </w:r>
    </w:p>
    <w:p w14:paraId="3C80A04E" w14:textId="77EEA0DA" w:rsidR="00394979" w:rsidRPr="002B064B" w:rsidRDefault="00041147" w:rsidP="00394979">
      <w:pPr>
        <w:spacing w:after="240"/>
        <w:ind w:left="567" w:hanging="567"/>
        <w:rPr>
          <w:bCs/>
          <w:iCs/>
          <w:color w:val="000000"/>
        </w:rPr>
      </w:pPr>
      <w:r w:rsidRPr="002B064B">
        <w:rPr>
          <w:color w:val="000000"/>
        </w:rPr>
        <w:t>34</w:t>
      </w:r>
      <w:r w:rsidR="00394979" w:rsidRPr="002B064B">
        <w:rPr>
          <w:color w:val="000000"/>
        </w:rPr>
        <w:t>.</w:t>
      </w:r>
      <w:r w:rsidR="00394979" w:rsidRPr="002B064B">
        <w:rPr>
          <w:color w:val="000000"/>
        </w:rPr>
        <w:tab/>
        <w:t>noterer sig Den Europæiske Unions Rets dom af 17. december 2025, der bekræfter lovligheden af de foranstaltninger, som Præsidiet vedtog i 2023 vedrørende den frivillige pensionsfond for medlemmerne</w:t>
      </w:r>
      <w:r w:rsidR="00394979" w:rsidRPr="002B064B">
        <w:rPr>
          <w:rStyle w:val="FootnoteReference"/>
          <w:bCs/>
          <w:iCs/>
          <w:color w:val="000000"/>
        </w:rPr>
        <w:footnoteReference w:id="13"/>
      </w:r>
      <w:r w:rsidR="00394979" w:rsidRPr="002B064B">
        <w:rPr>
          <w:color w:val="000000"/>
        </w:rPr>
        <w:t>; fremhæver, at disse foranstaltninger ganske vist reducerede begunstigelsesforpligtelsen med 63 %, men at fonden fortsat er i en meget skrøbelig økonomisk situation; forventer at modtage en ajourføring af den videre udvikling af den frivillige pensionsordning;</w:t>
      </w:r>
    </w:p>
    <w:p w14:paraId="2D929ABE" w14:textId="189DB406" w:rsidR="00394979" w:rsidRPr="002B064B" w:rsidRDefault="00041147" w:rsidP="00394979">
      <w:pPr>
        <w:spacing w:after="240"/>
        <w:ind w:left="567" w:hanging="567"/>
        <w:rPr>
          <w:bCs/>
          <w:iCs/>
          <w:color w:val="000000"/>
        </w:rPr>
      </w:pPr>
      <w:r w:rsidRPr="002B064B">
        <w:rPr>
          <w:color w:val="000000"/>
        </w:rPr>
        <w:t>35</w:t>
      </w:r>
      <w:r w:rsidR="00394979" w:rsidRPr="002B064B">
        <w:rPr>
          <w:color w:val="000000"/>
        </w:rPr>
        <w:t>.</w:t>
      </w:r>
      <w:r w:rsidR="00394979" w:rsidRPr="002B064B">
        <w:rPr>
          <w:color w:val="000000"/>
        </w:rPr>
        <w:tab/>
        <w:t>fremhæver, at det prioriteres højt at gennemføre anmodninger, der er vedtaget af plenarforsamlingen;</w:t>
      </w:r>
    </w:p>
    <w:p w14:paraId="6C472CA9" w14:textId="75100226" w:rsidR="00394979" w:rsidRPr="002B064B" w:rsidRDefault="00041147" w:rsidP="00394979">
      <w:pPr>
        <w:spacing w:after="240"/>
        <w:ind w:left="567" w:hanging="567"/>
      </w:pPr>
      <w:r w:rsidRPr="002B064B">
        <w:t>36</w:t>
      </w:r>
      <w:r w:rsidR="00394979" w:rsidRPr="002B064B">
        <w:t>.</w:t>
      </w:r>
      <w:r w:rsidR="00394979" w:rsidRPr="002B064B">
        <w:tab/>
        <w:t>vedtager budgetoverslaget for regnskabsåret 2027;</w:t>
      </w:r>
    </w:p>
    <w:p w14:paraId="77BFDF63" w14:textId="720A2DCB" w:rsidR="00E365E1" w:rsidRPr="002B064B" w:rsidRDefault="00041147" w:rsidP="00041147">
      <w:pPr>
        <w:spacing w:after="240"/>
        <w:ind w:left="567" w:hanging="567"/>
      </w:pPr>
      <w:r w:rsidRPr="002B064B">
        <w:t>37</w:t>
      </w:r>
      <w:r w:rsidR="00394979" w:rsidRPr="002B064B">
        <w:t>.</w:t>
      </w:r>
      <w:r w:rsidR="00394979" w:rsidRPr="002B064B">
        <w:tab/>
        <w:t xml:space="preserve">pålægger sin formand at sende denne beslutning og budgetoverslaget til Rådet </w:t>
      </w:r>
      <w:r w:rsidR="009131DF" w:rsidRPr="002B064B">
        <w:t>og Kommissionen.</w:t>
      </w:r>
    </w:p>
    <w:sectPr w:rsidR="00E365E1" w:rsidRPr="002B064B" w:rsidSect="009131D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54D47D" w14:textId="77777777" w:rsidR="00F7063C" w:rsidRPr="009131DF" w:rsidRDefault="00F7063C">
      <w:r w:rsidRPr="009131DF">
        <w:separator/>
      </w:r>
    </w:p>
  </w:endnote>
  <w:endnote w:type="continuationSeparator" w:id="0">
    <w:p w14:paraId="4E705914" w14:textId="77777777" w:rsidR="00F7063C" w:rsidRPr="009131DF" w:rsidRDefault="00F7063C">
      <w:r w:rsidRPr="009131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8C147" w14:textId="77777777" w:rsidR="00F7063C" w:rsidRPr="009131DF" w:rsidRDefault="00F7063C">
      <w:r w:rsidRPr="009131DF">
        <w:separator/>
      </w:r>
    </w:p>
  </w:footnote>
  <w:footnote w:type="continuationSeparator" w:id="0">
    <w:p w14:paraId="483530CE" w14:textId="77777777" w:rsidR="00F7063C" w:rsidRPr="009131DF" w:rsidRDefault="00F7063C">
      <w:r w:rsidRPr="009131DF">
        <w:continuationSeparator/>
      </w:r>
    </w:p>
  </w:footnote>
  <w:footnote w:id="1">
    <w:p w14:paraId="06AF2B55" w14:textId="13C86FA1" w:rsidR="00394979" w:rsidRPr="00026F5D" w:rsidRDefault="00394979" w:rsidP="009131DF">
      <w:pPr>
        <w:ind w:left="567" w:hanging="567"/>
        <w:rPr>
          <w:color w:val="000000"/>
          <w:lang w:val="fi-FI"/>
        </w:rPr>
      </w:pPr>
      <w:r w:rsidRPr="009131DF">
        <w:rPr>
          <w:rStyle w:val="FootnoteReference"/>
        </w:rPr>
        <w:footnoteRef/>
      </w:r>
      <w:r w:rsidR="009131DF" w:rsidRPr="00026F5D">
        <w:rPr>
          <w:color w:val="000000"/>
          <w:lang w:val="fi-FI"/>
        </w:rPr>
        <w:t xml:space="preserve"> </w:t>
      </w:r>
      <w:r w:rsidR="009131DF" w:rsidRPr="00026F5D">
        <w:rPr>
          <w:color w:val="000000"/>
          <w:lang w:val="fi-FI"/>
        </w:rPr>
        <w:tab/>
      </w:r>
      <w:r w:rsidRPr="00026F5D">
        <w:rPr>
          <w:color w:val="000000"/>
          <w:lang w:val="fi-FI"/>
        </w:rPr>
        <w:t xml:space="preserve">EUT L, 2024/2509, 26.9.2024, ELI: </w:t>
      </w:r>
      <w:hyperlink r:id="rId1" w:history="1">
        <w:r w:rsidRPr="00026F5D">
          <w:rPr>
            <w:rStyle w:val="Hyperlink"/>
            <w:lang w:val="fi-FI"/>
          </w:rPr>
          <w:t>http://data.europa.eu/eli/reg/2024/2509/oj</w:t>
        </w:r>
      </w:hyperlink>
      <w:r w:rsidRPr="00026F5D">
        <w:rPr>
          <w:color w:val="337AB7"/>
          <w:u w:val="single"/>
          <w:lang w:val="fi-FI"/>
        </w:rPr>
        <w:t>.</w:t>
      </w:r>
    </w:p>
  </w:footnote>
  <w:footnote w:id="2">
    <w:p w14:paraId="091E232D" w14:textId="465593F1" w:rsidR="00394979" w:rsidRPr="009131DF" w:rsidRDefault="00394979" w:rsidP="009131DF">
      <w:pPr>
        <w:ind w:left="567" w:hanging="567"/>
        <w:rPr>
          <w:color w:val="000000"/>
        </w:rPr>
      </w:pPr>
      <w:r w:rsidRPr="009131DF">
        <w:rPr>
          <w:rStyle w:val="FootnoteReference"/>
        </w:rPr>
        <w:footnoteRef/>
      </w:r>
      <w:r w:rsidR="009131DF" w:rsidRPr="009131DF">
        <w:rPr>
          <w:color w:val="000000"/>
        </w:rPr>
        <w:t xml:space="preserve"> </w:t>
      </w:r>
      <w:r w:rsidR="009131DF" w:rsidRPr="009131DF">
        <w:rPr>
          <w:color w:val="000000"/>
        </w:rPr>
        <w:tab/>
      </w:r>
      <w:r w:rsidRPr="009131DF">
        <w:rPr>
          <w:color w:val="000000"/>
        </w:rPr>
        <w:t xml:space="preserve">EUT L 433 I af 22.12.2020, s. 11, ELI: </w:t>
      </w:r>
      <w:hyperlink r:id="rId2" w:history="1">
        <w:r w:rsidRPr="009131DF">
          <w:rPr>
            <w:rStyle w:val="Hyperlink"/>
          </w:rPr>
          <w:t>http://data.europa.eu/eli/reg/2020/2093/oj</w:t>
        </w:r>
      </w:hyperlink>
      <w:r w:rsidRPr="009131DF">
        <w:rPr>
          <w:color w:val="000000"/>
        </w:rPr>
        <w:t>.</w:t>
      </w:r>
    </w:p>
  </w:footnote>
  <w:footnote w:id="3">
    <w:p w14:paraId="64383586" w14:textId="51C5F0D7" w:rsidR="00394979" w:rsidRPr="009131DF" w:rsidRDefault="00394979" w:rsidP="009131DF">
      <w:pPr>
        <w:ind w:left="567" w:hanging="567"/>
        <w:rPr>
          <w:color w:val="000000"/>
        </w:rPr>
      </w:pPr>
      <w:r w:rsidRPr="009131DF">
        <w:rPr>
          <w:rStyle w:val="FootnoteReference"/>
        </w:rPr>
        <w:footnoteRef/>
      </w:r>
      <w:r w:rsidR="009131DF" w:rsidRPr="009131DF">
        <w:rPr>
          <w:color w:val="000000"/>
        </w:rPr>
        <w:t xml:space="preserve"> </w:t>
      </w:r>
      <w:r w:rsidR="009131DF" w:rsidRPr="009131DF">
        <w:rPr>
          <w:color w:val="000000"/>
        </w:rPr>
        <w:tab/>
      </w:r>
      <w:r w:rsidRPr="009131DF">
        <w:rPr>
          <w:color w:val="000000"/>
        </w:rPr>
        <w:t>EUT C 444 I af 22.12.2020, s. 4.</w:t>
      </w:r>
    </w:p>
  </w:footnote>
  <w:footnote w:id="4">
    <w:p w14:paraId="5B6A3267" w14:textId="115C5657" w:rsidR="00394979" w:rsidRPr="009131DF" w:rsidRDefault="00394979" w:rsidP="009131DF">
      <w:pPr>
        <w:ind w:left="567" w:hanging="567"/>
        <w:rPr>
          <w:color w:val="000000"/>
        </w:rPr>
      </w:pPr>
      <w:r w:rsidRPr="009131DF">
        <w:rPr>
          <w:rStyle w:val="FootnoteReference"/>
        </w:rPr>
        <w:footnoteRef/>
      </w:r>
      <w:r w:rsidR="009131DF" w:rsidRPr="009131DF">
        <w:rPr>
          <w:color w:val="000000"/>
        </w:rPr>
        <w:t xml:space="preserve"> </w:t>
      </w:r>
      <w:r w:rsidR="009131DF" w:rsidRPr="009131DF">
        <w:rPr>
          <w:color w:val="000000"/>
        </w:rPr>
        <w:tab/>
      </w:r>
      <w:r w:rsidRPr="009131DF">
        <w:rPr>
          <w:color w:val="000000"/>
        </w:rPr>
        <w:t>EUT C 445 af 29.10.2021, s. 252.</w:t>
      </w:r>
    </w:p>
  </w:footnote>
  <w:footnote w:id="5">
    <w:p w14:paraId="141C7DFA" w14:textId="3D0D7F72" w:rsidR="00394979" w:rsidRPr="009131DF" w:rsidRDefault="00394979" w:rsidP="009131DF">
      <w:pPr>
        <w:ind w:left="567" w:hanging="567"/>
      </w:pPr>
      <w:r w:rsidRPr="009131DF">
        <w:rPr>
          <w:rStyle w:val="FootnoteReference"/>
          <w:rFonts w:eastAsiaTheme="majorEastAsia"/>
        </w:rPr>
        <w:footnoteRef/>
      </w:r>
      <w:r w:rsidR="009131DF" w:rsidRPr="009131DF">
        <w:t xml:space="preserve"> </w:t>
      </w:r>
      <w:r w:rsidR="009131DF" w:rsidRPr="009131DF">
        <w:tab/>
      </w:r>
      <w:r w:rsidRPr="009131DF">
        <w:t xml:space="preserve">EUT L 325 af 20.12.2022, s. 11, ELI: </w:t>
      </w:r>
      <w:hyperlink r:id="rId3" w:history="1">
        <w:r w:rsidRPr="009131DF">
          <w:rPr>
            <w:rStyle w:val="Hyperlink"/>
          </w:rPr>
          <w:t>http://data.europa.eu/eli/reg/2022/2496/oj</w:t>
        </w:r>
      </w:hyperlink>
      <w:r w:rsidRPr="009131DF">
        <w:t>.</w:t>
      </w:r>
    </w:p>
  </w:footnote>
  <w:footnote w:id="6">
    <w:p w14:paraId="24198A28" w14:textId="0F7E25C3" w:rsidR="00394979" w:rsidRPr="00026F5D" w:rsidRDefault="00394979" w:rsidP="009131DF">
      <w:pPr>
        <w:ind w:left="567" w:hanging="567"/>
        <w:rPr>
          <w:lang w:val="fi-FI"/>
        </w:rPr>
      </w:pPr>
      <w:r w:rsidRPr="009131DF">
        <w:rPr>
          <w:rStyle w:val="FootnoteReference"/>
        </w:rPr>
        <w:footnoteRef/>
      </w:r>
      <w:r w:rsidR="009131DF" w:rsidRPr="00026F5D">
        <w:rPr>
          <w:lang w:val="fi-FI"/>
        </w:rPr>
        <w:t xml:space="preserve"> </w:t>
      </w:r>
      <w:r w:rsidR="009131DF" w:rsidRPr="00026F5D">
        <w:rPr>
          <w:lang w:val="fi-FI"/>
        </w:rPr>
        <w:tab/>
      </w:r>
      <w:r w:rsidRPr="00026F5D">
        <w:rPr>
          <w:lang w:val="fi-FI"/>
        </w:rPr>
        <w:t xml:space="preserve">EUT L, 2024/765, 29.2.2024, ELI: </w:t>
      </w:r>
      <w:hyperlink r:id="rId4" w:history="1">
        <w:r w:rsidRPr="00026F5D">
          <w:rPr>
            <w:rStyle w:val="Hyperlink"/>
            <w:lang w:val="fi-FI"/>
          </w:rPr>
          <w:t>http://data.europa.eu/eli/reg/2024/765/oj</w:t>
        </w:r>
      </w:hyperlink>
      <w:r w:rsidRPr="00026F5D">
        <w:rPr>
          <w:lang w:val="fi-FI"/>
        </w:rPr>
        <w:t>.</w:t>
      </w:r>
    </w:p>
  </w:footnote>
  <w:footnote w:id="7">
    <w:p w14:paraId="02D5EC10" w14:textId="1761AD7D" w:rsidR="00394979" w:rsidRPr="009131DF" w:rsidRDefault="00394979" w:rsidP="009131DF">
      <w:pPr>
        <w:ind w:left="567" w:hanging="567"/>
        <w:rPr>
          <w:color w:val="000000"/>
        </w:rPr>
      </w:pPr>
      <w:r w:rsidRPr="009131DF">
        <w:rPr>
          <w:rStyle w:val="FootnoteReference"/>
        </w:rPr>
        <w:footnoteRef/>
      </w:r>
      <w:r w:rsidR="009131DF" w:rsidRPr="009131DF">
        <w:rPr>
          <w:color w:val="000000"/>
        </w:rPr>
        <w:t xml:space="preserve"> </w:t>
      </w:r>
      <w:r w:rsidR="009131DF" w:rsidRPr="009131DF">
        <w:rPr>
          <w:color w:val="000000"/>
        </w:rPr>
        <w:tab/>
      </w:r>
      <w:r w:rsidRPr="009131DF">
        <w:rPr>
          <w:color w:val="000000"/>
        </w:rPr>
        <w:t xml:space="preserve">EUT L 433 I af 22.12.2020, s. 28, ELI: </w:t>
      </w:r>
      <w:hyperlink r:id="rId5" w:history="1">
        <w:r w:rsidRPr="009131DF">
          <w:rPr>
            <w:rStyle w:val="Hyperlink"/>
          </w:rPr>
          <w:t>http://data.europa.eu/eli/agree_interinstit/2020/1222/oj</w:t>
        </w:r>
      </w:hyperlink>
      <w:r w:rsidRPr="009131DF">
        <w:rPr>
          <w:color w:val="000000"/>
        </w:rPr>
        <w:t>.</w:t>
      </w:r>
    </w:p>
  </w:footnote>
  <w:footnote w:id="8">
    <w:p w14:paraId="63CDD8E2" w14:textId="2FC9EDED" w:rsidR="00394979" w:rsidRPr="009131DF" w:rsidRDefault="00394979" w:rsidP="009131DF">
      <w:pPr>
        <w:ind w:left="567" w:hanging="567"/>
        <w:rPr>
          <w:color w:val="000000"/>
        </w:rPr>
      </w:pPr>
      <w:r w:rsidRPr="009131DF">
        <w:rPr>
          <w:rStyle w:val="FootnoteReference"/>
        </w:rPr>
        <w:footnoteRef/>
      </w:r>
      <w:r w:rsidR="009131DF" w:rsidRPr="009131DF">
        <w:rPr>
          <w:color w:val="000000"/>
        </w:rPr>
        <w:t xml:space="preserve"> </w:t>
      </w:r>
      <w:r w:rsidR="009131DF" w:rsidRPr="009131DF">
        <w:rPr>
          <w:color w:val="000000"/>
        </w:rPr>
        <w:tab/>
      </w:r>
      <w:r w:rsidRPr="009131DF">
        <w:rPr>
          <w:color w:val="000000"/>
        </w:rPr>
        <w:t>EUT C 445 af 29.10.2021, s. 240.</w:t>
      </w:r>
    </w:p>
  </w:footnote>
  <w:footnote w:id="9">
    <w:p w14:paraId="6B064359" w14:textId="7FA2611C" w:rsidR="00394979" w:rsidRPr="009131DF" w:rsidRDefault="00394979" w:rsidP="009131DF">
      <w:pPr>
        <w:ind w:left="567" w:hanging="567"/>
        <w:rPr>
          <w:color w:val="000000"/>
        </w:rPr>
      </w:pPr>
      <w:r w:rsidRPr="009131DF">
        <w:rPr>
          <w:rStyle w:val="FootnoteReference"/>
        </w:rPr>
        <w:footnoteRef/>
      </w:r>
      <w:r w:rsidR="009131DF" w:rsidRPr="009131DF">
        <w:rPr>
          <w:color w:val="000000"/>
        </w:rPr>
        <w:t xml:space="preserve"> </w:t>
      </w:r>
      <w:r w:rsidR="009131DF" w:rsidRPr="009131DF">
        <w:rPr>
          <w:color w:val="000000"/>
        </w:rPr>
        <w:tab/>
      </w:r>
      <w:r w:rsidRPr="009131DF">
        <w:rPr>
          <w:color w:val="000000"/>
        </w:rPr>
        <w:t xml:space="preserve">EUT C 177 af </w:t>
      </w:r>
      <w:r w:rsidRPr="009131DF">
        <w:rPr>
          <w:color w:val="000000"/>
        </w:rPr>
        <w:t>17.</w:t>
      </w:r>
      <w:r w:rsidR="007302A7">
        <w:rPr>
          <w:color w:val="000000"/>
        </w:rPr>
        <w:t>5</w:t>
      </w:r>
      <w:r w:rsidRPr="009131DF">
        <w:rPr>
          <w:color w:val="000000"/>
        </w:rPr>
        <w:t>.2023, s. 115.</w:t>
      </w:r>
    </w:p>
  </w:footnote>
  <w:footnote w:id="10">
    <w:p w14:paraId="6A5297BA" w14:textId="1477B51C" w:rsidR="00394979" w:rsidRPr="00026F5D" w:rsidRDefault="00394979" w:rsidP="009131DF">
      <w:pPr>
        <w:ind w:left="567" w:hanging="567"/>
        <w:rPr>
          <w:color w:val="000000"/>
          <w:lang w:val="fi-FI"/>
        </w:rPr>
      </w:pPr>
      <w:r w:rsidRPr="009131DF">
        <w:rPr>
          <w:rStyle w:val="FootnoteReference"/>
        </w:rPr>
        <w:footnoteRef/>
      </w:r>
      <w:r w:rsidR="009131DF" w:rsidRPr="00026F5D">
        <w:rPr>
          <w:color w:val="000000"/>
          <w:lang w:val="fi-FI"/>
        </w:rPr>
        <w:t xml:space="preserve"> </w:t>
      </w:r>
      <w:r w:rsidR="009131DF" w:rsidRPr="00026F5D">
        <w:rPr>
          <w:color w:val="000000"/>
          <w:lang w:val="fi-FI"/>
        </w:rPr>
        <w:tab/>
      </w:r>
      <w:r w:rsidRPr="00026F5D">
        <w:rPr>
          <w:color w:val="000000"/>
          <w:lang w:val="fi-FI"/>
        </w:rPr>
        <w:t xml:space="preserve">EUT C, C/2024/1195, 23.2.2024, ELI: </w:t>
      </w:r>
      <w:hyperlink r:id="rId6" w:history="1">
        <w:r w:rsidRPr="00026F5D">
          <w:rPr>
            <w:rStyle w:val="Hyperlink"/>
            <w:lang w:val="fi-FI"/>
          </w:rPr>
          <w:t>http://data.europa.eu/eli/C/2024/1195/oj</w:t>
        </w:r>
      </w:hyperlink>
      <w:r w:rsidRPr="00026F5D">
        <w:rPr>
          <w:color w:val="000000"/>
          <w:lang w:val="fi-FI"/>
        </w:rPr>
        <w:t>.</w:t>
      </w:r>
    </w:p>
  </w:footnote>
  <w:footnote w:id="11">
    <w:p w14:paraId="7D93B812" w14:textId="72E19D93" w:rsidR="00394979" w:rsidRPr="00026F5D" w:rsidRDefault="00394979" w:rsidP="009131DF">
      <w:pPr>
        <w:ind w:left="567" w:hanging="567"/>
        <w:rPr>
          <w:color w:val="000000"/>
          <w:lang w:val="fi-FI"/>
        </w:rPr>
      </w:pPr>
      <w:r w:rsidRPr="009131DF">
        <w:rPr>
          <w:rStyle w:val="FootnoteReference"/>
        </w:rPr>
        <w:footnoteRef/>
      </w:r>
      <w:r w:rsidR="009131DF" w:rsidRPr="00026F5D">
        <w:rPr>
          <w:color w:val="000000"/>
          <w:lang w:val="fi-FI"/>
        </w:rPr>
        <w:t xml:space="preserve"> </w:t>
      </w:r>
      <w:r w:rsidR="009131DF" w:rsidRPr="00026F5D">
        <w:rPr>
          <w:color w:val="000000"/>
          <w:lang w:val="fi-FI"/>
        </w:rPr>
        <w:tab/>
      </w:r>
      <w:r w:rsidRPr="00026F5D">
        <w:rPr>
          <w:color w:val="000000"/>
          <w:lang w:val="fi-FI"/>
        </w:rPr>
        <w:t xml:space="preserve">EUT C, C/2024/6751, 26.11.2024, ELI: </w:t>
      </w:r>
      <w:hyperlink r:id="rId7" w:history="1">
        <w:r w:rsidRPr="00026F5D">
          <w:rPr>
            <w:rStyle w:val="Hyperlink"/>
            <w:lang w:val="fi-FI"/>
          </w:rPr>
          <w:t>http://data.europa.eu/eli/C/2024/6751/oj</w:t>
        </w:r>
      </w:hyperlink>
      <w:r w:rsidRPr="00026F5D">
        <w:rPr>
          <w:color w:val="000000"/>
          <w:lang w:val="fi-FI"/>
        </w:rPr>
        <w:t>.</w:t>
      </w:r>
    </w:p>
  </w:footnote>
  <w:footnote w:id="12">
    <w:p w14:paraId="27099442" w14:textId="0D9682DB" w:rsidR="00394979" w:rsidRPr="00026F5D" w:rsidRDefault="00394979" w:rsidP="009131DF">
      <w:pPr>
        <w:ind w:left="567" w:hanging="567"/>
        <w:rPr>
          <w:color w:val="000000"/>
          <w:lang w:val="fi-FI"/>
        </w:rPr>
      </w:pPr>
      <w:r w:rsidRPr="009131DF">
        <w:rPr>
          <w:rStyle w:val="FootnoteReference"/>
        </w:rPr>
        <w:footnoteRef/>
      </w:r>
      <w:r w:rsidR="009131DF" w:rsidRPr="00026F5D">
        <w:rPr>
          <w:color w:val="000000"/>
          <w:lang w:val="fi-FI"/>
        </w:rPr>
        <w:t xml:space="preserve"> </w:t>
      </w:r>
      <w:r w:rsidR="009131DF" w:rsidRPr="00026F5D">
        <w:rPr>
          <w:color w:val="000000"/>
          <w:lang w:val="fi-FI"/>
        </w:rPr>
        <w:tab/>
      </w:r>
      <w:r w:rsidRPr="00026F5D">
        <w:rPr>
          <w:color w:val="000000"/>
          <w:lang w:val="fi-FI"/>
        </w:rPr>
        <w:t xml:space="preserve">EUT L, 2026/72, 26.2.2026, ELI: </w:t>
      </w:r>
      <w:hyperlink r:id="rId8" w:history="1">
        <w:r w:rsidRPr="00026F5D">
          <w:rPr>
            <w:rStyle w:val="Hyperlink"/>
            <w:lang w:val="fi-FI"/>
          </w:rPr>
          <w:t>http://data.europa.eu/eli/budget/2026/72/oj</w:t>
        </w:r>
      </w:hyperlink>
      <w:r w:rsidRPr="00026F5D">
        <w:rPr>
          <w:color w:val="000000"/>
          <w:lang w:val="fi-FI"/>
        </w:rPr>
        <w:t xml:space="preserve">. </w:t>
      </w:r>
    </w:p>
  </w:footnote>
  <w:footnote w:id="13">
    <w:p w14:paraId="35897C6C" w14:textId="05C313B1" w:rsidR="00394979" w:rsidRPr="009131DF" w:rsidRDefault="00394979" w:rsidP="009131DF">
      <w:pPr>
        <w:pStyle w:val="FootnoteText"/>
        <w:ind w:left="567" w:hanging="567"/>
        <w:rPr>
          <w:sz w:val="24"/>
          <w:lang w:val="da-DK"/>
        </w:rPr>
      </w:pPr>
      <w:r w:rsidRPr="009131DF">
        <w:rPr>
          <w:rStyle w:val="FootnoteReference"/>
          <w:sz w:val="24"/>
          <w:lang w:val="da-DK"/>
        </w:rPr>
        <w:footnoteRef/>
      </w:r>
      <w:r w:rsidR="009131DF" w:rsidRPr="009131DF">
        <w:rPr>
          <w:sz w:val="24"/>
          <w:lang w:val="da-DK"/>
        </w:rPr>
        <w:t xml:space="preserve"> </w:t>
      </w:r>
      <w:r w:rsidR="009131DF" w:rsidRPr="009131DF">
        <w:rPr>
          <w:sz w:val="24"/>
          <w:lang w:val="da-DK"/>
        </w:rPr>
        <w:tab/>
      </w:r>
      <w:r w:rsidRPr="009131DF">
        <w:rPr>
          <w:sz w:val="24"/>
          <w:lang w:val="da-DK"/>
        </w:rPr>
        <w:t>Domstolens dom af 17. december 2025, FE mod Parlamentet, T</w:t>
      </w:r>
      <w:r w:rsidRPr="009131DF">
        <w:rPr>
          <w:sz w:val="24"/>
          <w:lang w:val="da-DK"/>
        </w:rPr>
        <w:noBreakHyphen/>
        <w:t>483/24, ECLI:EU:T:2025:1121.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10898671">
    <w:abstractNumId w:val="9"/>
  </w:num>
  <w:num w:numId="2" w16cid:durableId="533465211">
    <w:abstractNumId w:val="9"/>
  </w:num>
  <w:num w:numId="3" w16cid:durableId="1829248874">
    <w:abstractNumId w:val="7"/>
  </w:num>
  <w:num w:numId="4" w16cid:durableId="1708749127">
    <w:abstractNumId w:val="7"/>
  </w:num>
  <w:num w:numId="5" w16cid:durableId="207886599">
    <w:abstractNumId w:val="6"/>
  </w:num>
  <w:num w:numId="6" w16cid:durableId="1554580997">
    <w:abstractNumId w:val="6"/>
  </w:num>
  <w:num w:numId="7" w16cid:durableId="1035732661">
    <w:abstractNumId w:val="5"/>
  </w:num>
  <w:num w:numId="8" w16cid:durableId="1734499444">
    <w:abstractNumId w:val="5"/>
  </w:num>
  <w:num w:numId="9" w16cid:durableId="2080787171">
    <w:abstractNumId w:val="4"/>
  </w:num>
  <w:num w:numId="10" w16cid:durableId="1773430807">
    <w:abstractNumId w:val="4"/>
  </w:num>
  <w:num w:numId="11" w16cid:durableId="883711454">
    <w:abstractNumId w:val="8"/>
  </w:num>
  <w:num w:numId="12" w16cid:durableId="961377529">
    <w:abstractNumId w:val="8"/>
  </w:num>
  <w:num w:numId="13" w16cid:durableId="853423146">
    <w:abstractNumId w:val="3"/>
  </w:num>
  <w:num w:numId="14" w16cid:durableId="229580715">
    <w:abstractNumId w:val="3"/>
  </w:num>
  <w:num w:numId="15" w16cid:durableId="1809974810">
    <w:abstractNumId w:val="2"/>
  </w:num>
  <w:num w:numId="16" w16cid:durableId="1497109124">
    <w:abstractNumId w:val="2"/>
  </w:num>
  <w:num w:numId="17" w16cid:durableId="137651960">
    <w:abstractNumId w:val="1"/>
  </w:num>
  <w:num w:numId="18" w16cid:durableId="821625848">
    <w:abstractNumId w:val="1"/>
  </w:num>
  <w:num w:numId="19" w16cid:durableId="547226557">
    <w:abstractNumId w:val="0"/>
  </w:num>
  <w:num w:numId="20" w16cid:durableId="1171794234">
    <w:abstractNumId w:val="0"/>
  </w:num>
  <w:num w:numId="21" w16cid:durableId="1804958170">
    <w:abstractNumId w:val="9"/>
  </w:num>
  <w:num w:numId="22" w16cid:durableId="1078282121">
    <w:abstractNumId w:val="7"/>
  </w:num>
  <w:num w:numId="23" w16cid:durableId="213854353">
    <w:abstractNumId w:val="6"/>
  </w:num>
  <w:num w:numId="24" w16cid:durableId="1436053942">
    <w:abstractNumId w:val="5"/>
  </w:num>
  <w:num w:numId="25" w16cid:durableId="377511126">
    <w:abstractNumId w:val="4"/>
  </w:num>
  <w:num w:numId="26" w16cid:durableId="1075206869">
    <w:abstractNumId w:val="8"/>
  </w:num>
  <w:num w:numId="27" w16cid:durableId="1036077881">
    <w:abstractNumId w:val="3"/>
  </w:num>
  <w:num w:numId="28" w16cid:durableId="659700770">
    <w:abstractNumId w:val="2"/>
  </w:num>
  <w:num w:numId="29" w16cid:durableId="307513064">
    <w:abstractNumId w:val="1"/>
  </w:num>
  <w:num w:numId="30" w16cid:durableId="1954090072">
    <w:abstractNumId w:val="0"/>
  </w:num>
  <w:num w:numId="31" w16cid:durableId="1164080178">
    <w:abstractNumId w:val="9"/>
  </w:num>
  <w:num w:numId="32" w16cid:durableId="2029914688">
    <w:abstractNumId w:val="7"/>
  </w:num>
  <w:num w:numId="33" w16cid:durableId="1447772239">
    <w:abstractNumId w:val="6"/>
  </w:num>
  <w:num w:numId="34" w16cid:durableId="1492329004">
    <w:abstractNumId w:val="5"/>
  </w:num>
  <w:num w:numId="35" w16cid:durableId="811748168">
    <w:abstractNumId w:val="4"/>
  </w:num>
  <w:num w:numId="36" w16cid:durableId="1942295670">
    <w:abstractNumId w:val="8"/>
  </w:num>
  <w:num w:numId="37" w16cid:durableId="1379474595">
    <w:abstractNumId w:val="3"/>
  </w:num>
  <w:num w:numId="38" w16cid:durableId="1025521622">
    <w:abstractNumId w:val="2"/>
  </w:num>
  <w:num w:numId="39" w16cid:durableId="1152527831">
    <w:abstractNumId w:val="1"/>
  </w:num>
  <w:num w:numId="40" w16cid:durableId="822696924">
    <w:abstractNumId w:val="0"/>
  </w:num>
  <w:num w:numId="41" w16cid:durableId="871191755">
    <w:abstractNumId w:val="10"/>
  </w:num>
  <w:num w:numId="42" w16cid:durableId="300962989">
    <w:abstractNumId w:val="10"/>
  </w:num>
  <w:num w:numId="43" w16cid:durableId="245775001">
    <w:abstractNumId w:val="10"/>
  </w:num>
  <w:num w:numId="44" w16cid:durableId="8985872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4/2026"/>
    <w:docVar w:name="dvlangue" w:val="DA"/>
    <w:docVar w:name="dvnumam" w:val="0"/>
    <w:docVar w:name="dvpe" w:val="785.303"/>
    <w:docVar w:name="dvrapporteur" w:val="Ordfører: "/>
    <w:docVar w:name="dvtitre" w:val="Europa-Parlamentets beslutning af xx.xx 2026 om overslag over Europa-Parlamentets indtægter og udgifter for regnskabsåret 2027(2025/2247(BUI))"/>
  </w:docVars>
  <w:rsids>
    <w:rsidRoot w:val="00F7063C"/>
    <w:rsid w:val="00002272"/>
    <w:rsid w:val="00026F5D"/>
    <w:rsid w:val="00041147"/>
    <w:rsid w:val="00064002"/>
    <w:rsid w:val="000677B9"/>
    <w:rsid w:val="000831BA"/>
    <w:rsid w:val="000A42CC"/>
    <w:rsid w:val="000E7DD9"/>
    <w:rsid w:val="0010095E"/>
    <w:rsid w:val="00125B37"/>
    <w:rsid w:val="00187494"/>
    <w:rsid w:val="001F32AE"/>
    <w:rsid w:val="002767FF"/>
    <w:rsid w:val="002B064B"/>
    <w:rsid w:val="002B18FE"/>
    <w:rsid w:val="002B5493"/>
    <w:rsid w:val="002B7593"/>
    <w:rsid w:val="00343214"/>
    <w:rsid w:val="00361C00"/>
    <w:rsid w:val="00394979"/>
    <w:rsid w:val="00395FA1"/>
    <w:rsid w:val="003E15D4"/>
    <w:rsid w:val="00411CCE"/>
    <w:rsid w:val="0041666E"/>
    <w:rsid w:val="00421060"/>
    <w:rsid w:val="00471C19"/>
    <w:rsid w:val="004867E3"/>
    <w:rsid w:val="00494A28"/>
    <w:rsid w:val="004C0004"/>
    <w:rsid w:val="004C5D52"/>
    <w:rsid w:val="0050519A"/>
    <w:rsid w:val="005072A1"/>
    <w:rsid w:val="00514517"/>
    <w:rsid w:val="00542703"/>
    <w:rsid w:val="00545827"/>
    <w:rsid w:val="00560270"/>
    <w:rsid w:val="005C2568"/>
    <w:rsid w:val="005F1B17"/>
    <w:rsid w:val="006037C0"/>
    <w:rsid w:val="006631B6"/>
    <w:rsid w:val="00680577"/>
    <w:rsid w:val="006F74FA"/>
    <w:rsid w:val="00702C6C"/>
    <w:rsid w:val="007302A7"/>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31DF"/>
    <w:rsid w:val="00930C23"/>
    <w:rsid w:val="0093193B"/>
    <w:rsid w:val="009509D8"/>
    <w:rsid w:val="00950B64"/>
    <w:rsid w:val="00981893"/>
    <w:rsid w:val="00A1687D"/>
    <w:rsid w:val="00A43E52"/>
    <w:rsid w:val="00A4678D"/>
    <w:rsid w:val="00A778C7"/>
    <w:rsid w:val="00AB441E"/>
    <w:rsid w:val="00AB6293"/>
    <w:rsid w:val="00AB6B87"/>
    <w:rsid w:val="00AE0928"/>
    <w:rsid w:val="00AF3B82"/>
    <w:rsid w:val="00B12E95"/>
    <w:rsid w:val="00B22876"/>
    <w:rsid w:val="00B558F0"/>
    <w:rsid w:val="00BD48FE"/>
    <w:rsid w:val="00BD7BD8"/>
    <w:rsid w:val="00BE6ADC"/>
    <w:rsid w:val="00C05BFE"/>
    <w:rsid w:val="00C23CD4"/>
    <w:rsid w:val="00C61C0C"/>
    <w:rsid w:val="00C941CB"/>
    <w:rsid w:val="00C9465A"/>
    <w:rsid w:val="00CC2357"/>
    <w:rsid w:val="00CF071A"/>
    <w:rsid w:val="00D058B8"/>
    <w:rsid w:val="00D521CA"/>
    <w:rsid w:val="00D56C11"/>
    <w:rsid w:val="00D834A0"/>
    <w:rsid w:val="00D872DF"/>
    <w:rsid w:val="00D91E21"/>
    <w:rsid w:val="00DA7FCD"/>
    <w:rsid w:val="00E365E1"/>
    <w:rsid w:val="00E820A4"/>
    <w:rsid w:val="00EB006A"/>
    <w:rsid w:val="00EB4772"/>
    <w:rsid w:val="00ED169E"/>
    <w:rsid w:val="00ED3A28"/>
    <w:rsid w:val="00ED4235"/>
    <w:rsid w:val="00F04346"/>
    <w:rsid w:val="00F075DC"/>
    <w:rsid w:val="00F149E9"/>
    <w:rsid w:val="00F5134D"/>
    <w:rsid w:val="00F7063C"/>
    <w:rsid w:val="00F74202"/>
    <w:rsid w:val="00F87713"/>
    <w:rsid w:val="00F9096D"/>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C1F0A9"/>
  <w15:chartTrackingRefBased/>
  <w15:docId w15:val="{7CC7E341-B927-4BB3-B4AE-EDAB784A6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xposant 3 Point,FR,FR1,FR2,FR3,Footnote,Footnote Reference Number,Footnote number,Footnote reference number,Footnote symbol,Footnotemark,Footnotemark1,Footnotemark2,Footnotemark3,Footnotemark4,Times 10 Point,Voetnootverwijzing,fr,o"/>
    <w:link w:val="FootnoteReference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394979"/>
    <w:pPr>
      <w:spacing w:after="240"/>
      <w:ind w:left="567" w:hanging="567"/>
    </w:pPr>
  </w:style>
  <w:style w:type="character" w:styleId="Hyperlink">
    <w:name w:val="Hyperlink"/>
    <w:basedOn w:val="DefaultParagraphFont"/>
    <w:uiPriority w:val="99"/>
    <w:rsid w:val="00394979"/>
    <w:rPr>
      <w:color w:val="0563C1" w:themeColor="hyperlink"/>
      <w:u w:val="single"/>
    </w:rPr>
  </w:style>
  <w:style w:type="paragraph" w:customStyle="1" w:styleId="Action">
    <w:name w:val="Action"/>
    <w:basedOn w:val="Normal"/>
    <w:rsid w:val="00394979"/>
    <w:pPr>
      <w:tabs>
        <w:tab w:val="left" w:pos="357"/>
      </w:tabs>
      <w:spacing w:after="240"/>
      <w:ind w:left="357" w:hanging="357"/>
    </w:pPr>
    <w:rPr>
      <w:lang w:eastAsia="en-US"/>
    </w:rPr>
  </w:style>
  <w:style w:type="paragraph" w:customStyle="1" w:styleId="action0">
    <w:name w:val="action"/>
    <w:basedOn w:val="Normal"/>
    <w:rsid w:val="00394979"/>
    <w:pPr>
      <w:widowControl/>
      <w:spacing w:after="240"/>
      <w:ind w:left="357" w:hanging="357"/>
    </w:pPr>
    <w:rPr>
      <w:rFonts w:eastAsiaTheme="minorHAnsi"/>
      <w:szCs w:val="24"/>
    </w:rPr>
  </w:style>
  <w:style w:type="paragraph" w:customStyle="1" w:styleId="Institutionquiagit">
    <w:name w:val="Institution qui agit"/>
    <w:basedOn w:val="Normal"/>
    <w:next w:val="Normal"/>
    <w:rsid w:val="00394979"/>
    <w:pPr>
      <w:keepNext/>
      <w:snapToGrid w:val="0"/>
      <w:spacing w:after="240"/>
    </w:pPr>
    <w:rPr>
      <w:i/>
      <w:lang w:eastAsia="en-US"/>
    </w:rPr>
  </w:style>
  <w:style w:type="paragraph" w:customStyle="1" w:styleId="FootnoteReference1">
    <w:name w:val="Footnote Reference1"/>
    <w:basedOn w:val="Normal"/>
    <w:link w:val="FootnoteReference"/>
    <w:rsid w:val="00394979"/>
    <w:pPr>
      <w:widowControl/>
      <w:spacing w:after="160" w:line="240" w:lineRule="exact"/>
    </w:pPr>
    <w:rPr>
      <w:sz w:val="20"/>
      <w:vertAlign w:val="superscript"/>
      <w:lang w:val="en-GB"/>
    </w:rPr>
  </w:style>
  <w:style w:type="paragraph" w:styleId="Revision">
    <w:name w:val="Revision"/>
    <w:hidden/>
    <w:uiPriority w:val="99"/>
    <w:semiHidden/>
    <w:rsid w:val="00ED3A28"/>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budget/2026/72/oj" TargetMode="External"/><Relationship Id="rId3" Type="http://schemas.openxmlformats.org/officeDocument/2006/relationships/hyperlink" Target="http://data.europa.eu/eli/reg/2022/2496/oj" TargetMode="External"/><Relationship Id="rId7" Type="http://schemas.openxmlformats.org/officeDocument/2006/relationships/hyperlink" Target="http://data.europa.eu/eli/C/2024/6751/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4/2509/oj" TargetMode="External"/><Relationship Id="rId6" Type="http://schemas.openxmlformats.org/officeDocument/2006/relationships/hyperlink" Target="http://data.europa.eu/eli/C/2024/1195/oj" TargetMode="External"/><Relationship Id="rId5" Type="http://schemas.openxmlformats.org/officeDocument/2006/relationships/hyperlink" Target="http://data.europa.eu/eli/agree_interinstit/2020/1222/oj" TargetMode="External"/><Relationship Id="rId4" Type="http://schemas.openxmlformats.org/officeDocument/2006/relationships/hyperlink" Target="http://data.europa.eu/eli/reg/2024/7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4270</Words>
  <Characters>24339</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2026-07-09T09:24:00Z</dcterms:created>
  <dcterms:modified xsi:type="dcterms:W3CDTF">2026-07-09T09:24:00Z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P10_TA(2026)0155_</vt:lpwstr>
  </property>
  <property fmtid="{D5CDD505-2E9C-101B-9397-08002B2CF9AE}" pid="4" name="&lt;Type&gt;">
    <vt:lpwstr>RR</vt:lpwstr>
  </property>
</Properties>
</file>