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3296EEC" w14:textId="77777777" w:rsidTr="0010095E">
        <w:tblPrEx>
          <w:tblW w:w="9072" w:type="dxa"/>
          <w:tblLook w:val="01E0"/>
        </w:tblPrEx>
        <w:trPr>
          <w:trHeight w:hRule="exact" w:val="1418"/>
        </w:trPr>
        <w:tc>
          <w:tcPr>
            <w:tcW w:w="6804" w:type="dxa"/>
            <w:shd w:val="clear" w:color="auto" w:fill="auto"/>
            <w:vAlign w:val="center"/>
          </w:tcPr>
          <w:p w:rsidR="00751A4A" w:rsidRPr="00F13023" w:rsidP="0010095E" w14:paraId="1DECB485" w14:textId="77777777">
            <w:pPr>
              <w:pStyle w:val="EPName"/>
            </w:pPr>
            <w:r w:rsidRPr="00F13023">
              <w:t>Ευρωπαϊκό Κοινοβούλιο</w:t>
            </w:r>
          </w:p>
          <w:p w:rsidR="00751A4A" w:rsidRPr="00F13023" w:rsidP="005F1B17" w14:paraId="1CD60EF0" w14:textId="77777777">
            <w:pPr>
              <w:pStyle w:val="EPTerm"/>
              <w:rPr>
                <w:rStyle w:val="HideTWBExt"/>
                <w:noProof w:val="0"/>
                <w:vanish w:val="0"/>
                <w:color w:val="auto"/>
              </w:rPr>
            </w:pPr>
            <w:r w:rsidRPr="00F13023">
              <w:t>2024</w:t>
            </w:r>
            <w:r w:rsidRPr="00F13023" w:rsidR="00817416">
              <w:t>-202</w:t>
            </w:r>
            <w:r w:rsidRPr="00F13023">
              <w:t>9</w:t>
            </w:r>
          </w:p>
        </w:tc>
        <w:tc>
          <w:tcPr>
            <w:tcW w:w="2268" w:type="dxa"/>
            <w:shd w:val="clear" w:color="auto" w:fill="auto"/>
          </w:tcPr>
          <w:p w:rsidR="00751A4A" w:rsidRPr="00F13023" w:rsidP="0010095E" w14:paraId="5B07BEA4" w14:textId="77777777">
            <w:pPr>
              <w:pStyle w:val="EPLogo"/>
            </w:pPr>
            <w:r w:rsidRPr="00F1302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13023" w:rsidP="004C5D52" w14:paraId="7791294D" w14:textId="77777777">
      <w:pPr>
        <w:pStyle w:val="LineTop"/>
      </w:pPr>
    </w:p>
    <w:p w:rsidR="00680577" w:rsidRPr="00F13023" w:rsidP="00680577" w14:paraId="16EA5973" w14:textId="77777777">
      <w:pPr>
        <w:pStyle w:val="EPBodyTA1"/>
      </w:pPr>
      <w:r w:rsidRPr="00F13023">
        <w:t>ΚΕΙΜΕΝΑ ΠΟΥ ΕΓΚΡΙΘΗΚΑΝ</w:t>
      </w:r>
    </w:p>
    <w:p w:rsidR="00D058B8" w:rsidRPr="00F13023" w:rsidP="00D058B8" w14:paraId="3776489A" w14:textId="77777777">
      <w:pPr>
        <w:pStyle w:val="LineBottom"/>
      </w:pPr>
    </w:p>
    <w:p w:rsidR="00BF7F10" w:rsidRPr="00F13023" w:rsidP="00BF7F10" w14:paraId="4FCBFBC9" w14:textId="222A0DE1">
      <w:pPr>
        <w:pStyle w:val="ATHeading1"/>
      </w:pPr>
      <w:bookmarkStart w:id="0" w:name="TANumber"/>
      <w:r w:rsidRPr="00F13023">
        <w:t>P10_TA(2026)0</w:t>
      </w:r>
      <w:r w:rsidRPr="00F13023" w:rsidR="007E49A8">
        <w:t>155</w:t>
      </w:r>
      <w:bookmarkEnd w:id="0"/>
    </w:p>
    <w:p w:rsidR="00BF7F10" w:rsidRPr="00F13023" w:rsidP="00BF7F10" w14:paraId="5F871E91" w14:textId="660AD237">
      <w:pPr>
        <w:pStyle w:val="ATHeading2"/>
      </w:pPr>
      <w:bookmarkStart w:id="1" w:name="title"/>
      <w:r w:rsidRPr="00F13023">
        <w:t>Κατάσταση προβλέψεων των εσόδων και δαπανών για το οικονομικό έτος 2027 – Τμήμα I – Ευρωπαϊκό Κοινοβούλιο</w:t>
      </w:r>
      <w:bookmarkEnd w:id="1"/>
    </w:p>
    <w:p w:rsidR="00BF7F10" w:rsidRPr="00F13023" w:rsidP="00BF7F10" w14:paraId="5DAC84A1" w14:textId="77777777">
      <w:pPr>
        <w:rPr>
          <w:i/>
          <w:vanish/>
        </w:rPr>
      </w:pPr>
      <w:r>
        <w:rPr>
          <w:i/>
        </w:rPr>
        <w:fldChar w:fldCharType="begin"/>
      </w:r>
      <w:r w:rsidRPr="00F13023">
        <w:rPr>
          <w:i/>
        </w:rPr>
        <w:instrText xml:space="preserve"> TC"(</w:instrText>
      </w:r>
      <w:bookmarkStart w:id="2" w:name="DocNumber"/>
      <w:r w:rsidRPr="00F13023">
        <w:rPr>
          <w:i/>
        </w:rPr>
        <w:instrText>A10-0124/2026</w:instrText>
      </w:r>
      <w:bookmarkEnd w:id="2"/>
      <w:r w:rsidRPr="00F13023">
        <w:rPr>
          <w:i/>
        </w:rPr>
        <w:instrText xml:space="preserve"> - Εισηγητής: Μιχάλης Χατζηπαντέλα)"\l3 \n&gt; \* MERGEFORMAT </w:instrText>
      </w:r>
      <w:r>
        <w:rPr>
          <w:i/>
        </w:rPr>
        <w:fldChar w:fldCharType="end"/>
      </w:r>
    </w:p>
    <w:p w:rsidR="00BF7F10" w:rsidRPr="00F13023" w:rsidP="00BF7F10" w14:paraId="3E68FA2B" w14:textId="77777777">
      <w:pPr>
        <w:rPr>
          <w:vanish/>
        </w:rPr>
      </w:pPr>
      <w:bookmarkStart w:id="3" w:name="Commission"/>
      <w:r w:rsidRPr="00F13023">
        <w:rPr>
          <w:vanish/>
        </w:rPr>
        <w:t>Επιτροπή Προϋπολογισμών</w:t>
      </w:r>
      <w:bookmarkEnd w:id="3"/>
    </w:p>
    <w:p w:rsidR="00BF7F10" w:rsidRPr="00F13023" w:rsidP="00BF7F10" w14:paraId="5C5209C1" w14:textId="77777777">
      <w:pPr>
        <w:rPr>
          <w:vanish/>
        </w:rPr>
      </w:pPr>
      <w:bookmarkStart w:id="4" w:name="PE"/>
      <w:r w:rsidRPr="00F13023">
        <w:rPr>
          <w:vanish/>
        </w:rPr>
        <w:t>PE785.303</w:t>
      </w:r>
      <w:bookmarkEnd w:id="4"/>
    </w:p>
    <w:p w:rsidR="00BF7F10" w:rsidRPr="00F13023" w:rsidP="00BF7F10" w14:paraId="524D0B8D" w14:textId="546DB7E9">
      <w:pPr>
        <w:pStyle w:val="ATHeading3"/>
      </w:pPr>
      <w:bookmarkStart w:id="5" w:name="Sujet"/>
      <w:r w:rsidRPr="00F13023">
        <w:t xml:space="preserve">Ψήφισμα του Ευρωπαϊκού Κοινοβουλίου της </w:t>
      </w:r>
      <w:r w:rsidRPr="00F13023" w:rsidR="001B56FB">
        <w:t xml:space="preserve">30ής Απριλίου </w:t>
      </w:r>
      <w:r w:rsidRPr="00F13023">
        <w:t>2026 σχετικά με την κατάσταση προβλέψεων των εσόδων και δαπανών του Ευρωπαϊκού Κοινοβουλίου για το οικονομικό έτος 2027</w:t>
      </w:r>
      <w:bookmarkEnd w:id="5"/>
      <w:r w:rsidRPr="00F13023">
        <w:t xml:space="preserve"> </w:t>
      </w:r>
      <w:bookmarkStart w:id="6" w:name="References"/>
      <w:r w:rsidRPr="00F13023">
        <w:t>(2025/2247(BUI))</w:t>
      </w:r>
      <w:bookmarkEnd w:id="6"/>
    </w:p>
    <w:p w:rsidR="0034045D" w:rsidRPr="00F13023" w:rsidP="0034045D" w14:paraId="7C14F990" w14:textId="77777777">
      <w:pPr>
        <w:pStyle w:val="Institutionquiagit"/>
        <w:spacing w:before="480"/>
        <w:rPr>
          <w:i w:val="0"/>
        </w:rPr>
      </w:pPr>
      <w:bookmarkStart w:id="7" w:name="TextBodyBegin"/>
      <w:bookmarkEnd w:id="7"/>
      <w:r w:rsidRPr="00F13023">
        <w:t>Το Ευρωπαϊκό Κοινοβούλιο,</w:t>
      </w:r>
    </w:p>
    <w:p w:rsidR="0034045D" w:rsidRPr="00F13023" w:rsidP="0034045D" w14:paraId="4BB6F270" w14:textId="77777777">
      <w:pPr>
        <w:pStyle w:val="Action"/>
        <w:tabs>
          <w:tab w:val="clear" w:pos="357"/>
        </w:tabs>
        <w:spacing w:after="120"/>
        <w:ind w:left="567" w:hanging="567"/>
        <w:outlineLvl w:val="0"/>
      </w:pPr>
      <w:r w:rsidRPr="00F13023">
        <w:t>–</w:t>
      </w:r>
      <w:r w:rsidRPr="00F13023">
        <w:tab/>
        <w:t>έχοντας υπόψη το άρθρο 314 της Συνθήκης για τη λειτουργία της Ευρωπαϊκής Ένωσης,</w:t>
      </w:r>
    </w:p>
    <w:p w:rsidR="0034045D" w:rsidRPr="00F13023" w:rsidP="0034045D" w14:paraId="447F8688" w14:textId="1BEE31A9">
      <w:pPr>
        <w:widowControl/>
        <w:spacing w:after="240"/>
        <w:ind w:left="567" w:hanging="567"/>
        <w:rPr>
          <w:color w:val="000000"/>
        </w:rPr>
      </w:pPr>
      <w:r w:rsidRPr="00F13023">
        <w:rPr>
          <w:color w:val="000000"/>
        </w:rPr>
        <w:t>–</w:t>
      </w:r>
      <w:r w:rsidRPr="00F13023">
        <w:rPr>
          <w:color w:val="000000"/>
        </w:rPr>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(αναδιατύπωση)</w:t>
      </w:r>
      <w:r>
        <w:rPr>
          <w:color w:val="000000"/>
          <w:vertAlign w:val="superscript"/>
        </w:rPr>
        <w:footnoteReference w:id="2"/>
      </w:r>
      <w:r w:rsidRPr="00F13023">
        <w:rPr>
          <w:color w:val="000000"/>
        </w:rPr>
        <w:t xml:space="preserve"> (</w:t>
      </w:r>
      <w:r w:rsidRPr="00F13023" w:rsidR="001B56FB">
        <w:rPr>
          <w:color w:val="000000"/>
        </w:rPr>
        <w:t>«</w:t>
      </w:r>
      <w:r w:rsidRPr="00F13023">
        <w:rPr>
          <w:color w:val="000000"/>
        </w:rPr>
        <w:t>δημοσιονομικός κανονισμός</w:t>
      </w:r>
      <w:r w:rsidRPr="00F13023" w:rsidR="001B56FB">
        <w:rPr>
          <w:color w:val="000000"/>
        </w:rPr>
        <w:t>»</w:t>
      </w:r>
      <w:r w:rsidRPr="00F13023">
        <w:rPr>
          <w:color w:val="000000"/>
        </w:rPr>
        <w:t>),</w:t>
      </w:r>
    </w:p>
    <w:p w:rsidR="0034045D" w:rsidRPr="00F13023" w:rsidP="0034045D" w14:paraId="6B58F30F" w14:textId="77777777">
      <w:pPr>
        <w:spacing w:after="240"/>
        <w:ind w:left="567" w:hanging="567"/>
        <w:rPr>
          <w:color w:val="000000"/>
        </w:rPr>
      </w:pPr>
      <w:r w:rsidRPr="00F13023">
        <w:rPr>
          <w:color w:val="000000"/>
        </w:rPr>
        <w:t>–</w:t>
      </w:r>
      <w:r w:rsidRPr="00F13023">
        <w:rPr>
          <w:color w:val="000000"/>
        </w:rPr>
        <w:tab/>
        <w:t>έχοντας υπόψη τον κανονισμό (EE, Ευρατόμ) 2020/2093 του Συμβουλίου, της 17ης Δεκεμβρίου 2020,</w:t>
      </w:r>
      <w:sdt>
        <w:sdtPr>
          <w:tag w:val="goog_rdk_0"/>
          <w:id w:val="399490220"/>
          <w:richText/>
        </w:sdtPr>
        <w:sdtContent/>
      </w:sdt>
      <w:sdt>
        <w:sdtPr>
          <w:tag w:val="goog_rdk_1"/>
          <w:id w:val="-2088213729"/>
          <w:richText/>
        </w:sdtPr>
        <w:sdtContent/>
      </w:sdt>
      <w:r w:rsidRPr="00F13023">
        <w:rPr>
          <w:color w:val="000000"/>
        </w:rPr>
        <w:t xml:space="preserve"> για τον καθορισμό του πολυετούς δημοσιονομικού πλαισίου για τα έτη 2021 έως 2027</w:t>
      </w:r>
      <w:r>
        <w:rPr>
          <w:color w:val="000000"/>
          <w:vertAlign w:val="superscript"/>
        </w:rPr>
        <w:footnoteReference w:id="3"/>
      </w:r>
      <w:r w:rsidRPr="00F13023">
        <w:rPr>
          <w:color w:val="000000"/>
        </w:rPr>
        <w:t>, και την κοινή δήλωση επί της οποίας επήλθε συμφωνία μεταξύ του Κοινοβουλίου, του Συμβουλίου και της Επιτροπής σχετικά με αυτό το ζήτημα</w:t>
      </w:r>
      <w:r>
        <w:rPr>
          <w:color w:val="000000"/>
          <w:vertAlign w:val="superscript"/>
        </w:rPr>
        <w:footnoteReference w:id="4"/>
      </w:r>
      <w:r w:rsidRPr="00F13023">
        <w:rPr>
          <w:color w:val="000000"/>
        </w:rPr>
        <w:t>, καθώς και τις σχετικές μονομερείς δηλώσεις</w:t>
      </w:r>
      <w:r>
        <w:rPr>
          <w:color w:val="000000"/>
          <w:vertAlign w:val="superscript"/>
        </w:rPr>
        <w:footnoteReference w:id="5"/>
      </w:r>
      <w:r w:rsidRPr="00F13023">
        <w:rPr>
          <w:color w:val="000000"/>
        </w:rPr>
        <w:t>,</w:t>
      </w:r>
    </w:p>
    <w:p w:rsidR="0034045D" w:rsidRPr="00F13023" w:rsidP="0034045D" w14:paraId="4E71769E" w14:textId="2B402797">
      <w:pPr>
        <w:spacing w:after="240"/>
        <w:ind w:left="567" w:hanging="567"/>
        <w:rPr>
          <w:color w:val="000000" w:themeColor="text1"/>
        </w:rPr>
      </w:pPr>
      <w:r w:rsidRPr="00F13023">
        <w:rPr>
          <w:color w:val="000000"/>
        </w:rPr>
        <w:t>–</w:t>
      </w:r>
      <w:r w:rsidRPr="00F13023">
        <w:rPr>
          <w:color w:val="000000"/>
        </w:rPr>
        <w:tab/>
        <w:t>έχοντας υπόψη τον κανονισμό (ΕΕ, Ευρατόμ) 2022/2496 του Συμβουλίου, της 15ης Δεκεμβρίου 2022, για την τροποποίηση του κανονισμού (ΕΕ,</w:t>
      </w:r>
      <w:r w:rsidRPr="00F13023" w:rsidR="001B56FB">
        <w:rPr>
          <w:color w:val="000000"/>
        </w:rPr>
        <w:t xml:space="preserve"> </w:t>
      </w:r>
      <w:r w:rsidRPr="00F13023">
        <w:rPr>
          <w:color w:val="000000"/>
        </w:rPr>
        <w:t>Ευρατόμ)</w:t>
      </w:r>
      <w:r w:rsidRPr="00F13023" w:rsidR="001B56FB">
        <w:rPr>
          <w:color w:val="000000"/>
        </w:rPr>
        <w:t xml:space="preserve"> </w:t>
      </w:r>
      <w:r w:rsidRPr="00F13023">
        <w:rPr>
          <w:color w:val="000000"/>
        </w:rPr>
        <w:t>2020/2093 για τον καθορισμό του πολυετούς δημοσιονομικού πλαισίου για τα έτη 2021 έως 2027</w:t>
      </w:r>
      <w:r>
        <w:rPr>
          <w:color w:val="000000"/>
          <w:vertAlign w:val="superscript"/>
        </w:rPr>
        <w:footnoteReference w:id="6"/>
      </w:r>
      <w:r w:rsidRPr="00F13023">
        <w:rPr>
          <w:color w:val="000000"/>
        </w:rPr>
        <w:t>,</w:t>
      </w:r>
    </w:p>
    <w:p w:rsidR="0034045D" w:rsidRPr="00F13023" w:rsidP="0034045D" w14:paraId="71E06216" w14:textId="30E15A0D">
      <w:pPr>
        <w:spacing w:after="240"/>
        <w:ind w:left="567" w:hanging="567"/>
      </w:pPr>
      <w:r w:rsidRPr="00F13023">
        <w:t>–</w:t>
      </w:r>
      <w:r w:rsidRPr="00F13023">
        <w:tab/>
      </w:r>
      <w:r w:rsidRPr="00F13023">
        <w:rPr>
          <w:color w:val="000000"/>
        </w:rPr>
        <w:t xml:space="preserve">έχοντας υπόψη τον κανονισμό (ΕΕ, Ευρατόμ) 2024/765 του Συμβουλίου, για την τροποποίηση του κανονισμού (ΕΕ, Ευρατόμ) 2020/2093 για τον καθορισμό του </w:t>
      </w:r>
      <w:r w:rsidRPr="00F13023">
        <w:rPr>
          <w:color w:val="000000"/>
        </w:rPr>
        <w:t>πολυετούς δημοσιονομικού πλαισίου για τα έτη 2021 έως 2027</w:t>
      </w:r>
      <w:r>
        <w:rPr>
          <w:rStyle w:val="FootnoteReference"/>
          <w:color w:val="000000"/>
        </w:rPr>
        <w:footnoteReference w:id="7"/>
      </w:r>
      <w:r w:rsidRPr="00F13023">
        <w:rPr>
          <w:color w:val="000000"/>
        </w:rPr>
        <w:t xml:space="preserve"> (αναθεώρηση ΠΔΠ),</w:t>
      </w:r>
    </w:p>
    <w:p w:rsidR="0034045D" w:rsidRPr="00F13023" w:rsidP="0034045D" w14:paraId="481FEC43" w14:textId="77777777">
      <w:pPr>
        <w:spacing w:after="240"/>
        <w:ind w:left="567" w:hanging="567"/>
        <w:rPr>
          <w:color w:val="000000"/>
        </w:rPr>
      </w:pPr>
      <w:r w:rsidRPr="00F13023">
        <w:rPr>
          <w:color w:val="000000"/>
        </w:rPr>
        <w:t>–</w:t>
      </w:r>
      <w:r w:rsidRPr="00F13023">
        <w:rPr>
          <w:color w:val="000000"/>
        </w:rPr>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Pr>
          <w:color w:val="000000"/>
          <w:vertAlign w:val="superscript"/>
        </w:rPr>
        <w:footnoteReference w:id="8"/>
      </w:r>
      <w:r w:rsidRPr="00F13023">
        <w:rPr>
          <w:color w:val="000000"/>
        </w:rPr>
        <w:t>,</w:t>
      </w:r>
    </w:p>
    <w:p w:rsidR="0034045D" w:rsidRPr="00F13023" w:rsidP="0034045D" w14:paraId="0BB7B35D" w14:textId="77777777">
      <w:pPr>
        <w:spacing w:after="240"/>
        <w:ind w:left="567" w:hanging="567"/>
      </w:pPr>
      <w:r w:rsidRPr="00F13023">
        <w:t>–</w:t>
      </w:r>
      <w:r w:rsidRPr="00F13023">
        <w:tab/>
        <w:t>έχοντας υπόψη το νομοθετικό ψήφισμά του της 16ης Δεκεμβρίου 2020 σχετικά με το σχέδιο κανονισμού του Συμβουλίου για τον καθορισμό του πολυετούς δημοσιονομικού πλαισίου για την περίοδο 2021-2027</w:t>
      </w:r>
      <w:r>
        <w:rPr>
          <w:vertAlign w:val="superscript"/>
        </w:rPr>
        <w:footnoteReference w:id="9"/>
      </w:r>
      <w:r w:rsidRPr="00F13023">
        <w:t>,</w:t>
      </w:r>
    </w:p>
    <w:p w:rsidR="0034045D" w:rsidRPr="00F13023" w:rsidP="0034045D" w14:paraId="2168B547" w14:textId="77777777">
      <w:pPr>
        <w:spacing w:after="240"/>
        <w:ind w:left="567" w:hanging="567"/>
        <w:rPr>
          <w:color w:val="000000"/>
        </w:rPr>
      </w:pPr>
      <w:r w:rsidRPr="00F13023">
        <w:rPr>
          <w:color w:val="000000"/>
        </w:rPr>
        <w:t>–</w:t>
      </w:r>
      <w:r w:rsidRPr="00F13023">
        <w:rPr>
          <w:color w:val="000000"/>
        </w:rPr>
        <w:tab/>
        <w:t>έχοντας υπόψη το ψήφισμά του της 15ης Δεκεμβρίου 2022 σχετικά με την αναβάθμιση του πολυετούς δημοσιονομικού πλαισίου 2021-2027: ένας ανθεκτικός προϋπολογισμός της ΕΕ, κατάλληλος για νέες προκλήσεις</w:t>
      </w:r>
      <w:r>
        <w:rPr>
          <w:color w:val="000000"/>
          <w:vertAlign w:val="superscript"/>
        </w:rPr>
        <w:footnoteReference w:id="10"/>
      </w:r>
      <w:r w:rsidRPr="00F13023">
        <w:rPr>
          <w:color w:val="000000"/>
        </w:rPr>
        <w:t>,</w:t>
      </w:r>
    </w:p>
    <w:p w:rsidR="0034045D" w:rsidRPr="00F13023" w:rsidP="0034045D" w14:paraId="48FF2B00" w14:textId="77777777">
      <w:pPr>
        <w:spacing w:after="240"/>
        <w:ind w:left="567" w:hanging="567"/>
      </w:pPr>
      <w:r w:rsidRPr="00F13023">
        <w:t>–</w:t>
      </w:r>
      <w:r w:rsidRPr="00F13023">
        <w:tab/>
        <w:t>έχοντας υπόψη το ψήφισμά του της 3ης Οκτωβρίου 2023 σχετικά με την πρόταση για ενδιάμεση αναθεώρηση του πολυετούς δημοσιονομικού πλαισίου 2021-2027</w:t>
      </w:r>
      <w:r>
        <w:rPr>
          <w:vertAlign w:val="superscript"/>
        </w:rPr>
        <w:footnoteReference w:id="11"/>
      </w:r>
      <w:r w:rsidRPr="00F13023">
        <w:t>,</w:t>
      </w:r>
    </w:p>
    <w:p w:rsidR="0034045D" w:rsidRPr="00F13023" w:rsidP="0034045D" w14:paraId="00218069" w14:textId="77777777">
      <w:pPr>
        <w:spacing w:after="240"/>
        <w:ind w:left="567" w:hanging="567"/>
        <w:rPr>
          <w:color w:val="000000"/>
        </w:rPr>
      </w:pPr>
      <w:r w:rsidRPr="00F13023">
        <w:rPr>
          <w:color w:val="000000"/>
        </w:rPr>
        <w:t>–</w:t>
      </w:r>
      <w:r w:rsidRPr="00F13023">
        <w:rPr>
          <w:color w:val="000000"/>
        </w:rPr>
        <w:tab/>
        <w:t>έχοντας υπόψη το ψήφισμά του της 27ης Φεβρουαρίου 2024 σχετικά με το σχέδιο κανονισμού του Συμβουλίου που αφορά την τροποποίηση του κανονισμού (ΕΕ, Ευρατόμ) 2020/2093 για τον καθορισμό του πολυετούς δημοσιονομικού πλαισίου για τα έτη 2021 έως 2027</w:t>
      </w:r>
      <w:r>
        <w:rPr>
          <w:color w:val="000000"/>
          <w:vertAlign w:val="superscript"/>
        </w:rPr>
        <w:footnoteReference w:id="12"/>
      </w:r>
      <w:r w:rsidRPr="00F13023">
        <w:rPr>
          <w:color w:val="000000"/>
        </w:rPr>
        <w:t>,</w:t>
      </w:r>
    </w:p>
    <w:p w:rsidR="0034045D" w:rsidRPr="00F13023" w:rsidP="0034045D" w14:paraId="2047F4B8" w14:textId="77777777">
      <w:pPr>
        <w:spacing w:after="240"/>
        <w:ind w:left="567" w:hanging="567"/>
        <w:rPr>
          <w:color w:val="000000"/>
        </w:rPr>
      </w:pPr>
      <w:r w:rsidRPr="00F13023">
        <w:rPr>
          <w:color w:val="000000"/>
        </w:rPr>
        <w:t>–</w:t>
      </w:r>
      <w:r w:rsidRPr="00F13023">
        <w:rPr>
          <w:color w:val="000000"/>
        </w:rPr>
        <w:tab/>
        <w:t>έχοντας υπόψη τον γενικό προϋπολογισμό της Ευρωπαϊκής Ένωσης για το οικονομικό έτος 2026</w:t>
      </w:r>
      <w:r w:rsidRPr="00F13023">
        <w:t>, όπως εγκρίθηκε οριστικά στις 26 Νοεμβρίου 2025</w:t>
      </w:r>
      <w:r>
        <w:rPr>
          <w:color w:val="000000"/>
          <w:vertAlign w:val="superscript"/>
        </w:rPr>
        <w:footnoteReference w:id="13"/>
      </w:r>
      <w:r w:rsidRPr="00F13023">
        <w:t xml:space="preserve">, </w:t>
      </w:r>
      <w:r w:rsidRPr="00F13023">
        <w:rPr>
          <w:color w:val="000000"/>
        </w:rPr>
        <w:t>και τις επισυναπτόμενες σε αυτόν κοινές δηλώσεις επί των οποίων επήλθε συμφωνία μεταξύ του Κοινοβουλίου, του Συμβουλίου και της Επιτροπής,</w:t>
      </w:r>
    </w:p>
    <w:p w:rsidR="0034045D" w:rsidRPr="00F13023" w:rsidP="0034045D" w14:paraId="0383EFA5" w14:textId="77777777">
      <w:pPr>
        <w:pStyle w:val="Action"/>
        <w:tabs>
          <w:tab w:val="clear" w:pos="357"/>
        </w:tabs>
        <w:spacing w:after="120"/>
        <w:ind w:left="567" w:hanging="567"/>
        <w:outlineLvl w:val="0"/>
      </w:pPr>
      <w:r w:rsidRPr="00F13023">
        <w:t>–</w:t>
      </w:r>
      <w:r w:rsidRPr="00F13023">
        <w:tab/>
        <w:t>έχοντας υπόψη την έκθεση του Γενικού Γραμματέα προς το Προεδρείο ενόψει της κατάρτισης του προσχεδίου κατάστασης προβλέψεων του Ευρωπαϊκού Κοινοβουλίου για το οικονομικό έτος 2027,</w:t>
      </w:r>
    </w:p>
    <w:p w:rsidR="0034045D" w:rsidRPr="00F13023" w:rsidP="0034045D" w14:paraId="778D42A9" w14:textId="77777777">
      <w:pPr>
        <w:pStyle w:val="Action"/>
        <w:tabs>
          <w:tab w:val="clear" w:pos="357"/>
        </w:tabs>
        <w:spacing w:after="120"/>
        <w:ind w:left="567" w:hanging="567"/>
        <w:outlineLvl w:val="0"/>
      </w:pPr>
      <w:r w:rsidRPr="00F13023">
        <w:t>–</w:t>
      </w:r>
      <w:r w:rsidRPr="00F13023">
        <w:tab/>
        <w:t>έχοντας υπόψη το προσχέδιο κατάστασης προβλέψεων που κατάρτισε το Προεδρείο στις 9 Μαρτίου 2026 σύμφωνα με το άρθρο 25 παράγραφος 7 και το άρθρο 104 παράγραφος 1 του Κανονισμού του Κοινοβουλίου,</w:t>
      </w:r>
    </w:p>
    <w:p w:rsidR="0034045D" w:rsidRPr="00F13023" w:rsidP="0034045D" w14:paraId="014356AB" w14:textId="77777777">
      <w:pPr>
        <w:pStyle w:val="Action"/>
        <w:tabs>
          <w:tab w:val="clear" w:pos="357"/>
        </w:tabs>
        <w:spacing w:after="120"/>
        <w:ind w:left="567" w:hanging="567"/>
        <w:outlineLvl w:val="0"/>
      </w:pPr>
      <w:r w:rsidRPr="00F13023">
        <w:t>–</w:t>
      </w:r>
      <w:r w:rsidRPr="00F13023">
        <w:tab/>
        <w:t>έχοντας υπόψη το σχέδιο κατάστασης προβλέψεων που κατάρτισε η Επιτροπή Προϋπολογισμών σύμφωνα με το άρθρο 104 παράγραφος 2 του Κανονισμού του Κοινοβουλίου,</w:t>
      </w:r>
    </w:p>
    <w:p w:rsidR="0034045D" w:rsidRPr="00F13023" w:rsidP="0034045D" w14:paraId="0F60889C" w14:textId="77777777">
      <w:pPr>
        <w:pStyle w:val="Action"/>
        <w:tabs>
          <w:tab w:val="clear" w:pos="357"/>
        </w:tabs>
        <w:spacing w:after="120"/>
        <w:ind w:left="567" w:hanging="567"/>
        <w:outlineLvl w:val="0"/>
      </w:pPr>
      <w:r w:rsidRPr="00F13023">
        <w:t>–</w:t>
      </w:r>
      <w:r w:rsidRPr="00F13023">
        <w:tab/>
        <w:t>έχοντας υπόψη το άρθρο 104 του Κανονισμού του,</w:t>
      </w:r>
    </w:p>
    <w:p w:rsidR="0034045D" w:rsidRPr="00F13023" w:rsidP="0034045D" w14:paraId="05657BC7" w14:textId="77777777">
      <w:pPr>
        <w:pStyle w:val="Action"/>
        <w:tabs>
          <w:tab w:val="clear" w:pos="357"/>
        </w:tabs>
        <w:ind w:left="567" w:hanging="567"/>
        <w:outlineLvl w:val="0"/>
      </w:pPr>
      <w:r w:rsidRPr="00F13023">
        <w:t>–</w:t>
      </w:r>
      <w:r w:rsidRPr="00F13023">
        <w:tab/>
        <w:t>έχοντας υπόψη την έκθεση της Επιτροπής Προϋπολογισμών (A10-0124/2026),</w:t>
      </w:r>
    </w:p>
    <w:p w:rsidR="0034045D" w:rsidRPr="00F13023" w:rsidP="0034045D" w14:paraId="214A3BA0" w14:textId="77777777">
      <w:pPr>
        <w:pStyle w:val="Action"/>
        <w:tabs>
          <w:tab w:val="clear" w:pos="357"/>
        </w:tabs>
        <w:spacing w:after="120"/>
        <w:ind w:left="567" w:hanging="567"/>
        <w:outlineLvl w:val="0"/>
      </w:pPr>
      <w:r w:rsidRPr="00F13023">
        <w:t>Α.</w:t>
      </w:r>
      <w:r w:rsidRPr="00F13023">
        <w:tab/>
        <w:t>λαμβάνοντας υπόψη ότι ο προϋπολογισμός που προτάθηκε στις 9 Φεβρουαρίου 2026 από τον Γενικό Γραμματέα για το προσχέδιο κατάστασης προβλέψεων του Κοινοβουλίου για το 2027 ανέρχεται σε 2 665 474 853 EUR και αντιπροσωπεύει αύξηση κατά 2,33 % ή 60 618 266 EUR σε σύγκριση με τον προϋπολογισμό του 2026·</w:t>
      </w:r>
    </w:p>
    <w:p w:rsidR="0034045D" w:rsidRPr="00F13023" w:rsidP="0034045D" w14:paraId="37DE3F68" w14:textId="77777777">
      <w:pPr>
        <w:pStyle w:val="Action"/>
        <w:tabs>
          <w:tab w:val="clear" w:pos="357"/>
        </w:tabs>
        <w:spacing w:after="120"/>
        <w:ind w:left="567" w:hanging="567"/>
        <w:outlineLvl w:val="0"/>
      </w:pPr>
      <w:r w:rsidRPr="00F13023">
        <w:t>Β.</w:t>
      </w:r>
      <w:r w:rsidRPr="00F13023">
        <w:tab/>
        <w:t>λαμβάνοντας υπόψη ότι η αύξηση κατά 2,33 %, όπως προτείνεται από τον Γενικό Γραμματέα, οφείλεται σε αύξηση κατά 2,01 % για τις καταστατικές οικονομικές υποχρεώσεις και κατά 2,89 % για τις μη καταστατικές δαπάνες·</w:t>
      </w:r>
    </w:p>
    <w:p w:rsidR="0034045D" w:rsidRPr="00F13023" w:rsidP="0034045D" w14:paraId="6433458B" w14:textId="77777777">
      <w:pPr>
        <w:pStyle w:val="Action"/>
        <w:tabs>
          <w:tab w:val="clear" w:pos="357"/>
        </w:tabs>
        <w:ind w:left="567" w:hanging="567"/>
        <w:outlineLvl w:val="0"/>
      </w:pPr>
      <w:r w:rsidRPr="00F13023">
        <w:t>Γ.</w:t>
      </w:r>
      <w:r w:rsidRPr="00F13023">
        <w:tab/>
        <w:t>λαμβάνοντας υπόψη ότι ο ετήσιος πληθωρισμός της Ένωσης μειώθηκε στο 2,3 % τον Δεκέμβριο του 2025, σύμφωνα με την Eurostat, από 2,7 % τον Δεκέμβριο του 2024· λαμβάνοντας υπόψη ότι το επίπεδο των δαπανών στον τομέα 7 του πολυετούς δημοσιονομικού πλαισίου (ΠΔΠ) 2021-2027 βασίζεται σε ετήσια αύξηση ύψους 2 %·</w:t>
      </w:r>
    </w:p>
    <w:p w:rsidR="0034045D" w:rsidRPr="00F13023" w:rsidP="0034045D" w14:paraId="1DFFD60A" w14:textId="77777777">
      <w:pPr>
        <w:pStyle w:val="Action"/>
        <w:tabs>
          <w:tab w:val="clear" w:pos="357"/>
        </w:tabs>
        <w:ind w:left="567" w:hanging="567"/>
        <w:outlineLvl w:val="0"/>
      </w:pPr>
      <w:r w:rsidRPr="00F13023">
        <w:t>Δ.</w:t>
      </w:r>
      <w:r w:rsidRPr="00F13023">
        <w:tab/>
        <w:t>λαμβάνοντας υπόψη ότι η αξιοπιστία του Κοινοβουλίου εξαρτάται από την ικανότητά του να επιτυγχάνει αποτελέσματα όσον αφορά το βασικό δημοσιονομικό, νομοθετικό και ελεγκτικό έργο του με βάση τα υψηλότερα δυνατά πρότυπα, δίνοντας παράλληλα το παράδειγμα έναντι άλλων θεσμικών οργάνων της Ένωσης για τον σχεδιασμό και την εκτέλεση των δαπανών του με σύνεση και αποδοτικότητα και για την αποτύπωση της επικρατούσας οικονομικής πραγματικότητας·</w:t>
      </w:r>
    </w:p>
    <w:p w:rsidR="0034045D" w:rsidRPr="00F13023" w:rsidP="0034045D" w14:paraId="7AC310BA" w14:textId="77777777">
      <w:pPr>
        <w:pStyle w:val="NormalHanging12a"/>
        <w:rPr>
          <w:b/>
          <w:i/>
        </w:rPr>
      </w:pPr>
      <w:r w:rsidRPr="00F13023">
        <w:rPr>
          <w:b/>
          <w:i/>
        </w:rPr>
        <w:t>Γενικό πλαίσιο</w:t>
      </w:r>
    </w:p>
    <w:p w:rsidR="0034045D" w:rsidRPr="00F13023" w:rsidP="00F13023" w14:paraId="28659A45" w14:textId="7CDAF32E">
      <w:pPr>
        <w:widowControl/>
        <w:spacing w:after="240"/>
        <w:ind w:left="570" w:hanging="570"/>
        <w:rPr>
          <w:color w:val="000000"/>
        </w:rPr>
      </w:pPr>
      <w:r w:rsidRPr="00F13023">
        <w:rPr>
          <w:color w:val="000000"/>
        </w:rPr>
        <w:t>1.</w:t>
      </w:r>
      <w:r w:rsidRPr="00F13023">
        <w:rPr>
          <w:color w:val="000000"/>
        </w:rPr>
        <w:tab/>
      </w:r>
      <w:r w:rsidRPr="00F13023">
        <w:rPr>
          <w:color w:val="000000"/>
        </w:rPr>
        <w:t>εκφράζει την ανησυχία του για την κατάσταση του τομέα 7 στο τρέχον ΠΔΠ· υπενθυμίζει ότι οι περιορισμοί είναι αποτέλεσμα των περικοπών που εφάρμοσε το Συμβούλιο στην ήδη εξαιρετικά χαμηλή αρχική πρόταση της Επιτροπής κατά την επίτευξη συμφωνίας για το ΠΔΠ 2021-2027, καθώς και του σωρευτικού αντικτύπου του υψηλότερου από το αναμενόμενο πληθωρισμού επί σειρά ετών· εκφράζει τη λύπη του για την αντίθεση του Συμβουλίου στην πρόταση της Επιτροπής να αυξηθεί το ανώτατο όριο του τομέα 7 στην αναθεώρηση του ΠΔΠ από το 2024· επισημαίνει το γεγονός ότι κατά την αναθεώρηση του ΠΔΠ δεν διευθετήθηκε το ζήτημα του ανώτατου ορίου του τομέα 7· επισημαίνει ότι το προβλεπόμενο αρνητικό περιθώριο για το 2027 προϋποθέτει τη χρήση ειδικών μέσων στον τομέα 7 για τον σκοπό αυτόν· υπογραμμίζει ότι η προσφυγή σε ειδικά μέσα θα πρέπει να παραμείνει έκτακτη, δεόντως αιτιολογημένη και να περιορίζεται σε απρόβλεπτες περιστάσεις·</w:t>
      </w:r>
    </w:p>
    <w:p w:rsidR="0034045D" w:rsidRPr="00F13023" w:rsidP="00F13023" w14:paraId="5CDC15B7" w14:textId="36DA9F5D">
      <w:pPr>
        <w:widowControl/>
        <w:spacing w:after="240"/>
        <w:ind w:left="570" w:hanging="570"/>
        <w:rPr>
          <w:color w:val="000000"/>
        </w:rPr>
      </w:pPr>
      <w:r w:rsidRPr="00F13023">
        <w:rPr>
          <w:color w:val="000000"/>
        </w:rPr>
        <w:t>2.</w:t>
      </w:r>
      <w:r w:rsidRPr="00F13023">
        <w:rPr>
          <w:color w:val="000000"/>
        </w:rPr>
        <w:tab/>
      </w:r>
      <w:r w:rsidRPr="00F13023">
        <w:rPr>
          <w:color w:val="000000"/>
        </w:rPr>
        <w:t xml:space="preserve">εγκρίνει τη συμφωνία που επιτεύχθηκε κατά τη συνδιαλλαγή μεταξύ του Προεδρείου και της Επιτροπής Προϋπολογισμών στις 15 Απριλίου 2026 για τον καθορισμό της αύξησης σε σχέση με τον προϋπολογισμό του 2026 σε 1,98 %, που αντιστοιχεί σε συνολικό επίπεδο προβλέψεων 2 656 435 753 EUR για το 2027, και για ανάλογη μείωση των πιστώσεων που προτείνονται στις ακόλουθες γραμμές του προϋπολογισμού, συνολικού ύψους 10 554 000 EUR: </w:t>
      </w:r>
    </w:p>
    <w:p w:rsidR="0034045D" w:rsidRPr="00F13023" w:rsidP="0030383B" w14:paraId="023A06B8" w14:textId="573B8D1E">
      <w:pPr>
        <w:widowControl/>
        <w:spacing w:after="240"/>
        <w:ind w:left="567"/>
        <w:rPr>
          <w:color w:val="000000"/>
        </w:rPr>
      </w:pPr>
      <w:r w:rsidRPr="00F13023">
        <w:rPr>
          <w:color w:val="000000"/>
        </w:rPr>
        <w:t xml:space="preserve">1 0 0 6 — Αποζημιώσεις γενικών εξόδων, 1 4 0 5 01 — Δαπάνες για τη διερμηνεία: εξωτερική διερμηνεία, 1 4 2 — Ανάθεση μεταφραστικών υπηρεσιών εκτός θεσμικού οργάνου, 1 6 1 2 07 — Μάθηση και ανάπτυξη: εξωτερικά μαθήματα κατάρτισης για τη ΓΔ ITEC, 2 0 0 7 04 — Ανέγερση κτιρίων και διαρρύθμιση των χώρων: Γραφεία συνδέσμου/Europa </w:t>
      </w:r>
      <w:r w:rsidRPr="00F13023">
        <w:rPr>
          <w:color w:val="000000"/>
        </w:rPr>
        <w:t>Experience</w:t>
      </w:r>
      <w:r w:rsidRPr="00F13023">
        <w:rPr>
          <w:color w:val="000000"/>
        </w:rPr>
        <w:t xml:space="preserve">, 2 1 0 0 02 — Διακυβέρνηση ΤΠ και κυβερνοασφάλεια — Ασφάλεια, κίνδυνοι και συμμόρφωση ΤΠΕ, 2 1 0 0 03 — Διακυβέρνηση ΤΠ και κυβερνοασφάλεια — Τεχνολογία αιχμής 2 1 0 1 02 — Διαχείριση επιχειρησιακών </w:t>
      </w:r>
      <w:r w:rsidRPr="00F13023">
        <w:rPr>
          <w:color w:val="000000"/>
        </w:rPr>
        <w:t>εφαρμογών — Παροχή λύσεων ΤΠ, 2 1 0 1 13 — Διαχείριση επιχειρησιακών εφαρμογών — </w:t>
      </w:r>
      <w:r w:rsidRPr="00F13023" w:rsidR="00024F83">
        <w:rPr>
          <w:color w:val="000000"/>
        </w:rPr>
        <w:t xml:space="preserve">ΓΔ </w:t>
      </w:r>
      <w:r w:rsidRPr="00F13023">
        <w:rPr>
          <w:color w:val="000000"/>
        </w:rPr>
        <w:t xml:space="preserve">FINS, 2 1 0 2 03 — Διαχείριση υποδομής και λειτουργίας — Τηλεπικοινωνίες , 2 1 0 2 04 — Διαχείριση υποδομής και λειτουργίας — Εταιρική υποδομή, 2 1 0 2 05 — Διαχείριση υποδομής και λειτουργίας — Λογισμικό — Υποδομή, 2 1 0 2 07 — Διαχείριση υποδομής και λειτουργίας — Διαχείριση εκτυπώσεων, 2 1 0 3 01 — Υπηρεσίες και εξοπλισμός ψηφιακού χώρου εργασίας — Ατομικός εξοπλισμός ΤΠ, 2 1 2 0 01 — Έπιπλα: αγορά, μίσθωση, ανανέωση, συντήρηση και επισκευή επίπλων, 2 1 6 0 01 — Μεταφορά βουλευτών, άλλων ατόμων και αγαθών: μεταφορά των βουλευτών (μίσθωση και εκμετάλλευση), 3 0 0 0 02 — Έξοδα αποστολών του προσωπικού και έξοδα ταξιδίων μεταξύ των τριών τόπων εργασίας: αποστολές εκτός των τριών τόπων εργασίας, 3 0 0 0 03 — Έξοδα αποστολών του προσωπικού και έξοδα ταξιδίων μεταξύ των τριών τόπων εργασίας: μάθηση και ανάπτυξη, 3 2 1 0 01 — Δαπάνες για τις υπηρεσίες κοινοβουλευτικής έρευνας, συμπεριλαμβανομένων της βιβλιοθήκης, των ιστορικών αρχείων, της Αξιολόγησης Επιστημονικών και Τεχνολογικών Επιλογών (STOA) και του Ευρωπαϊκού κόμβου επιστημονικών μέσων ενημέρωσης: εκτίμηση αντίκτυπου και ευρωπαϊκή προστιθέμενη αξία, 3 2 2 0 09 — Δαπάνες τεκμηρίωσης: συνδρομές και παρακολούθηση των μέσων ενημέρωσης, 3 2 4 2 01 — Δαπάνες δημοσιεύσεων, πληροφόρησης και συμμετοχής σε δημόσιες εκδηλώσεις: εκστρατείες πληροφόρησης 3 2 4 3 01 — Κέντρα Επισκεπτών του Ευρωπαϊκού Κοινοβουλίου: </w:t>
      </w:r>
      <w:r w:rsidRPr="00F13023">
        <w:rPr>
          <w:color w:val="000000"/>
        </w:rPr>
        <w:t>Parlamentarium</w:t>
      </w:r>
      <w:r w:rsidRPr="00F13023">
        <w:rPr>
          <w:color w:val="000000"/>
        </w:rPr>
        <w:t xml:space="preserve"> και «Europa </w:t>
      </w:r>
      <w:r w:rsidRPr="00F13023">
        <w:rPr>
          <w:color w:val="000000"/>
        </w:rPr>
        <w:t>Experience</w:t>
      </w:r>
      <w:r w:rsidRPr="00F13023">
        <w:rPr>
          <w:color w:val="000000"/>
        </w:rPr>
        <w:t xml:space="preserve">» 3 2 4 3 02 — Κέντρα Επισκεπτών του Ευρωπαϊκού Κοινοβουλίου Σπίτι της Ευρωπαϊκής Ιστορίας, 101 — Αποθεματικό για απρόβλεπτα. </w:t>
      </w:r>
    </w:p>
    <w:p w:rsidR="0034045D" w:rsidRPr="00F13023" w:rsidP="0030383B" w14:paraId="07207047" w14:textId="77777777">
      <w:pPr>
        <w:widowControl/>
        <w:spacing w:after="240"/>
        <w:ind w:left="567"/>
        <w:rPr>
          <w:color w:val="000000"/>
        </w:rPr>
      </w:pPr>
      <w:r w:rsidRPr="00F13023">
        <w:rPr>
          <w:color w:val="000000"/>
        </w:rPr>
        <w:t>επιπλέον, αποφασίστηκε να αυξηθεί το επίπεδο των δαπανών του προσχεδίου κατάστασης προβλέψεων που ενέκρινε το Προεδρείο στις 9 Μαρτίου 2026 κατά 1 514 900 EUR και να αυξηθούν αναλόγως οι πιστώσεις που προτείνονται στις ακόλουθες γραμμές του προϋπολογισμού:</w:t>
      </w:r>
    </w:p>
    <w:p w:rsidR="0034045D" w:rsidRPr="00F13023" w:rsidP="0030383B" w14:paraId="02800673" w14:textId="77777777">
      <w:pPr>
        <w:widowControl/>
        <w:spacing w:after="240"/>
        <w:ind w:left="567"/>
        <w:rPr>
          <w:color w:val="000000"/>
        </w:rPr>
      </w:pPr>
      <w:r w:rsidRPr="00F13023">
        <w:rPr>
          <w:color w:val="000000"/>
        </w:rPr>
        <w:t xml:space="preserve">4 0 3 — Χρηματοδότηση των ευρωπαϊκών πολιτικών ιδρυμάτων και 4 4 0 — Δαπάνες για συνεδριάσεις και άλλες δραστηριότητες πρώην βουλευτών </w:t>
      </w:r>
    </w:p>
    <w:p w:rsidR="0034045D" w:rsidRPr="00F13023" w:rsidP="00F13023" w14:paraId="04842C29" w14:textId="157A67C1">
      <w:pPr>
        <w:widowControl/>
        <w:spacing w:after="240"/>
        <w:ind w:left="570" w:hanging="570"/>
        <w:rPr>
          <w:color w:val="000000"/>
        </w:rPr>
      </w:pPr>
      <w:r w:rsidRPr="00F13023">
        <w:rPr>
          <w:color w:val="000000"/>
        </w:rPr>
        <w:t>3.</w:t>
      </w:r>
      <w:r w:rsidRPr="00F13023">
        <w:rPr>
          <w:color w:val="000000"/>
        </w:rPr>
        <w:tab/>
      </w:r>
      <w:r w:rsidRPr="00F13023">
        <w:rPr>
          <w:color w:val="000000"/>
        </w:rPr>
        <w:t>υπενθυμίζει ότι σχεδόν τα δύο τρίτα του προϋπολογισμού καθορίζονται από υποχρεώσεις που προβλέπονται στον κανονισμό υπηρεσιακής κατάστασης· υπενθυμίζει ότι η τιμαριθμική αναπροσαρμογή των μισθών, σύμφωνα με τον κανονισμό υπηρεσιακής κατάστασης και το καθεστώς των βουλευτών του Ευρωπαϊκού Κοινοβουλίου, προβλέπεται επί του παρόντος από την Επιτροπή για τον Ιούλιο του 2026 και τον Ιούλιο του 2027 σε 2,2 % και 2,3 % αντίστοιχα·</w:t>
      </w:r>
    </w:p>
    <w:p w:rsidR="007E49A8" w:rsidRPr="00F13023" w:rsidP="00F13023" w14:paraId="2654F649" w14:textId="614ABEAE">
      <w:pPr>
        <w:widowControl/>
        <w:spacing w:after="240"/>
        <w:ind w:left="570" w:hanging="570"/>
        <w:rPr>
          <w:color w:val="000000"/>
        </w:rPr>
      </w:pPr>
      <w:r w:rsidRPr="00F13023">
        <w:rPr>
          <w:color w:val="000000"/>
        </w:rPr>
        <w:t>4.</w:t>
      </w:r>
      <w:r w:rsidRPr="00F13023">
        <w:rPr>
          <w:color w:val="000000"/>
        </w:rPr>
        <w:tab/>
      </w:r>
      <w:r w:rsidRPr="00F13023" w:rsidR="0034045D">
        <w:rPr>
          <w:color w:val="000000"/>
        </w:rPr>
        <w:t xml:space="preserve">σημειώνει ότι από την αύξηση κατά 51,6 εκατομμύρια EUR σε σύγκριση με τον προϋπολογισμό του 2026, η αύξηση κατά 32,6 εκατομμύρια EUR οφείλεται σε καταστατικές οικονομικές υποχρεώσεις, κυρίως για αναπροσαρμογή των μισθών μόνιμων και έκτακτων υπαλλήλων (16,2 εκατομμύρια EUR) και συμβασιούχων υπαλλήλων (1,7 εκατομμύρια EUR)· εκφράζει την ικανοποίησή του για το γεγονός ότι από το 2027 και μετά προβλέπεται η χορήγηση έκτακτης άμεσης ενίσχυσης σε κάθε ασκούμενο που διαμένει στο Λουξεμβούργο (έως 500 </w:t>
      </w:r>
      <w:r w:rsidRPr="00F13023" w:rsidR="001B56FB">
        <w:rPr>
          <w:color w:val="000000"/>
        </w:rPr>
        <w:t>EUR</w:t>
      </w:r>
      <w:r w:rsidRPr="00F13023" w:rsidR="0034045D">
        <w:rPr>
          <w:color w:val="000000"/>
        </w:rPr>
        <w:t xml:space="preserve"> ανά μήνα πρακτικής άσκησης), προκειμένου να τους βοηθήσει να αντιμετωπίσουν την αύξηση του κόστους στέγασης· ζητεί να διασφαλιστεί η προσβασιμότητα των νέων σε πρακτική άσκηση στο πλαίσιο του αυξανόμενου κόστους ζωής ανεξάρτητα από τον τόπο εργασίας· εκφράζει την ικανοποίησή του για την απόφαση του Προεδρείου να εγκαταλείψει την τιμαριθμική αναπροσαρμογή της αποζημίωσης γενικών εξόδων για το 2026·</w:t>
      </w:r>
    </w:p>
    <w:p w:rsidR="0034045D" w:rsidRPr="00F13023" w:rsidP="00F13023" w14:paraId="2E9B1BE9" w14:textId="3E67993A">
      <w:pPr>
        <w:widowControl/>
        <w:spacing w:after="240"/>
        <w:ind w:left="570" w:hanging="570"/>
        <w:rPr>
          <w:bCs/>
          <w:iCs/>
          <w:color w:val="000000"/>
        </w:rPr>
      </w:pPr>
      <w:r w:rsidRPr="00F13023">
        <w:rPr>
          <w:bCs/>
          <w:iCs/>
          <w:color w:val="000000"/>
        </w:rPr>
        <w:t>5.</w:t>
      </w:r>
      <w:r w:rsidRPr="00F13023">
        <w:rPr>
          <w:bCs/>
          <w:iCs/>
          <w:color w:val="000000"/>
        </w:rPr>
        <w:tab/>
      </w:r>
      <w:r w:rsidRPr="00F13023">
        <w:rPr>
          <w:color w:val="000000"/>
        </w:rPr>
        <w:t>σημειώνει ότι το ποσό που προβλέπεται για την αποζημίωση κοινοβουλευτικής επικουρίας εκτιμάται με βάση ιστορικές τάσεις· τονίζει ότι σε καμία περίπτωση δεν μπορούν οι βουλευτές να στερηθούν το δικαίωμά τους να κάνουν πλήρη χρήση της αποζημίωσης αυτής, σύμφωνα με τους σχετικούς κανόνες, λόγω μη διαθεσιμότητας σε αυτή τη γραμμή του προϋπολογισμού· ζητεί από τον Γενικό Γραμματέα να παρακολουθεί στενά την κατάσταση, να ενημερώνει την Επιτροπή Προϋπολογισμών σχετικά με την εκτέλεση της γραμμής του προϋπολογισμού και να λαμβάνει τα κατάλληλα μέτρα όταν υπάρχει κίνδυνος ανεπαρκών οικονομικών πόρων·</w:t>
      </w:r>
    </w:p>
    <w:p w:rsidR="0034045D" w:rsidRPr="00F13023" w:rsidP="00F13023" w14:paraId="0F8A8088" w14:textId="007E19BE">
      <w:pPr>
        <w:widowControl/>
        <w:spacing w:after="240"/>
        <w:ind w:left="570" w:hanging="570"/>
        <w:rPr>
          <w:color w:val="000000"/>
        </w:rPr>
      </w:pPr>
      <w:r w:rsidRPr="00F13023">
        <w:rPr>
          <w:color w:val="000000"/>
        </w:rPr>
        <w:t>6.</w:t>
      </w:r>
      <w:r w:rsidRPr="00F13023">
        <w:rPr>
          <w:color w:val="000000"/>
        </w:rPr>
        <w:tab/>
      </w:r>
      <w:r w:rsidRPr="00F13023">
        <w:rPr>
          <w:color w:val="000000"/>
        </w:rPr>
        <w:t xml:space="preserve">σημειώνει ότι, για τέταρτο κατά σειρά έτος, το Κοινοβούλιο δεν ζητεί πρόσθετες θέσεις για το 2027· </w:t>
      </w:r>
    </w:p>
    <w:p w:rsidR="0034045D" w:rsidRPr="00F13023" w:rsidP="00F13023" w14:paraId="4F718E70" w14:textId="15664498">
      <w:pPr>
        <w:widowControl/>
        <w:spacing w:after="240"/>
        <w:ind w:left="570" w:hanging="570"/>
        <w:rPr>
          <w:color w:val="000000"/>
        </w:rPr>
      </w:pPr>
      <w:r w:rsidRPr="00F13023">
        <w:rPr>
          <w:color w:val="000000"/>
        </w:rPr>
        <w:t>7.</w:t>
      </w:r>
      <w:r w:rsidRPr="00F13023">
        <w:rPr>
          <w:color w:val="000000"/>
        </w:rPr>
        <w:tab/>
      </w:r>
      <w:r w:rsidRPr="00F13023">
        <w:rPr>
          <w:color w:val="000000"/>
        </w:rPr>
        <w:t xml:space="preserve">σημειώνει ότι η αύξηση των μη καταστατικών δαπανών μεταξύ 2026 και 2027 είναι 2 %· </w:t>
      </w:r>
    </w:p>
    <w:p w:rsidR="0034045D" w:rsidRPr="00F13023" w:rsidP="00F13023" w14:paraId="52723EE5" w14:textId="7850BF53">
      <w:pPr>
        <w:widowControl/>
        <w:spacing w:after="240"/>
        <w:ind w:left="570" w:hanging="570"/>
        <w:rPr>
          <w:color w:val="000000"/>
        </w:rPr>
      </w:pPr>
      <w:r w:rsidRPr="00F13023">
        <w:rPr>
          <w:color w:val="000000"/>
        </w:rPr>
        <w:t>8.</w:t>
      </w:r>
      <w:r w:rsidRPr="00F13023">
        <w:rPr>
          <w:color w:val="000000"/>
        </w:rPr>
        <w:tab/>
      </w:r>
      <w:r w:rsidRPr="00F13023">
        <w:rPr>
          <w:color w:val="000000"/>
        </w:rPr>
        <w:t xml:space="preserve">εκφράζει την ικανοποίησή του για το συνεχιζόμενο έργο του Γενικού Γραμματέα, σύμφωνα με τις μεταρρυθμίσεις που πρότεινε η Πρόεδρος </w:t>
      </w:r>
      <w:r w:rsidRPr="00F13023">
        <w:rPr>
          <w:color w:val="000000"/>
        </w:rPr>
        <w:t>Metsola</w:t>
      </w:r>
      <w:r w:rsidRPr="00F13023">
        <w:rPr>
          <w:color w:val="000000"/>
        </w:rPr>
        <w:t xml:space="preserve"> στις 16 Ιουνίου 2025, σχετικά με τη διοικητική συνεργασία, τον σχεδιασμό και την απλούστευση με στόχο την ενίσχυση της αποδοτικότητας, την αποδοτική χρήση των πόρων και την επίτευξη εξοικονόμησης όπου είναι δυνατόν· ζητεί ενισχυμένους μηχανισμούς υποβολής εκθέσεων για την ενίσχυση της διαφάνειας και της λογοδοσίας· ζητεί από τον Γενικό Γραμματέα να ενημερώνει τακτικά την Επιτροπή Προϋπολογισμών σχετικά με την εφαρμογή του σχεδίου δράσης για τη διοικητική απλούστευση και τον αντίκτυπό του όσον αφορά τον προϋπολογισμό και το προσωπικό·</w:t>
      </w:r>
    </w:p>
    <w:p w:rsidR="0034045D" w:rsidRPr="00F13023" w:rsidP="0030383B" w14:paraId="03E3B9BA" w14:textId="77777777">
      <w:pPr>
        <w:pStyle w:val="action0"/>
        <w:ind w:left="0" w:firstLine="0"/>
        <w:rPr>
          <w:b/>
          <w:i/>
        </w:rPr>
      </w:pPr>
      <w:r w:rsidRPr="00F13023">
        <w:rPr>
          <w:b/>
          <w:i/>
        </w:rPr>
        <w:t>Ενίσχυση των βασικών λειτουργιών του Κοινοβουλίου</w:t>
      </w:r>
    </w:p>
    <w:p w:rsidR="0034045D" w:rsidRPr="00F13023" w:rsidP="00F13023" w14:paraId="5258C293" w14:textId="51D15515">
      <w:pPr>
        <w:widowControl/>
        <w:spacing w:after="240"/>
        <w:ind w:left="570" w:hanging="570"/>
        <w:rPr>
          <w:color w:val="000000"/>
        </w:rPr>
      </w:pPr>
      <w:r w:rsidRPr="00F13023">
        <w:rPr>
          <w:color w:val="000000"/>
        </w:rPr>
        <w:t>9.</w:t>
      </w:r>
      <w:r w:rsidRPr="00F13023">
        <w:rPr>
          <w:color w:val="000000"/>
        </w:rPr>
        <w:tab/>
      </w:r>
      <w:r w:rsidRPr="00F13023">
        <w:t>σημειώνει τις τέσσερις νέες θεματικές Γενικές Διευθύνσεις (ΓΔ), που λειτουργούν από τον Ιανουάριο του 2025 και είναι αρμόδιες για νομοθετικές, δημοσιονομικές και ελεγκτικές δραστηριότητες, προκειμένου να βελτιωθεί η λειτουργία του Κοινοβουλίου ως συννομοθέτη, ως σκέλους της αρμόδιας για τον προϋπολογισμό αρχής και ως αρμόδιας για την απαλλαγή αρχής·</w:t>
      </w:r>
    </w:p>
    <w:p w:rsidR="0034045D" w:rsidRPr="00F13023" w:rsidP="00F13023" w14:paraId="322D6F79" w14:textId="28FC4C08">
      <w:pPr>
        <w:widowControl/>
        <w:spacing w:after="240"/>
        <w:ind w:left="570" w:hanging="570"/>
      </w:pPr>
      <w:r w:rsidRPr="00F13023">
        <w:t>10.</w:t>
      </w:r>
      <w:r w:rsidRPr="00F13023">
        <w:tab/>
      </w:r>
      <w:r w:rsidRPr="00F13023">
        <w:t>σημειώνει την ανακατανομή των εσωτερικών πόρων όσον αφορά τον αριθμό των κατανεμημένων θέσεων (+15 % από το 2024 έως το 2026), το κονδύλιο του προϋπολογισμού για το εξωτερικό προσωπικό (θέση 1400, από 3,2 εκατ</w:t>
      </w:r>
      <w:r w:rsidRPr="00F13023" w:rsidR="001B56FB">
        <w:t>ομμύρια</w:t>
      </w:r>
      <w:r w:rsidRPr="00F13023">
        <w:t xml:space="preserve"> EUR το 2024 σε 8 </w:t>
      </w:r>
      <w:r w:rsidRPr="00F13023" w:rsidR="001B56FB">
        <w:t>εκατομμύρια</w:t>
      </w:r>
      <w:r w:rsidRPr="00F13023">
        <w:t xml:space="preserve"> EUR το 2027) και τον προϋπολογισμό για εξωτερική εμπειρογνωσία (θέση 3200, από 3,2 </w:t>
      </w:r>
      <w:r w:rsidRPr="00F13023" w:rsidR="001B56FB">
        <w:t>εκατομμύρια</w:t>
      </w:r>
      <w:r w:rsidRPr="00F13023">
        <w:t xml:space="preserve"> EUR το 2024 σε 7,7 εκατ</w:t>
      </w:r>
      <w:r w:rsidRPr="00F13023" w:rsidR="001B56FB">
        <w:t>ομμύρια</w:t>
      </w:r>
      <w:r w:rsidRPr="00F13023">
        <w:t xml:space="preserve"> EUR το 2027) με σκοπό την ενίσχυση της εμπειρογνωμοσύνης που παρέχεται στους βουλευτές· τονίζει την ανάγκη να διασφαλιστεί ότι οι αυξήσεις αυτές παραμένουν δικαιολογημένες, αναλογικές και αποφέρουν σαφή προστιθέμενη αξία· ζητεί από τον Γενικό Γραμματέα να ενημερώνει τακτικά την Επιτροπή Προϋπολογισμών σχετικά με την εξέλιξη και τη χρήση των πόρων στις εν λόγω τέσσερις καινούργιες ΓΔ· υπογραμμίζει την ανάγκη να διασφαλιστεί ο σημαντικός στόχος της ενίσχυσης της ικανότητας του Κοινοβουλίου να στηρίζει το έργο των βουλευτών· τονίζει επίσης τον καίριο ρόλο των πολιτικών ομάδων</w:t>
      </w:r>
      <w:bookmarkStart w:id="8" w:name="_Hlk227243597"/>
      <w:r w:rsidRPr="00F13023">
        <w:t xml:space="preserve"> στην παροχή εμπειρογνωμοσύνης και πολιτικής στήριξης</w:t>
      </w:r>
      <w:bookmarkEnd w:id="8"/>
      <w:r w:rsidRPr="00F13023">
        <w:t xml:space="preserve"> στους βουλευτές στο νομοθετικό και κοινοβουλευτικό τους έργο·</w:t>
      </w:r>
      <w:r w:rsidRPr="00F13023">
        <w:rPr>
          <w:b/>
          <w:i/>
        </w:rPr>
        <w:t xml:space="preserve"> </w:t>
      </w:r>
    </w:p>
    <w:p w:rsidR="007E49A8" w:rsidRPr="00F13023" w:rsidP="00F13023" w14:paraId="02F08976" w14:textId="009B18E7">
      <w:pPr>
        <w:widowControl/>
        <w:spacing w:after="240"/>
        <w:ind w:left="570" w:hanging="570"/>
      </w:pPr>
      <w:r w:rsidRPr="00F13023">
        <w:t>11.</w:t>
      </w:r>
      <w:r w:rsidRPr="00F13023">
        <w:tab/>
      </w:r>
      <w:r w:rsidRPr="00F13023">
        <w:t xml:space="preserve">υπενθυμίζει ότι το καθήκον της προστασίας των οικονομικών συμφερόντων της Ένωσης ισχύει εξίσου για όλους τους δικαιούχους κονδυλίων της Ένωσης, συμπεριλαμβανομένων των πολιτικών ομάδων που δραστηριοποιούνται εντός του </w:t>
      </w:r>
      <w:r w:rsidRPr="00F13023">
        <w:t>Κοινοβουλίου· σημειώνει ότι οι έρευνες και οι ενέργειες ανάκτησης σχετικά με την εικαζόμενη κατάχρηση κονδυλίων της Ένωσης από την πρώην ομάδα Ταυτότητας και Δημοκρατίας, η οποία έχει αναδιαμορφωθεί σήμερα ως ομάδα «Πατριώτες για την Ευρώπη», αναδεικνύουν τη σημασία που έχουν οι αυστηροί εσωτερικοί έλεγχοι, η αποτελεσματική εκ των υστέρων επαλήθευση και οι μηχανισμοί ταχείας ανάκτησης στους κόλπους της διοίκησης του Κοινοβουλίου· καλεί τη διοίκηση του Κοινοβουλίου να ολοκληρώσει χωρίς καθυστέρηση όλες τις εκκρεμείς διαδικασίες ανάκτησης και να αναφέρει κάθε στοιχείο παράτυπων δαπανών στην OLAF και την Ευρωπαϊκή Εισαγγελία· τονίζει ότι η αξιοπιστία της αρχιτεκτονικής της Ένωσης για την καταπολέμηση της απάτης εξαρτάται από τη συνεπή εφαρμογή της για όλους τους δικαιούχους, συμπεριλαμβανομένων εκείνων εντός του ίδιου του Κοινοβουλίου·</w:t>
      </w:r>
    </w:p>
    <w:p w:rsidR="0034045D" w:rsidRPr="00F13023" w:rsidP="0030383B" w14:paraId="141A4848" w14:textId="77777777">
      <w:pPr>
        <w:spacing w:after="240"/>
        <w:rPr>
          <w:b/>
          <w:i/>
          <w:color w:val="000000"/>
        </w:rPr>
      </w:pPr>
      <w:r w:rsidRPr="00F13023">
        <w:rPr>
          <w:b/>
          <w:i/>
          <w:color w:val="000000"/>
        </w:rPr>
        <w:t xml:space="preserve">Ψηφιακή μετάβαση </w:t>
      </w:r>
    </w:p>
    <w:p w:rsidR="0034045D" w:rsidRPr="00F13023" w:rsidP="00F13023" w14:paraId="4F53A508" w14:textId="056CBAD7">
      <w:pPr>
        <w:pStyle w:val="action0"/>
        <w:ind w:left="570" w:hanging="570"/>
      </w:pPr>
      <w:r w:rsidRPr="00F13023">
        <w:t>12.</w:t>
      </w:r>
      <w:r w:rsidRPr="00F13023">
        <w:tab/>
      </w:r>
      <w:r w:rsidRPr="00F13023">
        <w:rPr>
          <w:color w:val="000000"/>
        </w:rPr>
        <w:t>σημειώνει ότι ο συνολικός προϋπολογισμός ΤΠ αντιπροσωπεύει το 7,6 % του συνολικού προϋπολογισμού στις εκτιμήσεις για το 2027 και ανέρχεται σε 202,4 εκατομμύρια EUR· τονίζει τη σημασία μιας υγιούς υποδομής κυβερνοασφάλειας σε γεωπολιτικά ταραχώδεις καιρούς· υπενθυμίζει ότι έχει σχεδιαστεί η σταδιακή αύξηση των δημοσιονομικών πιστώσεων για την κυβερνοασφάλεια, ώστε να φτάσει στο 10 % του προϋπολογισμού του Κοινοβουλίου για τις ΤΠΕ·</w:t>
      </w:r>
      <w:r w:rsidRPr="00F13023">
        <w:t xml:space="preserve"> σημειώνει ότι η εν λόγω προγραμματισμένη αύξηση θα πρέπει να εφαρμοστεί το συντομότερο δυνατόν·</w:t>
      </w:r>
    </w:p>
    <w:p w:rsidR="0034045D" w:rsidRPr="00F13023" w:rsidP="00F13023" w14:paraId="56EF0A8F" w14:textId="4E935690">
      <w:pPr>
        <w:pStyle w:val="action0"/>
        <w:ind w:left="570" w:hanging="570"/>
      </w:pPr>
      <w:r w:rsidRPr="00F13023">
        <w:t>13.</w:t>
      </w:r>
      <w:r w:rsidRPr="00F13023">
        <w:tab/>
      </w:r>
      <w:r w:rsidRPr="00F13023">
        <w:t>υπογραμμίζει ότι η κυβερνοασφάλεια του Κοινοβουλίου αποτελεί βασική προτεραιότητα σε μια περίοδο γεωπολιτικής αβεβαιότητας· σημειώνει ότι το συνολικό ποσό που διατίθεται για την κυβερνοασφάλεια ανέρχεται σε 16,9 εκατομμύρια EUR, ποσό που περιλαμβάνει αύξηση της κεντρικής γραμμής για την κυβερνοασφάλεια κατά 54 % σε σύγκριση με το 2026· υπενθυμίζει ότι οι επενδύσεις στην κυβερνοασφάλεια είναι καίριας σημασίας για την προστασία της δημοκρατικής φωνής του Κοινοβουλίου και της Ένωσης, καθώς και για τη διασφάλιση της ορθής λειτουργίας του Κοινοβουλίου·</w:t>
      </w:r>
    </w:p>
    <w:p w:rsidR="0034045D" w:rsidRPr="00F13023" w:rsidP="00F13023" w14:paraId="2B74E3F2" w14:textId="67F21EC5">
      <w:pPr>
        <w:pStyle w:val="action0"/>
        <w:ind w:left="570" w:hanging="570"/>
      </w:pPr>
      <w:r w:rsidRPr="00F13023">
        <w:t>14.</w:t>
      </w:r>
      <w:r w:rsidRPr="00F13023">
        <w:tab/>
      </w:r>
      <w:r w:rsidRPr="00F13023">
        <w:t>τονίζει ότι το Κοινοβούλιο πρέπει να βρίσκεται στην πρώτη γραμμή της υιοθέτησης περισσότερων ψηφιακών μεθόδων εργασίας· εκφράζει την ικανοποίησή του για τις επενδύσεις στην τεχνητή νοημοσύνη (ΤΝ) που ανέρχονται στο 1 εκατομμύριο EUR· ζητεί να αυξηθεί η χρήση της ΤΝ προκειμένου να αυξηθεί η αποδοτικότητα και να ενισχυθεί η κυριαρχία στον τομέα αυτό, λαμβάνοντας παράλληλα υπόψη τους σχετικούς κινδύνους, συμπεριλαμβανομένης της δεοντολογίας και της προστασίας των δεδομένων· τονίζει ότι η ανάπτυξη της ΤΝ πρέπει να εξισορροπεί την καινοτομία με τις αναγκαίες διασφαλίσεις· επισημαίνει τις δυνατότητες της ΤΝ για τον εξορθολογισμό των διοικητικών διαδικασιών· ενθαρρύνει την ανάπτυξη σαφών κατευθυντήριων γραμμών και διασφαλίσεων για την εξασφάλιση της υπεύθυνης και διαφανούς εφαρμογής της ΤΝ, με προώθηση της καινοτομίας και παράλληλο σεβασμό των θεμελιωδών δικαιωμάτων, της ασφάλειας και της λογοδοσίας· σημειώνει ότι η ανάπτυξη της ΤΝ θα παρακολουθείται στενά σύμφωνα με τις αρχές που έχει θεσπίσει το Προεδρείο· τονίζει ότι οι επενδύσεις στην τεχνητή νοημοσύνη δεν θα πρέπει να επικεντρώνονται μόνο στη διοικητική αποτελεσματικότητα, αλλά και στην ενίσχυση της δημοκρατικής διαφάνειας και της συμμετοχής των πολιτών·</w:t>
      </w:r>
    </w:p>
    <w:p w:rsidR="0034045D" w:rsidRPr="00F13023" w:rsidP="00F13023" w14:paraId="0B7BFB02" w14:textId="307A894D">
      <w:pPr>
        <w:pStyle w:val="action0"/>
        <w:ind w:left="567" w:hanging="567"/>
        <w:rPr>
          <w:bCs/>
          <w:iCs/>
        </w:rPr>
      </w:pPr>
      <w:r w:rsidRPr="00F13023">
        <w:rPr>
          <w:bCs/>
          <w:iCs/>
        </w:rPr>
        <w:t>15.</w:t>
      </w:r>
      <w:r w:rsidRPr="00F13023">
        <w:rPr>
          <w:bCs/>
          <w:iCs/>
        </w:rPr>
        <w:tab/>
      </w:r>
      <w:r w:rsidRPr="00F13023">
        <w:t xml:space="preserve">τονίζει ότι, δεδομένου του γεωπολιτικού πλαισίου και των επενδύσεων που θα πρέπει να πραγματοποιήσει η ΕΕ για τη στρατηγική αυτονομία της, το Κοινοβούλιο πρέπει να δώσει το παράδειγμα· σημειώνει τις προετοιμασίες για ένα ενοποιημένο σχέδιο δράσης </w:t>
      </w:r>
      <w:r w:rsidRPr="00F13023">
        <w:t>που αποσκοπεί στην ενίσχυση της θέσης του Κοινοβουλίου σχετικά με την ψηφιακή κυριαρχία· προσβλέπει στην τακτική ενημέρωση σχετικά με την πρόοδο που σημειώνεται· υπογραμμίζει τη σημασία της διασφάλισης υψηλού επιπέδου κυβερνοασφάλειας, προστασίας των δεδομένων και ανθεκτικότητας των ψηφιακών υποδομών του Κοινοβουλίου· τονίζει την ανάγκη προσεκτικής αξιολόγησης των κινδύνων που συνδέονται με την εξάρτηση από μη Ευρωπαίους παρόχους, μεταξύ άλλων μέσω εκτιμήσεων κινδύνου· τονίζει τη σημασία της διατήρησης ασφαλών, ανταγωνιστικών και αξιόπιστων λύσεων, μεταξύ άλλων με προτεραιότητα, όπου είναι εφικτό, στους Ευρωπαίους παρόχους· ζητεί την τακτική αξιολόγηση των διαύλων επικοινωνίας και των ψηφιακών εργαλείων του Κοινοβουλίου με βάση την ασφάλεια και τη συμμόρφωση με το δίκαιο της ΕΕ, με συντονισμένο τρόπο με άλλα θεσμικά όργανα της ΕΕ, με σκοπό τη διασφάλιση της προστασίας των κοινοβουλευτικών δεδομένων και της ακεραιότητας της επικοινωνίας του·</w:t>
      </w:r>
    </w:p>
    <w:p w:rsidR="0034045D" w:rsidRPr="00F13023" w:rsidP="0030383B" w14:paraId="2E592CBB" w14:textId="77777777">
      <w:pPr>
        <w:pStyle w:val="action0"/>
        <w:ind w:left="0" w:firstLine="0"/>
        <w:rPr>
          <w:b/>
          <w:i/>
        </w:rPr>
      </w:pPr>
      <w:r w:rsidRPr="00F13023">
        <w:rPr>
          <w:b/>
          <w:i/>
        </w:rPr>
        <w:t>Υποδομές</w:t>
      </w:r>
    </w:p>
    <w:p w:rsidR="0034045D" w:rsidRPr="00F13023" w:rsidP="00F13023" w14:paraId="2E15D3D5" w14:textId="3C0F4298">
      <w:pPr>
        <w:pStyle w:val="action0"/>
        <w:ind w:left="570" w:hanging="570"/>
        <w:rPr>
          <w:color w:val="000000"/>
        </w:rPr>
      </w:pPr>
      <w:r w:rsidRPr="00F13023">
        <w:rPr>
          <w:color w:val="000000"/>
        </w:rPr>
        <w:t>16.</w:t>
      </w:r>
      <w:r w:rsidRPr="00F13023">
        <w:rPr>
          <w:color w:val="000000"/>
        </w:rPr>
        <w:tab/>
      </w:r>
      <w:r w:rsidRPr="00F13023">
        <w:rPr>
          <w:color w:val="000000"/>
        </w:rPr>
        <w:t>αναγνωρίζει τη νέα προσέγγιση όσον αφορά τα κτίρια, η οποία εστιάζει περισσότερο στην ενοποίηση παρά στην απόκτηση νέων κτιρίων και λαμβάνει υπόψη τη βιωσιμότητα, την προσβασιμότητα και την κινητικότητα των βουλευτών, του προσωπικού και των επισκεπτών·</w:t>
      </w:r>
    </w:p>
    <w:p w:rsidR="0034045D" w:rsidRPr="00F13023" w:rsidP="00F13023" w14:paraId="166C5A50" w14:textId="3B656638">
      <w:pPr>
        <w:pStyle w:val="action0"/>
        <w:ind w:left="570" w:hanging="570"/>
        <w:rPr>
          <w:color w:val="000000"/>
        </w:rPr>
      </w:pPr>
      <w:r w:rsidRPr="00F13023">
        <w:rPr>
          <w:color w:val="000000"/>
        </w:rPr>
        <w:t>17.</w:t>
      </w:r>
      <w:r w:rsidRPr="00F13023">
        <w:rPr>
          <w:color w:val="000000"/>
        </w:rPr>
        <w:tab/>
      </w:r>
      <w:r w:rsidRPr="00F13023">
        <w:rPr>
          <w:color w:val="000000"/>
        </w:rPr>
        <w:t xml:space="preserve">σημειώνει ότι η ανακαίνιση του κτιρίου SPAAK θα αρχίσει να πραγματοποιείται από το 2027· σημειώνει ότι ο συνολικός προϋπολογισμός για την ανακαίνιση έχει καθοριστεί στα 455 εκατομμύρια EUR, εκ των οποίων 77,67 εκατομμύρια EUR για το 2027· υπογραμμίζει ότι οι δαπάνες αυτές δεν περιλαμβάνονται στον προϋπολογισμό του 2027· </w:t>
      </w:r>
      <w:bookmarkStart w:id="9" w:name="_Hlk227680019"/>
      <w:r w:rsidRPr="00F13023">
        <w:rPr>
          <w:color w:val="000000"/>
        </w:rPr>
        <w:t>τονίζει την ανάγκη να διασφαλιστούν ο αυστηρός έλεγχος του κόστους, η διαφάνεια και η τήρηση του προγραμματισμένου προϋπολογισμού·</w:t>
      </w:r>
      <w:r w:rsidRPr="00F13023">
        <w:rPr>
          <w:b/>
          <w:i/>
          <w:color w:val="000000"/>
        </w:rPr>
        <w:t xml:space="preserve"> </w:t>
      </w:r>
      <w:bookmarkEnd w:id="9"/>
    </w:p>
    <w:p w:rsidR="0034045D" w:rsidRPr="00F13023" w:rsidP="00F13023" w14:paraId="55D170EC" w14:textId="7AE84329">
      <w:pPr>
        <w:pStyle w:val="action0"/>
        <w:ind w:left="570" w:hanging="570"/>
        <w:rPr>
          <w:color w:val="000000"/>
        </w:rPr>
      </w:pPr>
      <w:r w:rsidRPr="00F13023">
        <w:rPr>
          <w:color w:val="000000"/>
        </w:rPr>
        <w:t>18.</w:t>
      </w:r>
      <w:r w:rsidRPr="00F13023">
        <w:rPr>
          <w:color w:val="000000"/>
        </w:rPr>
        <w:tab/>
      </w:r>
      <w:r w:rsidRPr="00F13023">
        <w:rPr>
          <w:color w:val="000000"/>
        </w:rPr>
        <w:t xml:space="preserve">σημειώνει ότι το Κοινοβούλιο προτίθεται να συνάψει δάνεια, μεταξύ άλλων με την Ευρωπαϊκή Τράπεζα Επενδύσεων, για τη χρηματοδότηση του έργου ανακαίνισης του κτιρίου SPAAK· σημειώνει ότι στον προϋπολογισμό του 2027 περιλαμβάνονται οι δαπάνες που αφορούν τα επιτόκια (3,17 </w:t>
      </w:r>
      <w:r w:rsidRPr="00F13023" w:rsidR="001B56FB">
        <w:rPr>
          <w:color w:val="000000"/>
        </w:rPr>
        <w:t>εκατομμύρια</w:t>
      </w:r>
      <w:r w:rsidRPr="00F13023">
        <w:rPr>
          <w:color w:val="000000"/>
        </w:rPr>
        <w:t xml:space="preserve"> EUR) και την αποπληρωμή του κεφαλαίου (0,65 </w:t>
      </w:r>
      <w:r w:rsidRPr="00F13023" w:rsidR="001B56FB">
        <w:rPr>
          <w:color w:val="000000"/>
        </w:rPr>
        <w:t>εκατομμύρια</w:t>
      </w:r>
      <w:r w:rsidRPr="00F13023">
        <w:rPr>
          <w:color w:val="000000"/>
        </w:rPr>
        <w:t xml:space="preserve"> EUR)· ζητεί, όπου απαιτείται, οι δαπάνες που δεν συνδέονται άμεσα με τις εργασίες ανακαίνισης να αναφέρονται σαφώς και να εγγράφονται στον προϋπολογισμό· καλεί τη διοίκηση να τηρεί ενήμερη την Επιτροπή Προϋπολογισμών σχετικά με τα εφαρμοστέα επιτόκια για τα δάνεια και τον μακροπρόθεσμο σχεδιασμό της αποπληρωμής του κεφαλαίου· τονίζει την ανάγκη να διασφαλιστεί μια συνετή διαχείριση του χρέους·</w:t>
      </w:r>
    </w:p>
    <w:p w:rsidR="0034045D" w:rsidRPr="00F13023" w:rsidP="00F13023" w14:paraId="5EE600F9" w14:textId="7EE03899">
      <w:pPr>
        <w:pStyle w:val="action0"/>
        <w:ind w:left="570" w:hanging="570"/>
        <w:rPr>
          <w:color w:val="000000"/>
        </w:rPr>
      </w:pPr>
      <w:r w:rsidRPr="00F13023">
        <w:rPr>
          <w:color w:val="000000"/>
        </w:rPr>
        <w:t>19.</w:t>
      </w:r>
      <w:r w:rsidRPr="00F13023">
        <w:rPr>
          <w:color w:val="000000"/>
        </w:rPr>
        <w:tab/>
      </w:r>
      <w:r w:rsidRPr="00F13023">
        <w:rPr>
          <w:color w:val="000000"/>
        </w:rPr>
        <w:t xml:space="preserve">εκφράζει τη δυσαρέσκειά του για τις καθυστερήσεις όσον αφορά τη σύσταση κέντρων Europa </w:t>
      </w:r>
      <w:r w:rsidRPr="00F13023">
        <w:rPr>
          <w:color w:val="000000"/>
        </w:rPr>
        <w:t>Experience</w:t>
      </w:r>
      <w:r w:rsidRPr="00F13023">
        <w:rPr>
          <w:color w:val="000000"/>
        </w:rPr>
        <w:t xml:space="preserve"> σε όλα τα κράτη μέλη· καλωσορίζει τη νέα αντίληψη, η οποία εγκρίθηκε από το Προεδρείο στις 31 Μαρτίου 2025, για τη βελτιστοποίηση της χρήσης των χώρων Europa </w:t>
      </w:r>
      <w:r w:rsidRPr="00F13023">
        <w:rPr>
          <w:color w:val="000000"/>
        </w:rPr>
        <w:t>Experience</w:t>
      </w:r>
      <w:r w:rsidRPr="00F13023">
        <w:rPr>
          <w:color w:val="000000"/>
        </w:rPr>
        <w:t xml:space="preserve">, λαμβανομένων υπόψη των διαφορετικών καταστάσεων στα κράτη μέλη· τονίζει ότι είναι σημαντικό να διασφαλιστεί ότι τα κέντρα Europa </w:t>
      </w:r>
      <w:r w:rsidRPr="00F13023">
        <w:rPr>
          <w:color w:val="000000"/>
        </w:rPr>
        <w:t>Experience</w:t>
      </w:r>
      <w:r w:rsidRPr="00F13023">
        <w:rPr>
          <w:color w:val="000000"/>
        </w:rPr>
        <w:t xml:space="preserve"> θα προσφέρουν μια ελκυστική εμπειρία για τους επισκέπτες ώστε να προσελκύσουν τους πολίτες· ζητεί να δημιουργηθούν κέντρα Europa </w:t>
      </w:r>
      <w:r w:rsidRPr="00F13023">
        <w:rPr>
          <w:color w:val="000000"/>
        </w:rPr>
        <w:t>Experience</w:t>
      </w:r>
      <w:r w:rsidRPr="00F13023">
        <w:rPr>
          <w:color w:val="000000"/>
        </w:rPr>
        <w:t xml:space="preserve"> κατά προτεραιότητα στα κράτη μέλη που είναι περισσότερο απομακρυσμένα από τους τρεις τόπους εργασίας, και παράλληλα να διασφαλιστεί ότι η ανάπτυξη και η λειτουργία τους παραμένουν οικονομικά αποδοτικές· υπενθυμίζει ότι τα κέντρα Europa </w:t>
      </w:r>
      <w:r w:rsidRPr="00F13023">
        <w:rPr>
          <w:color w:val="000000"/>
        </w:rPr>
        <w:t>Experience</w:t>
      </w:r>
      <w:r w:rsidRPr="00F13023">
        <w:rPr>
          <w:color w:val="000000"/>
        </w:rPr>
        <w:t xml:space="preserve"> θα πρέπει να δίνουν σε όλους τους πολίτες τη δυνατότητα να κατανοούν καλύτερα τη λειτουργία των θεσμικών οργάνων της Ένωσης και τις κοινές μας αξίες· τονίζει την </w:t>
      </w:r>
      <w:r w:rsidRPr="00F13023">
        <w:rPr>
          <w:color w:val="000000"/>
        </w:rPr>
        <w:t>ανάγκη για αποτελεσματική χρήση των πιστώσεων του προϋπολογισμού που διατίθενται σε αυτά τα κέντρα, ώστε να διασφαλιστεί ότι παρέχουν επικοινωνία υψηλού αντίκτυπου και προσεγγίζουν ιδιαίτερα τους νέους και τις ευάλωτες ομάδες· υπογραμμίζει ότι η χρηματοδότηση θα πρέπει να δίνει προτεραιότητα στη διάδοση τεκμηριωμένων και προσβάσιμων πληροφοριών σχετικά με τον τοπικό αντίκτυπο των πολιτικών της ΕΕ, οι οποίες αποτελούν ένα οικονομικά αποδοτικό εργαλείο για την προστασία της δημοκρατικής ακεραιότητας της Ένωσης από την παραπληροφόρηση·</w:t>
      </w:r>
    </w:p>
    <w:p w:rsidR="0034045D" w:rsidRPr="00F13023" w:rsidP="00F13023" w14:paraId="38C0383C" w14:textId="2E9AACB4">
      <w:pPr>
        <w:pStyle w:val="action0"/>
        <w:ind w:left="570" w:hanging="570"/>
        <w:rPr>
          <w:bCs/>
          <w:iCs/>
          <w:color w:val="000000"/>
        </w:rPr>
      </w:pPr>
      <w:r w:rsidRPr="00F13023">
        <w:rPr>
          <w:bCs/>
          <w:iCs/>
          <w:color w:val="000000"/>
        </w:rPr>
        <w:t>20.</w:t>
      </w:r>
      <w:r w:rsidRPr="00F13023">
        <w:rPr>
          <w:bCs/>
          <w:iCs/>
          <w:color w:val="000000"/>
        </w:rPr>
        <w:tab/>
      </w:r>
      <w:r w:rsidRPr="00F13023">
        <w:rPr>
          <w:color w:val="000000"/>
        </w:rPr>
        <w:t xml:space="preserve">υπενθυμίζει τη σημασία του προγράμματος «Σχολείο-Πρεσβευτής του Ευρωπαϊκού Κοινοβουλίου» για την προώθηση της ενεργού συμμετοχής των νέων Ευρωπαίων, και του προγράμματος κατάρτισης για νέους δημοσιογράφους, που φέρει το όνομα του David </w:t>
      </w:r>
      <w:r w:rsidRPr="00F13023">
        <w:rPr>
          <w:color w:val="000000"/>
        </w:rPr>
        <w:t>Sassoli</w:t>
      </w:r>
      <w:r w:rsidRPr="00F13023">
        <w:rPr>
          <w:color w:val="000000"/>
        </w:rPr>
        <w:t>, για την ενίσχυση της κατανόησης της Ένωσης και της λειτουργίας της μεταξύ των δημοσιογράφων, δεδομένου ότι τα προγράμματα αυτά αποτελούν το καλύτερο αντίδοτο κατά της παραπληροφόρησης, υπό το πρίσμα των πρόσφατων τάσεων που καταδεικνύουν μια ανησυχητική μείωση της ελευθερίας και της ανεξαρτησίας των μέσων ενημέρωσης σε ολόκληρη την Ένωση·</w:t>
      </w:r>
    </w:p>
    <w:p w:rsidR="0034045D" w:rsidRPr="00F13023" w:rsidP="00F13023" w14:paraId="413A1F3A" w14:textId="1E61F257">
      <w:pPr>
        <w:pStyle w:val="action0"/>
        <w:ind w:left="570" w:hanging="570"/>
        <w:rPr>
          <w:bCs/>
          <w:iCs/>
          <w:color w:val="000000"/>
        </w:rPr>
      </w:pPr>
      <w:r w:rsidRPr="00F13023">
        <w:rPr>
          <w:bCs/>
          <w:iCs/>
          <w:color w:val="000000"/>
        </w:rPr>
        <w:t>21.</w:t>
      </w:r>
      <w:r w:rsidRPr="00F13023">
        <w:rPr>
          <w:bCs/>
          <w:iCs/>
          <w:color w:val="000000"/>
        </w:rPr>
        <w:tab/>
      </w:r>
      <w:r w:rsidRPr="00F13023">
        <w:rPr>
          <w:color w:val="000000"/>
        </w:rPr>
        <w:t>επαναλαμβάνει την υποστήριξή του για την οικοδόμηση ενός πανευρωπαϊκού μνημείου στις Βρυξέλλες για τα θύματα των ολοκληρωτικών καθεστώτων του 20ού αιώνα, το οποίο θα αντικατοπτρίζει την ποικιλομορφία των ιστορικών βιωμάτων· καλεί το Προεδρείο να εξετάσει το ζήτημα αυτό με σκοπό την έγκριση απόφασης, λαμβάνοντας δεόντως υπόψη τους δημοσιονομικούς περιορισμούς των τελευταίων ετών του τρέχοντος ΠΔΠ και τις οικονομικές δυσκολίες που αντιμετωπίζουν οι Ευρωπαίοι πολίτες·</w:t>
      </w:r>
    </w:p>
    <w:p w:rsidR="0034045D" w:rsidRPr="00F13023" w:rsidP="00F13023" w14:paraId="6DCCCE35" w14:textId="215A4050">
      <w:pPr>
        <w:pStyle w:val="action0"/>
        <w:ind w:left="570" w:hanging="570"/>
        <w:rPr>
          <w:bCs/>
          <w:iCs/>
          <w:color w:val="000000"/>
        </w:rPr>
      </w:pPr>
      <w:r w:rsidRPr="00F13023">
        <w:rPr>
          <w:bCs/>
          <w:iCs/>
          <w:color w:val="000000"/>
        </w:rPr>
        <w:t>22.</w:t>
      </w:r>
      <w:r w:rsidRPr="00F13023">
        <w:rPr>
          <w:bCs/>
          <w:iCs/>
          <w:color w:val="000000"/>
        </w:rPr>
        <w:tab/>
      </w:r>
      <w:r w:rsidRPr="00F13023">
        <w:rPr>
          <w:color w:val="000000"/>
        </w:rPr>
        <w:t>τονίζει ότι η ύπαρξη μιας ενιαίας έδρας του Κοινοβουλίου θα μπορούσε να οδηγήσει σε μείωση του οικονομικού και περιβαλλοντικού κόστους· υπενθυμίζει ότι, σύμφωνα με τη Συνθήκη για την Ευρωπαϊκή Ένωση, το Ευρωπαϊκό Κοινοβούλιο έχει την έδρα του στο Στρασβούργο· σημειώνει ότι, για να πραγματοποιηθούν μόνιμες αλλαγές, απαιτείται τροποποίηση της Συνθήκης, κάτι που απαιτεί ομοφωνία·</w:t>
      </w:r>
    </w:p>
    <w:p w:rsidR="0034045D" w:rsidRPr="00F13023" w:rsidP="0030383B" w14:paraId="650FB4CC" w14:textId="77777777">
      <w:pPr>
        <w:pStyle w:val="action0"/>
        <w:ind w:left="0" w:firstLine="0"/>
        <w:rPr>
          <w:b/>
          <w:i/>
          <w:color w:val="000000"/>
        </w:rPr>
      </w:pPr>
      <w:r w:rsidRPr="00F13023">
        <w:rPr>
          <w:b/>
          <w:i/>
          <w:color w:val="000000"/>
        </w:rPr>
        <w:t xml:space="preserve">Πράσινο Κοινοβούλιο </w:t>
      </w:r>
    </w:p>
    <w:p w:rsidR="0034045D" w:rsidRPr="00F13023" w:rsidP="00F13023" w14:paraId="2697E588" w14:textId="15CAD501">
      <w:pPr>
        <w:widowControl/>
        <w:spacing w:after="240"/>
        <w:ind w:left="570" w:hanging="570"/>
        <w:rPr>
          <w:color w:val="000000"/>
        </w:rPr>
      </w:pPr>
      <w:r w:rsidRPr="00F13023">
        <w:rPr>
          <w:color w:val="000000"/>
        </w:rPr>
        <w:t>23.</w:t>
      </w:r>
      <w:r w:rsidRPr="00F13023">
        <w:rPr>
          <w:color w:val="000000"/>
        </w:rPr>
        <w:tab/>
      </w:r>
      <w:r w:rsidRPr="00F13023">
        <w:rPr>
          <w:color w:val="000000"/>
        </w:rPr>
        <w:t>εκφράζει την ικανοποίησή του για τους στόχους του συστήματος περιβαλλοντικής διαχείρισης (EMAS) του Κοινοβουλίου για την περίοδο 2025 έως 2029· εκφράζει την ικανοποίησή του για τις επενδύσεις σε υποδομές στο πλαίσιο των προγραμματισμένων δράσεων ενεργειακής απόδοσης και περιβαλλοντικής ανακαίνισης που προβλέπονται μεταξύ 2025 και 2029, οι οποίες αποτελούν καλή μέθοδο για την επίτευξη της βέλτιστης σχέσης κόστους-οφέλους· λαμβάνει υπόψη τον προϋπολογισμό ύψους 8,97</w:t>
      </w:r>
      <w:r w:rsidRPr="00F13023" w:rsidR="001B56FB">
        <w:rPr>
          <w:color w:val="000000"/>
        </w:rPr>
        <w:t> </w:t>
      </w:r>
      <w:r w:rsidRPr="00F13023">
        <w:rPr>
          <w:color w:val="000000"/>
        </w:rPr>
        <w:t>εκατομμυρίων EUR για επενδύσεις υπέρ της ενεργειακής απόδοσης και του περιβάλλοντος σύμφωνα με τις εκτιμήσεις του 2027 για την περαιτέρω βελτίωση των περιβαλλοντικών επιδόσεων των κτιρίων του· σημειώνει ότι αυτό αντιστοιχεί σε αύξηση κατά 6,1 % σε σύγκριση με τον προϋπολογισμό του 2026· εκφράζει την ικανοποίησή του για το γεγονός ότι το Ευρωπαϊκό Κοινοβούλιο έχει εγκαταστήσει και συνεχίζει να εγκαθιστά φωτοβολταϊκούς ηλιακούς συλλέκτες προκειμένου να αυξηθεί περαιτέρω το μερίδιο της ανανεώσιμης ενέργειας που παράγεται επιτόπου· τονίζει την ανάγκη να διασφαλιστεί ότι οι επενδύσεις αυτές αποφέρουν μετρήσιμα οφέλη αποδοτικότητας, δεδομένου και του γεωπολιτικού πλαισίου, και επιτυγχάνουν μακροπρόθεσμη εξοικονόμηση κόστους·</w:t>
      </w:r>
    </w:p>
    <w:p w:rsidR="0034045D" w:rsidRPr="00F13023" w:rsidP="00F13023" w14:paraId="2C4D49B4" w14:textId="3C1B0A93">
      <w:pPr>
        <w:widowControl/>
        <w:spacing w:after="240"/>
        <w:ind w:left="570" w:hanging="570"/>
        <w:rPr>
          <w:bCs/>
          <w:iCs/>
          <w:color w:val="000000"/>
        </w:rPr>
      </w:pPr>
      <w:r w:rsidRPr="00F13023">
        <w:rPr>
          <w:bCs/>
          <w:iCs/>
          <w:color w:val="000000"/>
        </w:rPr>
        <w:t>24.</w:t>
      </w:r>
      <w:r w:rsidRPr="00F13023">
        <w:rPr>
          <w:bCs/>
          <w:iCs/>
          <w:color w:val="000000"/>
        </w:rPr>
        <w:tab/>
      </w:r>
      <w:r w:rsidRPr="00F13023">
        <w:rPr>
          <w:color w:val="000000"/>
        </w:rPr>
        <w:t xml:space="preserve">υπενθυμίζει ότι σχεδόν τα δύο τρίτα του αποτυπώματος άνθρακα του Κοινοβουλίου προέρχονται από τη μεταφορά ανθρώπων· σημειώνει ότι σημαντικό μέρος του προϋπολογισμού του Κοινοβουλίου —162,1 εκατομμύρια </w:t>
      </w:r>
      <w:r w:rsidRPr="00F13023" w:rsidR="001B56FB">
        <w:rPr>
          <w:color w:val="000000"/>
        </w:rPr>
        <w:t>EUR</w:t>
      </w:r>
      <w:r w:rsidRPr="00F13023">
        <w:rPr>
          <w:color w:val="000000"/>
        </w:rPr>
        <w:t xml:space="preserve"> το 2027— δαπανάται για την κάλυψη των εξόδων αποστολής των βουλευτών και του προσωπικού· καλεί τα όργανα του Κοινοβουλίου να εξετάσουν τις πρακτικές όσον αφορά την αποστολή εκτός των τριών τόπων εργασίας και να αναθεωρήσουν τους κανόνες και τις πρακτικές για τις αποστολές, με γενικό στόχο τη μείωση του αριθμού των αποστολών και του σχετικού οικονομικού και περιβαλλοντικού κόστους· ενθαρρύνει τους βουλευτές να χρησιμοποιούν εναλλακτικές λύσεις μεταφοράς χαμηλών ανθρακούχων εκπομπών και φθηνότερες επιλογές πτήσεων·</w:t>
      </w:r>
    </w:p>
    <w:p w:rsidR="0034045D" w:rsidRPr="00F13023" w:rsidP="00F13023" w14:paraId="2C115A2E" w14:textId="03149188">
      <w:pPr>
        <w:widowControl/>
        <w:spacing w:after="240"/>
        <w:ind w:left="570" w:hanging="570"/>
        <w:rPr>
          <w:bCs/>
          <w:iCs/>
          <w:color w:val="000000"/>
        </w:rPr>
      </w:pPr>
      <w:r w:rsidRPr="00F13023">
        <w:rPr>
          <w:bCs/>
          <w:iCs/>
          <w:color w:val="000000"/>
        </w:rPr>
        <w:t>25.</w:t>
      </w:r>
      <w:r w:rsidRPr="00F13023">
        <w:rPr>
          <w:bCs/>
          <w:iCs/>
          <w:color w:val="000000"/>
        </w:rPr>
        <w:tab/>
      </w:r>
      <w:r w:rsidRPr="00F13023">
        <w:rPr>
          <w:color w:val="000000"/>
        </w:rPr>
        <w:t>εκφράζει την ικανοποίησή του για την αυξημένη χρήση των δημόσιων συγκοινωνιών για τις μετακινήσεις μεταξύ κατοικίας και εργασίας και, ταυτόχρονα, σημειώνει την αυξημένη ζήτηση για το σύστημα οικονομικών επιδοτήσεων για τα εισιτήρια διαρκείας των δημόσιων μεταφορών, ιδίως στις Βρυξέλλες, που οδηγεί σε αύξηση των πιστώσεων· θεωρεί ότι το Κοινοβούλιο πρέπει να δώσει το παράδειγμα ενθαρρύνοντας πιθανά μέτρα για τη διασφάλιση της αποδοτικής χρήσης των πόρων με την ενίσχυση βιώσιμων τρόπων μεταφοράς για τις μετακινήσεις μεταξύ κατοικίας και εργασίας και τη δημιουργία πρόσθετων κινήτρων για τις μετακινήσεις με ποδήλατο·</w:t>
      </w:r>
    </w:p>
    <w:p w:rsidR="0034045D" w:rsidRPr="00F13023" w:rsidP="00F13023" w14:paraId="30BD5DBF" w14:textId="18249F9E">
      <w:pPr>
        <w:widowControl/>
        <w:spacing w:after="240"/>
        <w:ind w:left="570" w:hanging="570"/>
        <w:rPr>
          <w:color w:val="000000"/>
        </w:rPr>
      </w:pPr>
      <w:r w:rsidRPr="00F13023">
        <w:rPr>
          <w:color w:val="000000"/>
        </w:rPr>
        <w:t>26.</w:t>
      </w:r>
      <w:r w:rsidRPr="00F13023">
        <w:rPr>
          <w:color w:val="000000"/>
        </w:rPr>
        <w:tab/>
      </w:r>
      <w:r w:rsidRPr="00F13023">
        <w:rPr>
          <w:color w:val="000000"/>
        </w:rPr>
        <w:t>σημειώνει τις σημαντικές αυξήσεις των τιμών των πιστωτικών μορίων άνθρακα, οι οποίες, με τα σημερινά επίπεδα εκπομπών, θα απαιτούσαν περί τα 950 000 EUR για το 2027· καλεί τη διοίκηση να δώσει προτεραιότητα στη μείωση των εκπομπών του Κοινοβουλίου, μεταξύ άλλων με αυξημένες επενδύσεις σε συστήματα καθαρής θέρμανσης, εξαερισμού και κλιματισμού, ιδίως εγκαταστάσεις αντλιών θερμότητας στις Βρυξέλλες και άλλα αναλογικά και οικονομικά αποδοτικά μέτρα για τη μείωση των εκπομπών, όπου αυτό είναι εύλογο, έναντι της αγοράς πιστωτικών μορίων άνθρακα· χαιρετίζει την εισαγωγή βελτιωμένης προσφοράς μετακίνησης με τρένο για τις αποστολές στο Στρασβούργο από τον Ιούνιο του 2025 ως θετικό βήμα για τη μείωση των εκπομπών CO</w:t>
      </w:r>
      <w:r w:rsidRPr="00F13023">
        <w:rPr>
          <w:color w:val="000000"/>
          <w:vertAlign w:val="subscript"/>
        </w:rPr>
        <w:t>2</w:t>
      </w:r>
      <w:r w:rsidRPr="00F13023">
        <w:rPr>
          <w:color w:val="000000"/>
        </w:rPr>
        <w:t xml:space="preserve">· </w:t>
      </w:r>
    </w:p>
    <w:p w:rsidR="0034045D" w:rsidRPr="00F13023" w:rsidP="0030383B" w14:paraId="6BC2235A" w14:textId="77777777">
      <w:pPr>
        <w:pStyle w:val="action0"/>
        <w:ind w:left="0" w:firstLine="0"/>
        <w:rPr>
          <w:b/>
          <w:i/>
          <w:color w:val="000000"/>
        </w:rPr>
      </w:pPr>
      <w:r w:rsidRPr="00F13023">
        <w:rPr>
          <w:b/>
          <w:i/>
          <w:color w:val="000000"/>
        </w:rPr>
        <w:t>Άλλα</w:t>
      </w:r>
    </w:p>
    <w:p w:rsidR="001E1E78" w:rsidRPr="00F13023" w:rsidP="00F13023" w14:paraId="29B3C69A" w14:textId="0D9534F5">
      <w:pPr>
        <w:spacing w:after="240"/>
        <w:ind w:left="570" w:hanging="570"/>
        <w:rPr>
          <w:bCs/>
          <w:iCs/>
          <w:color w:val="000000"/>
        </w:rPr>
      </w:pPr>
      <w:r w:rsidRPr="00F13023">
        <w:rPr>
          <w:bCs/>
          <w:iCs/>
          <w:color w:val="000000"/>
        </w:rPr>
        <w:t>27.</w:t>
      </w:r>
      <w:r w:rsidRPr="00F13023">
        <w:rPr>
          <w:bCs/>
          <w:iCs/>
          <w:color w:val="000000"/>
        </w:rPr>
        <w:tab/>
      </w:r>
      <w:r w:rsidRPr="00F13023" w:rsidR="0034045D">
        <w:rPr>
          <w:color w:val="000000"/>
        </w:rPr>
        <w:t>καλεί τη Διάσκεψη των Προέδρων να εγκρίνουν χωρίς καθυστέρηση απόφαση για τα σχετικά άρθρα των εσωτερικών κανόνων τους ον αφορά τη συμμετοχή ΔΚΒ που συνοδεύουν βουλευτές σε επίσημες αποστολές και αντιπροσωπείες εκτός των τριών τόπων εργασίας του Κοινοβουλίου, όταν κανένα μέλος του προσωπικού της πολιτικής τους ομάδας που εκπροσωπείται στην αποστολή δεν έχει κοινοποιηθεί επίσημα στη Γραμματεία του Κοινοβουλίου·</w:t>
      </w:r>
    </w:p>
    <w:p w:rsidR="0034045D" w:rsidRPr="00F13023" w:rsidP="00F13023" w14:paraId="6E32F39B" w14:textId="2ACAC606">
      <w:pPr>
        <w:spacing w:after="240"/>
        <w:ind w:left="570" w:hanging="570"/>
        <w:rPr>
          <w:color w:val="000000"/>
        </w:rPr>
      </w:pPr>
      <w:r w:rsidRPr="00F13023">
        <w:rPr>
          <w:color w:val="000000"/>
        </w:rPr>
        <w:t>28.</w:t>
      </w:r>
      <w:r w:rsidRPr="00F13023">
        <w:rPr>
          <w:color w:val="000000"/>
        </w:rPr>
        <w:tab/>
      </w:r>
      <w:r w:rsidRPr="00F13023">
        <w:rPr>
          <w:color w:val="000000"/>
        </w:rPr>
        <w:t>πιστεύει ότι το Κοινοβούλιο θα πρέπει να δώσει το παράδειγμα όσον αφορά τα δικαιώματα των ατόμων με αναπηρία, τόσο ως εργοδότης όσο και ως δημόσιος οργανισμός· εκφράζει την ικανοποίησή του για την πολιτική του Κοινοβουλίου που αποσκοπεί στη διασφάλιση της πλήρως ανεξάρτητης χρήσης των κτιρίων του Κοινοβουλίου από άτομα με αναπηρία και υποστηρίζει περαιτέρω μέτρα και προσαρμογές που χρειάζονται εν προκειμένω· σημειώνει ότι ο προϋπολογισμός προβλέπει 2,07 εκατομμύρια EUR για τον σκοπό αυτόν για τα κτίριά του στο Στρασβούργο· τονίζει ότι η προσβασιμότητα θα πρέπει να αποτελεί βασικό κριτήριο στην ανακαίνιση του κτιρίου SPAAK και στην ανάπτυξη όλων των ψηφιακών πλατφορμών·</w:t>
      </w:r>
    </w:p>
    <w:p w:rsidR="001E1E78" w:rsidRPr="00F13023" w:rsidP="00F13023" w14:paraId="66E79A76" w14:textId="77EEAE5C">
      <w:pPr>
        <w:spacing w:after="240"/>
        <w:ind w:left="570" w:hanging="570"/>
        <w:rPr>
          <w:color w:val="000000"/>
        </w:rPr>
      </w:pPr>
      <w:r w:rsidRPr="00F13023">
        <w:rPr>
          <w:color w:val="000000"/>
        </w:rPr>
        <w:t>29.</w:t>
      </w:r>
      <w:r w:rsidRPr="00F13023">
        <w:rPr>
          <w:color w:val="000000"/>
        </w:rPr>
        <w:tab/>
      </w:r>
      <w:r w:rsidRPr="00F13023">
        <w:rPr>
          <w:color w:val="000000"/>
        </w:rPr>
        <w:t>εκφράζει την ικανοποίησή του για τις πρόσφατες πρωτοβουλίες της Διάσκεψης των Προέδρων και του Προεδρείου που επιτρέπουν στις βουλεύτριες να ψηφίζουν με πληρεξούσιο κατά τη διάρκεια της περιγεννητικής περιόδου, αναγνωρίζοντας το γεγονός αυτό ως θετικό βήμα προς μεγαλύτερη συμμετοχικότητα στο κοινοβουλευτικό έργο, και καλεί όλα τα μέρη να εφαρμόσουν ταχέως το μέτρο· επιμένει, ωστόσο, ότι το μέτρο αυτό δεν ανταποκρίνεται στις επανειλημμένες εκκλήσεις του Κοινοβουλίου για διασφάλιση των δικαιωμάτων ψήφου, όχι μόνο για τις βουλεύτριες κατά την περιγεννητική περίοδο, αλλά και για τους βουλευτές που βρίσκονται σε γονική άδεια ή άδεια πατρότητας ή που αντιμετωπίζουν επίσης πιστοποιημένη μακροχρόνια ασθένεια·</w:t>
      </w:r>
    </w:p>
    <w:p w:rsidR="001E1E78" w:rsidRPr="00F13023" w:rsidP="00F13023" w14:paraId="58760A71" w14:textId="5981025C">
      <w:pPr>
        <w:spacing w:after="240"/>
        <w:ind w:left="570" w:hanging="570"/>
        <w:rPr>
          <w:bCs/>
          <w:iCs/>
          <w:color w:val="000000"/>
        </w:rPr>
      </w:pPr>
      <w:r w:rsidRPr="00F13023">
        <w:rPr>
          <w:bCs/>
          <w:iCs/>
          <w:color w:val="000000"/>
        </w:rPr>
        <w:t>30.</w:t>
      </w:r>
      <w:r w:rsidRPr="00F13023">
        <w:rPr>
          <w:bCs/>
          <w:iCs/>
          <w:color w:val="000000"/>
        </w:rPr>
        <w:tab/>
      </w:r>
      <w:r w:rsidRPr="00F13023">
        <w:rPr>
          <w:color w:val="000000"/>
        </w:rPr>
        <w:t xml:space="preserve">εκφράζει την ανησυχία του για το γεγονός ότι η ποιότητα και η συνέχεια των υπηρεσιών που παρέχονται από τον βρεφονηπιακό σταθμό </w:t>
      </w:r>
      <w:r w:rsidRPr="00F13023">
        <w:rPr>
          <w:color w:val="000000"/>
        </w:rPr>
        <w:t>Wayenberg</w:t>
      </w:r>
      <w:r w:rsidRPr="00F13023">
        <w:rPr>
          <w:color w:val="000000"/>
        </w:rPr>
        <w:t xml:space="preserve"> του Κοινοβουλίου έχουν επηρεαστεί από τις συχνές αλλαγές των παρόχων υπηρεσιών από το 2020, παράλληλα με τις προκλήσεις που σχετίζονται με τις ελλείψεις προσωπικού, τις υψηλές απουσίες προσωπικού και την εναλλαγή προσωπικού στον βρεφονηπιακό σταθμό· σημειώνει την ανάθεση της τρέχουσας σύμβασης για τις υπηρεσίες παιδικής φροντίδας του Κοινοβουλίου στις Βρυξέλλες σε νέα εταιρεία που συστάθηκε λίγο μετά τη δημοσίευση της πρόσκλησης υποβολής προσφορών και φέρεται να συνδέεται με τον πρώην </w:t>
      </w:r>
      <w:r w:rsidRPr="00F13023">
        <w:rPr>
          <w:color w:val="000000"/>
        </w:rPr>
        <w:t>πάροχο</w:t>
      </w:r>
      <w:r w:rsidRPr="00F13023">
        <w:rPr>
          <w:color w:val="000000"/>
        </w:rPr>
        <w:t xml:space="preserve">, τον </w:t>
      </w:r>
      <w:r w:rsidRPr="00F13023">
        <w:rPr>
          <w:color w:val="000000"/>
        </w:rPr>
        <w:t>Esedra</w:t>
      </w:r>
      <w:r w:rsidRPr="00F13023">
        <w:rPr>
          <w:color w:val="000000"/>
        </w:rPr>
        <w:t xml:space="preserve">· </w:t>
      </w:r>
      <w:r w:rsidRPr="00F13023" w:rsidR="0034045D">
        <w:rPr>
          <w:color w:val="000000"/>
        </w:rPr>
        <w:t xml:space="preserve">σημειώνει την πρόωρη καταγγελία της σύμβασης με τον προηγούμενο πάροχο του βρεφονηπιακού σταθμού </w:t>
      </w:r>
      <w:r w:rsidRPr="00F13023" w:rsidR="0034045D">
        <w:rPr>
          <w:color w:val="000000"/>
        </w:rPr>
        <w:t>Wayenberg</w:t>
      </w:r>
      <w:r w:rsidRPr="00F13023">
        <w:rPr>
          <w:color w:val="000000"/>
        </w:rPr>
        <w:t xml:space="preserve">, τον </w:t>
      </w:r>
      <w:r w:rsidRPr="00F13023">
        <w:rPr>
          <w:color w:val="000000"/>
        </w:rPr>
        <w:t>Esedra</w:t>
      </w:r>
      <w:r w:rsidRPr="00F13023">
        <w:rPr>
          <w:color w:val="000000"/>
        </w:rPr>
        <w:t>,</w:t>
      </w:r>
      <w:r w:rsidRPr="00F13023" w:rsidR="0034045D">
        <w:rPr>
          <w:color w:val="000000"/>
        </w:rPr>
        <w:t xml:space="preserve"> κατόπιν σειράς σοβαρών καταγγελιών κατά του </w:t>
      </w:r>
      <w:r w:rsidRPr="00F13023">
        <w:rPr>
          <w:color w:val="000000"/>
        </w:rPr>
        <w:t xml:space="preserve">εν λόγω </w:t>
      </w:r>
      <w:r w:rsidRPr="00F13023">
        <w:rPr>
          <w:color w:val="000000"/>
        </w:rPr>
        <w:t>αναδόχου</w:t>
      </w:r>
      <w:r w:rsidRPr="00F13023" w:rsidR="0034045D">
        <w:rPr>
          <w:color w:val="000000"/>
        </w:rPr>
        <w:t xml:space="preserve">· επαναλαμβάνει ότι οι αξιοπρεπείς συνθήκες εργασίας </w:t>
      </w:r>
      <w:r w:rsidRPr="00F13023">
        <w:rPr>
          <w:color w:val="000000"/>
        </w:rPr>
        <w:t xml:space="preserve">και η επαρκής αμοιβή του </w:t>
      </w:r>
      <w:r w:rsidRPr="00F13023" w:rsidR="0034045D">
        <w:rPr>
          <w:color w:val="000000"/>
        </w:rPr>
        <w:t>εξωτερικ</w:t>
      </w:r>
      <w:r w:rsidRPr="00F13023">
        <w:rPr>
          <w:color w:val="000000"/>
        </w:rPr>
        <w:t>ού</w:t>
      </w:r>
      <w:r w:rsidRPr="00F13023" w:rsidR="0034045D">
        <w:rPr>
          <w:color w:val="000000"/>
        </w:rPr>
        <w:t xml:space="preserve"> προσωπικ</w:t>
      </w:r>
      <w:r w:rsidRPr="00F13023">
        <w:rPr>
          <w:color w:val="000000"/>
        </w:rPr>
        <w:t>ού</w:t>
      </w:r>
      <w:r w:rsidRPr="00F13023" w:rsidR="0034045D">
        <w:rPr>
          <w:color w:val="000000"/>
        </w:rPr>
        <w:t xml:space="preserve">, </w:t>
      </w:r>
      <w:r w:rsidRPr="00F13023">
        <w:rPr>
          <w:bCs/>
          <w:iCs/>
          <w:color w:val="000000"/>
        </w:rPr>
        <w:t xml:space="preserve">συμπεριλαμβανομένης της κατάρτισης, της ανάπτυξης δεξιοτήτων, των μέτρων κατά της βίας και της παρενόχλησης, του ουσιαστικού κοινωνικού διαλόγου και των επενδύσεων </w:t>
      </w:r>
      <w:r w:rsidRPr="00F13023" w:rsidR="0034045D">
        <w:rPr>
          <w:color w:val="000000"/>
        </w:rPr>
        <w:t>στην ευεξία του προσωπικού, κατά περίπτωση, θα πρέπει να αποτελούν προτεραιότητα στις δημόσιες συμβάσεις του Κοινοβουλίου ως ζήτημα αρχής·</w:t>
      </w:r>
      <w:r w:rsidRPr="00F13023">
        <w:rPr>
          <w:color w:val="000000"/>
        </w:rPr>
        <w:t xml:space="preserve"> ζητεί να διενεργηθεί ανεξάρτητος εξωτερικός έλεγχος της διαδικασίας υποβολής προσφορών και της εκτέλεσης της τρέχουσας σύμβασης, συμπεριλαμβανομένης ανεξάρτητης εξωτερικής αξιολόγησης των συνθηκών εργασίας και της ευεξίας του προσωπικού·</w:t>
      </w:r>
    </w:p>
    <w:p w:rsidR="0034045D" w:rsidRPr="00F13023" w:rsidP="00F13023" w14:paraId="4883EDF4" w14:textId="37CD1CD5">
      <w:pPr>
        <w:spacing w:after="240"/>
        <w:ind w:left="570" w:hanging="570"/>
        <w:rPr>
          <w:bCs/>
          <w:iCs/>
          <w:color w:val="000000"/>
        </w:rPr>
      </w:pPr>
      <w:r w:rsidRPr="00F13023">
        <w:rPr>
          <w:bCs/>
          <w:iCs/>
          <w:color w:val="000000"/>
        </w:rPr>
        <w:t>31.</w:t>
      </w:r>
      <w:r w:rsidRPr="00F13023">
        <w:rPr>
          <w:bCs/>
          <w:iCs/>
          <w:color w:val="000000"/>
        </w:rPr>
        <w:tab/>
      </w:r>
      <w:r w:rsidRPr="00F13023">
        <w:rPr>
          <w:color w:val="000000"/>
        </w:rPr>
        <w:t>εκφράζει την ικανοποίησή του για την αίθουσα για τη φύλαξη των παιδιών στο Στρασβούργο ως πολύτιμη στήριξη για τους βουλευτές και το προσωπικό με μικρά παιδιά κατά τη διάρκεια των κοινοβουλευτικών δραστηριοτήτων τους· σημειώνει, ωστόσο, ότι έχει περιορισμένη ικανότητα υποδοχής 30 παιδιών· παρατηρεί ότι η μέση ηλικία των βουλευτών του Ευρωπαϊκού Κοινοβουλίου και του κοινοβουλευτικού προσωπικού έχει μειωθεί τα τελευταία χρόνια, με αποτέλεσμα μεγαλύτερο αριθμό νέων οικογενειών και αυξημένη ζήτηση για εγκαταστάσεις παιδικής φροντίδας· καλεί το Προεδρείο και τον Γενικό Γραμματέα να εξεύρουν και να εφαρμόσουν λύσεις για την περαιτέρω ενίσχυση της παιδικής φροντίδας στο Στρασβούργο·</w:t>
      </w:r>
    </w:p>
    <w:p w:rsidR="0034045D" w:rsidRPr="00F13023" w:rsidP="00F13023" w14:paraId="084C8F66" w14:textId="56F79704">
      <w:pPr>
        <w:spacing w:after="240"/>
        <w:ind w:left="570" w:hanging="570"/>
        <w:rPr>
          <w:color w:val="000000"/>
        </w:rPr>
      </w:pPr>
      <w:r w:rsidRPr="00F13023">
        <w:rPr>
          <w:color w:val="000000"/>
        </w:rPr>
        <w:t>32.</w:t>
      </w:r>
      <w:r w:rsidRPr="00F13023">
        <w:rPr>
          <w:color w:val="000000"/>
        </w:rPr>
        <w:tab/>
      </w:r>
      <w:r w:rsidRPr="00F13023">
        <w:rPr>
          <w:color w:val="000000"/>
        </w:rPr>
        <w:t xml:space="preserve">επαναλαμβάνει την έκκλησή του προς τον Γενικό Γραμματέα να τονίσει τη θεμελιώδη αρχή ότι όλες οι προσλήψεις θα πρέπει να βασίζονται σε ικανότητες, διασφαλίζοντας παράλληλα τη γεωγραφική ισορροπία μεταξύ όλων των κρατών μελών σε κάθε επίπεδο προσωπικού· υπογραμμίζει ότι η επίτευξη δίκαιης γεωγραφικής εκπροσώπησης σε όλα τα επίπεδα της διοίκησης, με τη συνεκτίμηση, μεταξύ άλλων, της ηλικίας και του φύλου, είναι απαραίτητη για την προώθηση μιας πραγματικά ευρωπαϊκής δημόσιας υπηρεσίας· σημειώνει ότι το Κοινοβούλιο έχει λάβει μέτρα για τη στήριξη αυτού του στόχου, συμπεριλαμβανομένης της διοργάνωσης διαγωνισμών για συγκεκριμένες εθνικότητες· τονίζει την ανάγκη να επιταχυνθούν οι διαδικασίες των διαγωνισμών, διατηρώντας παράλληλα μια αυστηρή αξιοκρατική προσέγγιση επιλογής· </w:t>
      </w:r>
    </w:p>
    <w:p w:rsidR="0034045D" w:rsidRPr="00F13023" w:rsidP="00F13023" w14:paraId="7C25E2CA" w14:textId="470AD886">
      <w:pPr>
        <w:spacing w:after="240"/>
        <w:ind w:left="570" w:hanging="570"/>
        <w:rPr>
          <w:color w:val="000000"/>
        </w:rPr>
      </w:pPr>
      <w:r w:rsidRPr="00F13023">
        <w:rPr>
          <w:color w:val="000000"/>
        </w:rPr>
        <w:t>33.</w:t>
      </w:r>
      <w:r w:rsidRPr="00F13023">
        <w:rPr>
          <w:color w:val="000000"/>
        </w:rPr>
        <w:tab/>
      </w:r>
      <w:r w:rsidRPr="00F13023">
        <w:rPr>
          <w:color w:val="000000"/>
        </w:rPr>
        <w:t xml:space="preserve">επισημαίνει ότι η πολυγλωσσία αποτελεί βασική αρχή στην οποία βασίζονται οι εργασίες του Κοινοβουλίου· ζητεί, κατά περίπτωση, από το Κοινοβούλιο να αξιοποιήσει τις σημαντικές τεχνολογικές εξελίξεις στις υπηρεσίες που σχετίζονται με την πολυγλωσσία, συμπεριλαμβανομένης της ανάπτυξης και της χρήσης της τεχνητής νοημοσύνης· </w:t>
      </w:r>
    </w:p>
    <w:p w:rsidR="0034045D" w:rsidRPr="00F13023" w:rsidP="00F13023" w14:paraId="547A5C10" w14:textId="3C4E8F1B">
      <w:pPr>
        <w:spacing w:after="240"/>
        <w:ind w:left="570" w:hanging="570"/>
        <w:rPr>
          <w:bCs/>
          <w:iCs/>
          <w:color w:val="000000"/>
        </w:rPr>
      </w:pPr>
      <w:r w:rsidRPr="00F13023">
        <w:rPr>
          <w:bCs/>
          <w:iCs/>
          <w:color w:val="000000"/>
        </w:rPr>
        <w:t>34.</w:t>
      </w:r>
      <w:r w:rsidRPr="00F13023">
        <w:rPr>
          <w:bCs/>
          <w:iCs/>
          <w:color w:val="000000"/>
        </w:rPr>
        <w:tab/>
      </w:r>
      <w:r w:rsidRPr="00F13023">
        <w:rPr>
          <w:color w:val="000000"/>
        </w:rPr>
        <w:t>σημειώνει την απόφαση της 1</w:t>
      </w:r>
      <w:r w:rsidR="00491375">
        <w:rPr>
          <w:color w:val="000000"/>
          <w:lang w:val="lv-LV"/>
        </w:rPr>
        <w:t>7</w:t>
      </w:r>
      <w:r w:rsidRPr="00F13023">
        <w:rPr>
          <w:color w:val="000000"/>
        </w:rPr>
        <w:t>ης Δεκεμβρίου 2025 του Γενικού Δικαστηρίου, του δικαιοδοτικού οργάνου του Δικαστηρίου της Ευρωπαϊκής Ένωσης, με την οποία επιβεβαιώνεται η νομιμότητα των μέτρων που εγκρίθηκαν από το Προεδρείο το 2023 σχετικά με το Προαιρετικό Ταμείο Συντάξεων των Βουλευτών</w:t>
      </w:r>
      <w:r>
        <w:rPr>
          <w:rStyle w:val="FootnoteReference"/>
          <w:bCs/>
          <w:iCs/>
          <w:color w:val="000000"/>
        </w:rPr>
        <w:footnoteReference w:id="14"/>
      </w:r>
      <w:r w:rsidRPr="00F13023">
        <w:rPr>
          <w:color w:val="000000"/>
        </w:rPr>
        <w:t>· επισημαίνει ότι, ενώ τα μέτρα αυτά μείωσαν την υποχρέωση παροχών κατά 63 %, το ταμείο παραμένει σε πολύ εύθραυστη οικονομική κατάσταση· αναμένει να λάβει ενημέρωση σχετικά με τις περαιτέρω εξελίξεις όσον αφορά το προαιρετικό συνταξιοδοτικό καθεστώς·</w:t>
      </w:r>
    </w:p>
    <w:p w:rsidR="0034045D" w:rsidRPr="00F13023" w:rsidP="00F13023" w14:paraId="752AB53D" w14:textId="5845F32F">
      <w:pPr>
        <w:spacing w:after="240"/>
        <w:ind w:left="570" w:hanging="570"/>
        <w:rPr>
          <w:bCs/>
          <w:iCs/>
          <w:color w:val="000000"/>
        </w:rPr>
      </w:pPr>
      <w:r w:rsidRPr="00F13023">
        <w:rPr>
          <w:bCs/>
          <w:iCs/>
          <w:color w:val="000000"/>
        </w:rPr>
        <w:t>35.</w:t>
      </w:r>
      <w:r w:rsidRPr="00F13023">
        <w:rPr>
          <w:bCs/>
          <w:iCs/>
          <w:color w:val="000000"/>
        </w:rPr>
        <w:tab/>
      </w:r>
      <w:r w:rsidRPr="00F13023">
        <w:rPr>
          <w:color w:val="000000"/>
        </w:rPr>
        <w:t>υπογραμμίζει ότι τα αιτήματα που ψηφίστηκαν από την Ολομέλεια θα πρέπει να υλοποιηθούν ως ζήτημα υψηλής προτεραιότητας·</w:t>
      </w:r>
    </w:p>
    <w:p w:rsidR="0034045D" w:rsidRPr="00F13023" w:rsidP="00F13023" w14:paraId="0277E6CA" w14:textId="4B6B22AE">
      <w:pPr>
        <w:spacing w:after="240"/>
        <w:ind w:left="570" w:hanging="570"/>
      </w:pPr>
      <w:r w:rsidRPr="00F13023">
        <w:t>36.</w:t>
      </w:r>
      <w:r w:rsidRPr="00F13023">
        <w:tab/>
      </w:r>
      <w:r w:rsidRPr="00F13023">
        <w:rPr>
          <w:color w:val="000000"/>
        </w:rPr>
        <w:t>εγκρίνει</w:t>
      </w:r>
      <w:r w:rsidRPr="00F13023">
        <w:t xml:space="preserve"> την κατάσταση προβλέψεων των εσόδων και δαπανών για το οικονομικό έτος 2027·</w:t>
      </w:r>
    </w:p>
    <w:p w:rsidR="00E365E1" w:rsidRPr="00F13023" w:rsidP="00F13023" w14:paraId="33BB9410" w14:textId="5CE00A0D">
      <w:pPr>
        <w:spacing w:after="240"/>
        <w:ind w:left="570" w:hanging="570"/>
      </w:pPr>
      <w:r w:rsidRPr="00F13023">
        <w:t>37.</w:t>
      </w:r>
      <w:r w:rsidRPr="00F13023">
        <w:tab/>
      </w:r>
      <w:r w:rsidRPr="00F13023" w:rsidR="0034045D">
        <w:rPr>
          <w:color w:val="000000"/>
        </w:rPr>
        <w:t>αναθέτει</w:t>
      </w:r>
      <w:r w:rsidRPr="00F13023" w:rsidR="0034045D">
        <w:t xml:space="preserve"> στην </w:t>
      </w:r>
      <w:r w:rsidRPr="00F13023" w:rsidR="0034045D">
        <w:rPr>
          <w:color w:val="000000"/>
        </w:rPr>
        <w:t>Πρόεδρό</w:t>
      </w:r>
      <w:r w:rsidRPr="00F13023" w:rsidR="0034045D">
        <w:t xml:space="preserve"> του να διαβιβάσει το παρόν ψήφισμα και την κατάσταση προβλέψεων των εσόδων και δαπανών στο </w:t>
      </w:r>
      <w:r w:rsidRPr="00F13023" w:rsidR="003D1E51">
        <w:t>Συμβούλιο και στην Επιτροπή.</w:t>
      </w:r>
    </w:p>
    <w:sectPr w:rsidSect="003D1E5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1E51" w14:paraId="2AC14E9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1E51" w14:paraId="1DFCFD4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1E51" w14:paraId="67AE58C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F7F10" w:rsidRPr="003D1E51" w14:paraId="7F879192" w14:textId="77777777">
      <w:r w:rsidRPr="003D1E51">
        <w:separator/>
      </w:r>
    </w:p>
  </w:footnote>
  <w:footnote w:type="continuationSeparator" w:id="1">
    <w:p w:rsidR="00BF7F10" w:rsidRPr="003D1E51" w14:paraId="0C0FE1FB" w14:textId="77777777">
      <w:r w:rsidRPr="003D1E51">
        <w:continuationSeparator/>
      </w:r>
    </w:p>
  </w:footnote>
  <w:footnote w:id="2">
    <w:p w:rsidR="0034045D" w:rsidRPr="001B56FB" w:rsidP="003D1E51" w14:paraId="497F6172" w14:textId="61C22400">
      <w:pPr>
        <w:ind w:left="567" w:hanging="567"/>
        <w:rPr>
          <w:color w:val="000000"/>
          <w:lang w:val="fi-FI"/>
        </w:rPr>
      </w:pPr>
      <w:r w:rsidRPr="003D1E51">
        <w:rPr>
          <w:rStyle w:val="FootnoteReference"/>
        </w:rPr>
        <w:footnoteRef/>
      </w:r>
      <w:r w:rsidRPr="001B56FB" w:rsidR="003D1E51">
        <w:rPr>
          <w:color w:val="000000"/>
          <w:lang w:val="fi-FI"/>
        </w:rPr>
        <w:t xml:space="preserve"> </w:t>
      </w:r>
      <w:r w:rsidRPr="001B56FB" w:rsidR="003D1E51">
        <w:rPr>
          <w:color w:val="000000"/>
          <w:lang w:val="fi-FI"/>
        </w:rPr>
        <w:tab/>
      </w:r>
      <w:r w:rsidRPr="003D1E51">
        <w:rPr>
          <w:color w:val="000000"/>
        </w:rPr>
        <w:t>ΕΕ</w:t>
      </w:r>
      <w:r w:rsidRPr="001B56FB">
        <w:rPr>
          <w:color w:val="000000"/>
          <w:lang w:val="fi-FI"/>
        </w:rPr>
        <w:t xml:space="preserve"> L, 2024/2509, 26.9.2024, ELI: </w:t>
      </w:r>
      <w:hyperlink r:id="rId1" w:history="1">
        <w:r w:rsidRPr="001B56FB">
          <w:rPr>
            <w:rStyle w:val="Hyperlink"/>
            <w:lang w:val="fi-FI"/>
          </w:rPr>
          <w:t>http://data.europa.eu/eli/reg/2024/2509/oj</w:t>
        </w:r>
      </w:hyperlink>
      <w:r w:rsidRPr="001B56FB">
        <w:rPr>
          <w:color w:val="337AB7"/>
          <w:u w:val="single"/>
          <w:lang w:val="fi-FI"/>
        </w:rPr>
        <w:t>.</w:t>
      </w:r>
    </w:p>
  </w:footnote>
  <w:footnote w:id="3">
    <w:p w:rsidR="0034045D" w:rsidRPr="003D1E51" w:rsidP="003D1E51" w14:paraId="36CA3732" w14:textId="4943E073">
      <w:pPr>
        <w:ind w:left="567" w:hanging="567"/>
        <w:rPr>
          <w:color w:val="000000"/>
        </w:rPr>
      </w:pPr>
      <w:r w:rsidRPr="003D1E51">
        <w:rPr>
          <w:rStyle w:val="FootnoteReference"/>
        </w:rPr>
        <w:footnoteRef/>
      </w:r>
      <w:r w:rsidRPr="003D1E51" w:rsidR="003D1E51">
        <w:rPr>
          <w:color w:val="000000"/>
        </w:rPr>
        <w:t xml:space="preserve"> </w:t>
      </w:r>
      <w:r w:rsidRPr="003D1E51" w:rsidR="003D1E51">
        <w:rPr>
          <w:color w:val="000000"/>
        </w:rPr>
        <w:tab/>
      </w:r>
      <w:r w:rsidRPr="003D1E51">
        <w:rPr>
          <w:color w:val="000000"/>
        </w:rPr>
        <w:t xml:space="preserve">ΕΕ L 433 I της 22.12.2020, σ. 11, ELI: </w:t>
      </w:r>
      <w:hyperlink r:id="rId2" w:history="1">
        <w:r w:rsidRPr="003D1E51">
          <w:rPr>
            <w:rStyle w:val="Hyperlink"/>
          </w:rPr>
          <w:t>http://data.europa.eu/eli/reg/2020/2093/oj</w:t>
        </w:r>
      </w:hyperlink>
      <w:r w:rsidRPr="003D1E51">
        <w:rPr>
          <w:color w:val="000000"/>
        </w:rPr>
        <w:t>.</w:t>
      </w:r>
    </w:p>
  </w:footnote>
  <w:footnote w:id="4">
    <w:p w:rsidR="0034045D" w:rsidRPr="003D1E51" w:rsidP="003D1E51" w14:paraId="06B43868" w14:textId="2F2B7C73">
      <w:pPr>
        <w:ind w:left="567" w:hanging="567"/>
        <w:rPr>
          <w:color w:val="000000"/>
        </w:rPr>
      </w:pPr>
      <w:r w:rsidRPr="003D1E51">
        <w:rPr>
          <w:rStyle w:val="FootnoteReference"/>
        </w:rPr>
        <w:footnoteRef/>
      </w:r>
      <w:r w:rsidRPr="003D1E51" w:rsidR="003D1E51">
        <w:rPr>
          <w:color w:val="000000"/>
        </w:rPr>
        <w:t xml:space="preserve"> </w:t>
      </w:r>
      <w:r w:rsidRPr="003D1E51" w:rsidR="003D1E51">
        <w:rPr>
          <w:color w:val="000000"/>
        </w:rPr>
        <w:tab/>
      </w:r>
      <w:r w:rsidRPr="003D1E51">
        <w:rPr>
          <w:color w:val="000000"/>
        </w:rPr>
        <w:t>ΕΕ C 444 I της 22.12.2020, σ. 4.</w:t>
      </w:r>
    </w:p>
  </w:footnote>
  <w:footnote w:id="5">
    <w:p w:rsidR="0034045D" w:rsidRPr="003D1E51" w:rsidP="003D1E51" w14:paraId="4AE4ACF2" w14:textId="13C3BD5E">
      <w:pPr>
        <w:ind w:left="567" w:hanging="567"/>
        <w:rPr>
          <w:color w:val="000000"/>
        </w:rPr>
      </w:pPr>
      <w:r w:rsidRPr="003D1E51">
        <w:rPr>
          <w:rStyle w:val="FootnoteReference"/>
        </w:rPr>
        <w:footnoteRef/>
      </w:r>
      <w:r w:rsidRPr="003D1E51" w:rsidR="003D1E51">
        <w:rPr>
          <w:color w:val="000000"/>
        </w:rPr>
        <w:t xml:space="preserve"> </w:t>
      </w:r>
      <w:r w:rsidRPr="003D1E51" w:rsidR="003D1E51">
        <w:rPr>
          <w:color w:val="000000"/>
        </w:rPr>
        <w:tab/>
      </w:r>
      <w:r w:rsidRPr="003D1E51">
        <w:rPr>
          <w:color w:val="000000"/>
        </w:rPr>
        <w:t>ΕΕ C 445 της 29.10.2021, σ. 252.</w:t>
      </w:r>
    </w:p>
  </w:footnote>
  <w:footnote w:id="6">
    <w:p w:rsidR="0034045D" w:rsidRPr="007E49A8" w:rsidP="003D1E51" w14:paraId="41CB9E79" w14:textId="6337971B">
      <w:pPr>
        <w:ind w:left="567" w:hanging="567"/>
      </w:pPr>
      <w:r w:rsidRPr="003D1E51">
        <w:rPr>
          <w:rStyle w:val="FootnoteReference"/>
          <w:rFonts w:eastAsiaTheme="majorEastAsia"/>
        </w:rPr>
        <w:footnoteRef/>
      </w:r>
      <w:r w:rsidRPr="007E49A8" w:rsidR="003D1E51">
        <w:t xml:space="preserve"> </w:t>
      </w:r>
      <w:r w:rsidRPr="007E49A8" w:rsidR="003D1E51">
        <w:tab/>
      </w:r>
      <w:r w:rsidRPr="003D1E51">
        <w:t>ΕΕ</w:t>
      </w:r>
      <w:r w:rsidRPr="007E49A8">
        <w:t xml:space="preserve"> </w:t>
      </w:r>
      <w:r w:rsidRPr="001B56FB">
        <w:rPr>
          <w:lang w:val="fi-FI"/>
        </w:rPr>
        <w:t>L</w:t>
      </w:r>
      <w:r w:rsidRPr="007E49A8">
        <w:t xml:space="preserve"> 325</w:t>
      </w:r>
      <w:r w:rsidRPr="001B56FB" w:rsidR="001B56FB">
        <w:t xml:space="preserve"> </w:t>
      </w:r>
      <w:r w:rsidR="001B56FB">
        <w:t>της</w:t>
      </w:r>
      <w:r w:rsidRPr="007E49A8">
        <w:t xml:space="preserve"> 20.12.2022, </w:t>
      </w:r>
      <w:r w:rsidRPr="003D1E51">
        <w:t>σ</w:t>
      </w:r>
      <w:r w:rsidRPr="007E49A8">
        <w:t xml:space="preserve">. 11, </w:t>
      </w:r>
      <w:r w:rsidRPr="001B56FB">
        <w:rPr>
          <w:lang w:val="fi-FI"/>
        </w:rPr>
        <w:t>ELI</w:t>
      </w:r>
      <w:r w:rsidRPr="007E49A8">
        <w:t xml:space="preserve">: </w:t>
      </w:r>
      <w:hyperlink r:id="rId3" w:history="1">
        <w:r w:rsidRPr="001B56FB">
          <w:rPr>
            <w:rStyle w:val="Hyperlink"/>
            <w:lang w:val="fi-FI"/>
          </w:rPr>
          <w:t>http</w:t>
        </w:r>
        <w:r w:rsidRPr="007E49A8">
          <w:rPr>
            <w:rStyle w:val="Hyperlink"/>
          </w:rPr>
          <w:t>://</w:t>
        </w:r>
        <w:r w:rsidRPr="001B56FB">
          <w:rPr>
            <w:rStyle w:val="Hyperlink"/>
            <w:lang w:val="fi-FI"/>
          </w:rPr>
          <w:t>data</w:t>
        </w:r>
        <w:r w:rsidRPr="007E49A8">
          <w:rPr>
            <w:rStyle w:val="Hyperlink"/>
          </w:rPr>
          <w:t>.</w:t>
        </w:r>
        <w:r w:rsidRPr="001B56FB">
          <w:rPr>
            <w:rStyle w:val="Hyperlink"/>
            <w:lang w:val="fi-FI"/>
          </w:rPr>
          <w:t>europa</w:t>
        </w:r>
        <w:r w:rsidRPr="007E49A8">
          <w:rPr>
            <w:rStyle w:val="Hyperlink"/>
          </w:rPr>
          <w:t>.</w:t>
        </w:r>
        <w:r w:rsidRPr="001B56FB">
          <w:rPr>
            <w:rStyle w:val="Hyperlink"/>
            <w:lang w:val="fi-FI"/>
          </w:rPr>
          <w:t>eu</w:t>
        </w:r>
        <w:r w:rsidRPr="007E49A8">
          <w:rPr>
            <w:rStyle w:val="Hyperlink"/>
          </w:rPr>
          <w:t>/</w:t>
        </w:r>
        <w:r w:rsidRPr="001B56FB">
          <w:rPr>
            <w:rStyle w:val="Hyperlink"/>
            <w:lang w:val="fi-FI"/>
          </w:rPr>
          <w:t>eli</w:t>
        </w:r>
        <w:r w:rsidRPr="007E49A8">
          <w:rPr>
            <w:rStyle w:val="Hyperlink"/>
          </w:rPr>
          <w:t>/</w:t>
        </w:r>
        <w:r w:rsidRPr="001B56FB">
          <w:rPr>
            <w:rStyle w:val="Hyperlink"/>
            <w:lang w:val="fi-FI"/>
          </w:rPr>
          <w:t>reg</w:t>
        </w:r>
        <w:r w:rsidRPr="007E49A8">
          <w:rPr>
            <w:rStyle w:val="Hyperlink"/>
          </w:rPr>
          <w:t>/2022/2496/</w:t>
        </w:r>
        <w:r w:rsidRPr="001B56FB">
          <w:rPr>
            <w:rStyle w:val="Hyperlink"/>
            <w:lang w:val="fi-FI"/>
          </w:rPr>
          <w:t>oj</w:t>
        </w:r>
      </w:hyperlink>
      <w:r w:rsidRPr="007E49A8">
        <w:t>.</w:t>
      </w:r>
    </w:p>
  </w:footnote>
  <w:footnote w:id="7">
    <w:p w:rsidR="0034045D" w:rsidRPr="001B56FB" w:rsidP="003D1E51" w14:paraId="3B8B6AA3" w14:textId="677A7F49">
      <w:pPr>
        <w:ind w:left="567" w:hanging="567"/>
        <w:rPr>
          <w:lang w:val="fi-FI"/>
        </w:rPr>
      </w:pPr>
      <w:r w:rsidRPr="003D1E51">
        <w:rPr>
          <w:rStyle w:val="FootnoteReference"/>
        </w:rPr>
        <w:footnoteRef/>
      </w:r>
      <w:r w:rsidRPr="001B56FB" w:rsidR="003D1E51">
        <w:rPr>
          <w:lang w:val="fi-FI"/>
        </w:rPr>
        <w:t xml:space="preserve"> </w:t>
      </w:r>
      <w:r w:rsidRPr="001B56FB" w:rsidR="003D1E51">
        <w:rPr>
          <w:lang w:val="fi-FI"/>
        </w:rPr>
        <w:tab/>
      </w:r>
      <w:r w:rsidRPr="003D1E51">
        <w:t>ΕΕ</w:t>
      </w:r>
      <w:r w:rsidRPr="001B56FB">
        <w:rPr>
          <w:lang w:val="fi-FI"/>
        </w:rPr>
        <w:t xml:space="preserve"> L, 2024/765, 29.2.2024, ELI: </w:t>
      </w:r>
      <w:hyperlink r:id="rId4" w:history="1">
        <w:r w:rsidRPr="001B56FB">
          <w:rPr>
            <w:rStyle w:val="Hyperlink"/>
            <w:lang w:val="fi-FI"/>
          </w:rPr>
          <w:t>http://data.europa.eu/eli/reg/2024/765/oj</w:t>
        </w:r>
      </w:hyperlink>
      <w:r w:rsidRPr="001B56FB">
        <w:rPr>
          <w:lang w:val="fi-FI"/>
        </w:rPr>
        <w:t>.</w:t>
      </w:r>
    </w:p>
  </w:footnote>
  <w:footnote w:id="8">
    <w:p w:rsidR="0034045D" w:rsidRPr="003D1E51" w:rsidP="003D1E51" w14:paraId="6E86D185" w14:textId="6FB65A06">
      <w:pPr>
        <w:ind w:left="567" w:hanging="567"/>
        <w:rPr>
          <w:color w:val="000000"/>
        </w:rPr>
      </w:pPr>
      <w:r w:rsidRPr="003D1E51">
        <w:rPr>
          <w:rStyle w:val="FootnoteReference"/>
        </w:rPr>
        <w:footnoteRef/>
      </w:r>
      <w:r w:rsidRPr="003D1E51" w:rsidR="003D1E51">
        <w:rPr>
          <w:color w:val="000000"/>
        </w:rPr>
        <w:t xml:space="preserve"> </w:t>
      </w:r>
      <w:r w:rsidRPr="003D1E51" w:rsidR="003D1E51">
        <w:rPr>
          <w:color w:val="000000"/>
        </w:rPr>
        <w:tab/>
      </w:r>
      <w:r w:rsidRPr="003D1E51">
        <w:rPr>
          <w:color w:val="000000"/>
        </w:rPr>
        <w:t xml:space="preserve">ΕΕ L 433 I της 22.12.2020, σ. 28, ELI: </w:t>
      </w:r>
      <w:hyperlink r:id="rId5" w:history="1">
        <w:r w:rsidRPr="003D1E51">
          <w:rPr>
            <w:rStyle w:val="Hyperlink"/>
          </w:rPr>
          <w:t>http://data.europa.eu/eli/agree_interinstit/2020/1222/oj</w:t>
        </w:r>
      </w:hyperlink>
      <w:r w:rsidRPr="003D1E51">
        <w:rPr>
          <w:color w:val="000000"/>
        </w:rPr>
        <w:t>.</w:t>
      </w:r>
    </w:p>
  </w:footnote>
  <w:footnote w:id="9">
    <w:p w:rsidR="0034045D" w:rsidRPr="003D1E51" w:rsidP="003D1E51" w14:paraId="4520C125" w14:textId="7A836996">
      <w:pPr>
        <w:ind w:left="567" w:hanging="567"/>
        <w:rPr>
          <w:color w:val="000000"/>
        </w:rPr>
      </w:pPr>
      <w:r w:rsidRPr="003D1E51">
        <w:rPr>
          <w:rStyle w:val="FootnoteReference"/>
        </w:rPr>
        <w:footnoteRef/>
      </w:r>
      <w:r w:rsidRPr="003D1E51" w:rsidR="003D1E51">
        <w:rPr>
          <w:color w:val="000000"/>
        </w:rPr>
        <w:t xml:space="preserve"> </w:t>
      </w:r>
      <w:r w:rsidRPr="003D1E51" w:rsidR="003D1E51">
        <w:rPr>
          <w:color w:val="000000"/>
        </w:rPr>
        <w:tab/>
      </w:r>
      <w:r w:rsidRPr="003D1E51">
        <w:rPr>
          <w:color w:val="000000"/>
        </w:rPr>
        <w:t>ΕΕ C 445 της 29.10.2021, σ. 240.</w:t>
      </w:r>
    </w:p>
  </w:footnote>
  <w:footnote w:id="10">
    <w:p w:rsidR="0034045D" w:rsidRPr="003D1E51" w:rsidP="003D1E51" w14:paraId="149E7C97" w14:textId="46947019">
      <w:pPr>
        <w:ind w:left="567" w:hanging="567"/>
        <w:rPr>
          <w:color w:val="000000"/>
        </w:rPr>
      </w:pPr>
      <w:r w:rsidRPr="003D1E51">
        <w:rPr>
          <w:rStyle w:val="FootnoteReference"/>
        </w:rPr>
        <w:footnoteRef/>
      </w:r>
      <w:r w:rsidRPr="003D1E51" w:rsidR="003D1E51">
        <w:rPr>
          <w:color w:val="000000"/>
        </w:rPr>
        <w:t xml:space="preserve"> </w:t>
      </w:r>
      <w:r w:rsidRPr="003D1E51" w:rsidR="003D1E51">
        <w:rPr>
          <w:color w:val="000000"/>
        </w:rPr>
        <w:tab/>
      </w:r>
      <w:r w:rsidRPr="003D1E51">
        <w:rPr>
          <w:color w:val="000000"/>
        </w:rPr>
        <w:t>ΕΕ C 177 της 17.5.2023, σ. 115.</w:t>
      </w:r>
    </w:p>
  </w:footnote>
  <w:footnote w:id="11">
    <w:p w:rsidR="0034045D" w:rsidRPr="001B56FB" w:rsidP="003D1E51" w14:paraId="1F1E5FA9" w14:textId="66ACCC42">
      <w:pPr>
        <w:ind w:left="567" w:hanging="567"/>
        <w:rPr>
          <w:color w:val="000000"/>
          <w:lang w:val="fi-FI"/>
        </w:rPr>
      </w:pPr>
      <w:r w:rsidRPr="003D1E51">
        <w:rPr>
          <w:rStyle w:val="FootnoteReference"/>
        </w:rPr>
        <w:footnoteRef/>
      </w:r>
      <w:r w:rsidRPr="001B56FB" w:rsidR="003D1E51">
        <w:rPr>
          <w:color w:val="000000"/>
          <w:lang w:val="fi-FI"/>
        </w:rPr>
        <w:t xml:space="preserve"> </w:t>
      </w:r>
      <w:r w:rsidRPr="001B56FB" w:rsidR="003D1E51">
        <w:rPr>
          <w:color w:val="000000"/>
          <w:lang w:val="fi-FI"/>
        </w:rPr>
        <w:tab/>
      </w:r>
      <w:r w:rsidRPr="003D1E51">
        <w:rPr>
          <w:color w:val="000000"/>
        </w:rPr>
        <w:t>ΕΕ</w:t>
      </w:r>
      <w:r w:rsidRPr="001B56FB">
        <w:rPr>
          <w:color w:val="000000"/>
          <w:lang w:val="fi-FI"/>
        </w:rPr>
        <w:t xml:space="preserve"> C, C/2024/1195, 23.2.2024, ELI: </w:t>
      </w:r>
      <w:hyperlink r:id="rId6" w:history="1">
        <w:r w:rsidRPr="001B56FB">
          <w:rPr>
            <w:rStyle w:val="Hyperlink"/>
            <w:lang w:val="fi-FI"/>
          </w:rPr>
          <w:t>http://data.europa.eu/eli/C/2024/1195/oj</w:t>
        </w:r>
      </w:hyperlink>
      <w:r w:rsidRPr="001B56FB">
        <w:rPr>
          <w:color w:val="000000"/>
          <w:lang w:val="fi-FI"/>
        </w:rPr>
        <w:t>.</w:t>
      </w:r>
    </w:p>
  </w:footnote>
  <w:footnote w:id="12">
    <w:p w:rsidR="0034045D" w:rsidRPr="001B56FB" w:rsidP="003D1E51" w14:paraId="6B488FB6" w14:textId="038EAB1C">
      <w:pPr>
        <w:ind w:left="567" w:hanging="567"/>
        <w:rPr>
          <w:color w:val="000000"/>
          <w:lang w:val="fi-FI"/>
        </w:rPr>
      </w:pPr>
      <w:r w:rsidRPr="003D1E51">
        <w:rPr>
          <w:rStyle w:val="FootnoteReference"/>
        </w:rPr>
        <w:footnoteRef/>
      </w:r>
      <w:r w:rsidRPr="001B56FB" w:rsidR="003D1E51">
        <w:rPr>
          <w:color w:val="000000"/>
          <w:lang w:val="fi-FI"/>
        </w:rPr>
        <w:t xml:space="preserve"> </w:t>
      </w:r>
      <w:r w:rsidRPr="001B56FB" w:rsidR="003D1E51">
        <w:rPr>
          <w:color w:val="000000"/>
          <w:lang w:val="fi-FI"/>
        </w:rPr>
        <w:tab/>
      </w:r>
      <w:r w:rsidRPr="003D1E51">
        <w:rPr>
          <w:color w:val="000000"/>
        </w:rPr>
        <w:t>ΕΕ</w:t>
      </w:r>
      <w:r w:rsidRPr="001B56FB">
        <w:rPr>
          <w:color w:val="000000"/>
          <w:lang w:val="fi-FI"/>
        </w:rPr>
        <w:t xml:space="preserve"> C, C/2024/6751, 26.11.2024, ELI: </w:t>
      </w:r>
      <w:hyperlink r:id="rId7" w:history="1">
        <w:r w:rsidRPr="001B56FB">
          <w:rPr>
            <w:rStyle w:val="Hyperlink"/>
            <w:lang w:val="fi-FI"/>
          </w:rPr>
          <w:t>http://data.europa.eu/eli/C/2024/6751/oj</w:t>
        </w:r>
      </w:hyperlink>
      <w:r w:rsidRPr="001B56FB">
        <w:rPr>
          <w:color w:val="000000"/>
          <w:lang w:val="fi-FI"/>
        </w:rPr>
        <w:t>.</w:t>
      </w:r>
    </w:p>
  </w:footnote>
  <w:footnote w:id="13">
    <w:p w:rsidR="0034045D" w:rsidRPr="001B56FB" w:rsidP="003D1E51" w14:paraId="59BE3798" w14:textId="24316102">
      <w:pPr>
        <w:ind w:left="567" w:hanging="567"/>
        <w:rPr>
          <w:color w:val="000000"/>
          <w:lang w:val="fi-FI"/>
        </w:rPr>
      </w:pPr>
      <w:r w:rsidRPr="003D1E51">
        <w:rPr>
          <w:rStyle w:val="FootnoteReference"/>
        </w:rPr>
        <w:footnoteRef/>
      </w:r>
      <w:r w:rsidRPr="001B56FB" w:rsidR="003D1E51">
        <w:rPr>
          <w:color w:val="000000"/>
          <w:lang w:val="fi-FI"/>
        </w:rPr>
        <w:t xml:space="preserve"> </w:t>
      </w:r>
      <w:r w:rsidRPr="001B56FB" w:rsidR="003D1E51">
        <w:rPr>
          <w:color w:val="000000"/>
          <w:lang w:val="fi-FI"/>
        </w:rPr>
        <w:tab/>
      </w:r>
      <w:r w:rsidRPr="003D1E51">
        <w:rPr>
          <w:color w:val="000000"/>
        </w:rPr>
        <w:t>ΕΕ</w:t>
      </w:r>
      <w:r w:rsidRPr="001B56FB">
        <w:rPr>
          <w:color w:val="000000"/>
          <w:lang w:val="fi-FI"/>
        </w:rPr>
        <w:t xml:space="preserve"> L, 2026/72, 26.2.2026, ELI: </w:t>
      </w:r>
      <w:hyperlink r:id="rId8" w:history="1">
        <w:r w:rsidRPr="001B56FB">
          <w:rPr>
            <w:rStyle w:val="Hyperlink"/>
            <w:lang w:val="fi-FI"/>
          </w:rPr>
          <w:t>http://data.europa.eu/eli/budget/2026/72/oj</w:t>
        </w:r>
      </w:hyperlink>
      <w:r w:rsidRPr="001B56FB">
        <w:rPr>
          <w:color w:val="000000"/>
          <w:lang w:val="fi-FI"/>
        </w:rPr>
        <w:t xml:space="preserve">. </w:t>
      </w:r>
    </w:p>
  </w:footnote>
  <w:footnote w:id="14">
    <w:p w:rsidR="0034045D" w:rsidRPr="003D1E51" w:rsidP="003D1E51" w14:paraId="7167B36F" w14:textId="061B43C9">
      <w:pPr>
        <w:pStyle w:val="FootnoteText"/>
        <w:ind w:left="567" w:hanging="567"/>
        <w:rPr>
          <w:sz w:val="24"/>
          <w:lang w:val="el-GR"/>
        </w:rPr>
      </w:pPr>
      <w:r w:rsidRPr="003D1E51">
        <w:rPr>
          <w:rStyle w:val="FootnoteReference"/>
          <w:sz w:val="24"/>
          <w:lang w:val="el-GR"/>
        </w:rPr>
        <w:footnoteRef/>
      </w:r>
      <w:r w:rsidRPr="003D1E51" w:rsidR="003D1E51">
        <w:rPr>
          <w:sz w:val="24"/>
          <w:lang w:val="el-GR"/>
        </w:rPr>
        <w:t xml:space="preserve"> </w:t>
      </w:r>
      <w:r w:rsidRPr="003D1E51" w:rsidR="003D1E51">
        <w:rPr>
          <w:sz w:val="24"/>
          <w:lang w:val="el-GR"/>
        </w:rPr>
        <w:tab/>
      </w:r>
      <w:r w:rsidRPr="003D1E51">
        <w:rPr>
          <w:sz w:val="24"/>
          <w:lang w:val="el-GR"/>
        </w:rPr>
        <w:t>Απόφαση του Γενικού Δικαστηρίου της 1</w:t>
      </w:r>
      <w:r w:rsidR="00491375">
        <w:rPr>
          <w:sz w:val="24"/>
          <w:lang w:val="lv-LV"/>
        </w:rPr>
        <w:t>7</w:t>
      </w:r>
      <w:r w:rsidRPr="003D1E51">
        <w:rPr>
          <w:sz w:val="24"/>
          <w:lang w:val="el-GR"/>
        </w:rPr>
        <w:t>ης Δεκεμβρίου 2025, FE κατά Κοινοβουλίου, T</w:t>
      </w:r>
      <w:r w:rsidRPr="003D1E51">
        <w:rPr>
          <w:sz w:val="24"/>
          <w:lang w:val="el-GR"/>
        </w:rPr>
        <w:noBreakHyphen/>
        <w:t>483/24, ECLI:EU:T:2025:1121.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1E51" w14:paraId="54274F4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1E51" w14:paraId="565A50E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D1E51" w14:paraId="7F1E064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3E8"/>
    <w:multiLevelType w:val="multilevel"/>
    <w:tmpl w:val="3B9ACA00"/>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700"/>
        </w:tabs>
        <w:ind w:left="1700" w:hanging="1700"/>
      </w:pPr>
    </w:lvl>
    <w:lvl w:ilvl="5">
      <w:start w:val="1"/>
      <w:numFmt w:val="decimal"/>
      <w:lvlText w:val="%1.%2.%3.%4.%5.%6."/>
      <w:lvlJc w:val="left"/>
      <w:pPr>
        <w:tabs>
          <w:tab w:val="num" w:pos="1700"/>
        </w:tabs>
        <w:ind w:left="1700" w:hanging="1700"/>
      </w:pPr>
    </w:lvl>
    <w:lvl w:ilvl="6">
      <w:start w:val="1"/>
      <w:numFmt w:val="decimal"/>
      <w:lvlText w:val="%1.%2.%3.%4.%5.%6.%7."/>
      <w:lvlJc w:val="left"/>
      <w:pPr>
        <w:tabs>
          <w:tab w:val="num" w:pos="1700"/>
        </w:tabs>
        <w:ind w:left="1700" w:hanging="1700"/>
      </w:pPr>
    </w:lvl>
    <w:lvl w:ilvl="7">
      <w:start w:val="1"/>
      <w:numFmt w:val="decimal"/>
      <w:lvlText w:val="%1.%2.%3.%4.%5.%6.%7.%8."/>
      <w:lvlJc w:val="left"/>
      <w:pPr>
        <w:tabs>
          <w:tab w:val="num" w:pos="1700"/>
        </w:tabs>
        <w:ind w:left="1700" w:hanging="1700"/>
      </w:pPr>
    </w:lvl>
    <w:lvl w:ilvl="8">
      <w:start w:val="1"/>
      <w:numFmt w:val="decimal"/>
      <w:lvlText w:val="%1.%2.%3.%4.%5.%6.%7.%8.%9."/>
      <w:lvlJc w:val="left"/>
      <w:pPr>
        <w:tabs>
          <w:tab w:val="num" w:pos="1700"/>
        </w:tabs>
        <w:ind w:left="1700" w:hanging="1700"/>
      </w:pPr>
    </w:lvl>
  </w:abstractNum>
  <w:abstractNum w:abstractNumId="1">
    <w:nsid w:val="000003F2"/>
    <w:multiLevelType w:val="singleLevel"/>
    <w:tmpl w:val="4190AB00"/>
    <w:name w:val="Tiret 0"/>
    <w:lvl w:ilvl="0">
      <w:start w:val="1"/>
      <w:numFmt w:val="bullet"/>
      <w:lvlText w:val="–"/>
      <w:lvlJc w:val="left"/>
      <w:pPr>
        <w:tabs>
          <w:tab w:val="num" w:pos="850"/>
        </w:tabs>
        <w:ind w:left="850" w:hanging="850"/>
      </w:pPr>
    </w:lvl>
  </w:abstractNum>
  <w:abstractNum w:abstractNumId="2">
    <w:nsid w:val="000003F3"/>
    <w:multiLevelType w:val="singleLevel"/>
    <w:tmpl w:val="4190AB01"/>
    <w:name w:val="Tiret 1"/>
    <w:lvl w:ilvl="0">
      <w:start w:val="1"/>
      <w:numFmt w:val="bullet"/>
      <w:lvlText w:val="–"/>
      <w:lvlJc w:val="left"/>
      <w:pPr>
        <w:tabs>
          <w:tab w:val="num" w:pos="1417"/>
        </w:tabs>
        <w:ind w:left="1417" w:hanging="567"/>
      </w:pPr>
    </w:lvl>
  </w:abstractNum>
  <w:abstractNum w:abstractNumId="3">
    <w:nsid w:val="000003F4"/>
    <w:multiLevelType w:val="singleLevel"/>
    <w:tmpl w:val="4190AB02"/>
    <w:name w:val="Tiret 2"/>
    <w:lvl w:ilvl="0">
      <w:start w:val="1"/>
      <w:numFmt w:val="bullet"/>
      <w:lvlText w:val="–"/>
      <w:lvlJc w:val="left"/>
      <w:pPr>
        <w:tabs>
          <w:tab w:val="num" w:pos="1984"/>
        </w:tabs>
        <w:ind w:left="1984" w:hanging="567"/>
      </w:pPr>
    </w:lvl>
  </w:abstractNum>
  <w:abstractNum w:abstractNumId="4">
    <w:nsid w:val="000003F5"/>
    <w:multiLevelType w:val="singleLevel"/>
    <w:tmpl w:val="4190AB03"/>
    <w:name w:val="Tiret 3"/>
    <w:lvl w:ilvl="0">
      <w:start w:val="1"/>
      <w:numFmt w:val="bullet"/>
      <w:lvlText w:val="–"/>
      <w:lvlJc w:val="left"/>
      <w:pPr>
        <w:tabs>
          <w:tab w:val="num" w:pos="2551"/>
        </w:tabs>
        <w:ind w:left="2551" w:hanging="567"/>
      </w:pPr>
    </w:lvl>
  </w:abstractNum>
  <w:abstractNum w:abstractNumId="5">
    <w:nsid w:val="000003F6"/>
    <w:multiLevelType w:val="singleLevel"/>
    <w:tmpl w:val="4190AB04"/>
    <w:name w:val="Tiret 4"/>
    <w:lvl w:ilvl="0">
      <w:start w:val="1"/>
      <w:numFmt w:val="bullet"/>
      <w:lvlText w:val="–"/>
      <w:lvlJc w:val="left"/>
      <w:pPr>
        <w:tabs>
          <w:tab w:val="num" w:pos="3118"/>
        </w:tabs>
        <w:ind w:left="3118" w:hanging="567"/>
      </w:pPr>
    </w:lvl>
  </w:abstractNum>
  <w:abstractNum w:abstractNumId="6">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0D721225"/>
    <w:multiLevelType w:val="hybridMultilevel"/>
    <w:tmpl w:val="893664A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15B7697"/>
    <w:multiLevelType w:val="hybridMultilevel"/>
    <w:tmpl w:val="C316A12C"/>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5B45145"/>
    <w:multiLevelType w:val="hybridMultilevel"/>
    <w:tmpl w:val="16982268"/>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4F7B7926"/>
    <w:multiLevelType w:val="hybridMultilevel"/>
    <w:tmpl w:val="BDF29236"/>
    <w:lvl w:ilvl="0">
      <w:start w:val="1"/>
      <w:numFmt w:val="decimal"/>
      <w:lvlText w:val="%1."/>
      <w:lvlJc w:val="left"/>
      <w:pPr>
        <w:ind w:left="570" w:hanging="5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5E0706AD"/>
    <w:multiLevelType w:val="hybridMultilevel"/>
    <w:tmpl w:val="81365D78"/>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6092741"/>
    <w:multiLevelType w:val="hybridMultilevel"/>
    <w:tmpl w:val="2624ACFC"/>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04258C4"/>
    <w:multiLevelType w:val="hybridMultilevel"/>
    <w:tmpl w:val="440289A4"/>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B511C33"/>
    <w:multiLevelType w:val="hybridMultilevel"/>
    <w:tmpl w:val="FDCAE9EA"/>
    <w:lvl w:ilvl="0">
      <w:start w:val="1"/>
      <w:numFmt w:val="decimal"/>
      <w:lvlText w:val="%1."/>
      <w:lvlJc w:val="left"/>
      <w:pPr>
        <w:ind w:left="57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48716223">
    <w:abstractNumId w:val="6"/>
  </w:num>
  <w:num w:numId="2" w16cid:durableId="1671979661">
    <w:abstractNumId w:val="10"/>
  </w:num>
  <w:num w:numId="3" w16cid:durableId="853039266">
    <w:abstractNumId w:val="7"/>
  </w:num>
  <w:num w:numId="4" w16cid:durableId="856311835">
    <w:abstractNumId w:val="11"/>
  </w:num>
  <w:num w:numId="5" w16cid:durableId="1602950572">
    <w:abstractNumId w:val="9"/>
  </w:num>
  <w:num w:numId="6" w16cid:durableId="1859201673">
    <w:abstractNumId w:val="15"/>
  </w:num>
  <w:num w:numId="7" w16cid:durableId="1729189298">
    <w:abstractNumId w:val="13"/>
  </w:num>
  <w:num w:numId="8" w16cid:durableId="1021736961">
    <w:abstractNumId w:val="8"/>
  </w:num>
  <w:num w:numId="9" w16cid:durableId="2115785045">
    <w:abstractNumId w:val="14"/>
  </w:num>
  <w:num w:numId="10" w16cid:durableId="79784152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F10"/>
    <w:rsid w:val="00002272"/>
    <w:rsid w:val="00024F83"/>
    <w:rsid w:val="00064002"/>
    <w:rsid w:val="000677B9"/>
    <w:rsid w:val="000831BA"/>
    <w:rsid w:val="000A42CC"/>
    <w:rsid w:val="000E7DD9"/>
    <w:rsid w:val="0010095E"/>
    <w:rsid w:val="00125B37"/>
    <w:rsid w:val="00187494"/>
    <w:rsid w:val="001B56FB"/>
    <w:rsid w:val="001E1E78"/>
    <w:rsid w:val="001F32AE"/>
    <w:rsid w:val="002767FF"/>
    <w:rsid w:val="0029710C"/>
    <w:rsid w:val="002B18FE"/>
    <w:rsid w:val="002B5493"/>
    <w:rsid w:val="002B73FC"/>
    <w:rsid w:val="002B7657"/>
    <w:rsid w:val="0030383B"/>
    <w:rsid w:val="0034045D"/>
    <w:rsid w:val="00343214"/>
    <w:rsid w:val="00361C00"/>
    <w:rsid w:val="00395FA1"/>
    <w:rsid w:val="003D1E51"/>
    <w:rsid w:val="003D50E0"/>
    <w:rsid w:val="003E15D4"/>
    <w:rsid w:val="00411CCE"/>
    <w:rsid w:val="0041666E"/>
    <w:rsid w:val="00421060"/>
    <w:rsid w:val="00471C19"/>
    <w:rsid w:val="004867E3"/>
    <w:rsid w:val="00487280"/>
    <w:rsid w:val="00491375"/>
    <w:rsid w:val="00494A28"/>
    <w:rsid w:val="004C0004"/>
    <w:rsid w:val="004C5D52"/>
    <w:rsid w:val="0050519A"/>
    <w:rsid w:val="005072A1"/>
    <w:rsid w:val="00514517"/>
    <w:rsid w:val="00545827"/>
    <w:rsid w:val="00560270"/>
    <w:rsid w:val="00571333"/>
    <w:rsid w:val="005C2568"/>
    <w:rsid w:val="005E48D1"/>
    <w:rsid w:val="005F1B17"/>
    <w:rsid w:val="006037C0"/>
    <w:rsid w:val="006631B6"/>
    <w:rsid w:val="00680577"/>
    <w:rsid w:val="006F74FA"/>
    <w:rsid w:val="00713385"/>
    <w:rsid w:val="00731ADD"/>
    <w:rsid w:val="00734777"/>
    <w:rsid w:val="00747932"/>
    <w:rsid w:val="00751A4A"/>
    <w:rsid w:val="00756632"/>
    <w:rsid w:val="00762C74"/>
    <w:rsid w:val="00786EC0"/>
    <w:rsid w:val="007D1690"/>
    <w:rsid w:val="007E22AD"/>
    <w:rsid w:val="007E49A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ED1"/>
    <w:rsid w:val="00A778C7"/>
    <w:rsid w:val="00AB441E"/>
    <w:rsid w:val="00AB6293"/>
    <w:rsid w:val="00AE0928"/>
    <w:rsid w:val="00AF3B82"/>
    <w:rsid w:val="00B12E95"/>
    <w:rsid w:val="00B22876"/>
    <w:rsid w:val="00B558F0"/>
    <w:rsid w:val="00BD48FE"/>
    <w:rsid w:val="00BD7BD8"/>
    <w:rsid w:val="00BE6ADC"/>
    <w:rsid w:val="00BF7F10"/>
    <w:rsid w:val="00C05BFE"/>
    <w:rsid w:val="00C23CD4"/>
    <w:rsid w:val="00C61C0C"/>
    <w:rsid w:val="00C941CB"/>
    <w:rsid w:val="00CC2357"/>
    <w:rsid w:val="00CF071A"/>
    <w:rsid w:val="00D058B8"/>
    <w:rsid w:val="00D56C11"/>
    <w:rsid w:val="00D61BDF"/>
    <w:rsid w:val="00D834A0"/>
    <w:rsid w:val="00D872DF"/>
    <w:rsid w:val="00D91E21"/>
    <w:rsid w:val="00DA7FCD"/>
    <w:rsid w:val="00DB0178"/>
    <w:rsid w:val="00E365E1"/>
    <w:rsid w:val="00E820A4"/>
    <w:rsid w:val="00EB006A"/>
    <w:rsid w:val="00EB4772"/>
    <w:rsid w:val="00ED169E"/>
    <w:rsid w:val="00ED4235"/>
    <w:rsid w:val="00F04346"/>
    <w:rsid w:val="00F075DC"/>
    <w:rsid w:val="00F13023"/>
    <w:rsid w:val="00F149E9"/>
    <w:rsid w:val="00F4282D"/>
    <w:rsid w:val="00F5134D"/>
    <w:rsid w:val="00F74202"/>
    <w:rsid w:val="00F87713"/>
    <w:rsid w:val="00FB4360"/>
    <w:rsid w:val="00FD0C70"/>
  </w:rsids>
  <w:docVars>
    <w:docVar w:name="dvdocse" w:val="A10-0124/2026"/>
    <w:docVar w:name="dvlangue" w:val="EL"/>
    <w:docVar w:name="dvnumam" w:val="0"/>
    <w:docVar w:name="dvpe" w:val="785.303"/>
    <w:docVar w:name="dvrapporteur" w:val="Εισηγητής: "/>
    <w:docVar w:name="dvtitre" w:val="Ψήφισμα του Ευρωπαϊκού Κοινοβουλίου της ... 2026 σχετικά με την κατάσταση προβλέψεων των εσόδων και δαπανών του Ευρωπαϊκού Κοινοβουλίου για το οικονομικό έτος 2027(2025/2247(BU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3FC75FB"/>
  <w15:chartTrackingRefBased/>
  <w15:docId w15:val="{2FEBA47F-8DA9-4FC4-898F-1D7802CB6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9"/>
    <w:qFormat/>
    <w:pPr>
      <w:spacing w:before="240" w:after="60"/>
      <w:outlineLvl w:val="5"/>
    </w:pPr>
    <w:rPr>
      <w:i/>
      <w:sz w:val="22"/>
    </w:rPr>
  </w:style>
  <w:style w:type="paragraph" w:styleId="Heading7">
    <w:name w:val="heading 7"/>
    <w:basedOn w:val="Normal"/>
    <w:next w:val="Normal"/>
    <w:link w:val="Heading7Char"/>
    <w:uiPriority w:val="99"/>
    <w:qFormat/>
    <w:pPr>
      <w:spacing w:before="240" w:after="60"/>
      <w:outlineLvl w:val="6"/>
    </w:pPr>
    <w:rPr>
      <w:rFonts w:ascii="Arial" w:hAnsi="Arial"/>
    </w:rPr>
  </w:style>
  <w:style w:type="paragraph" w:styleId="Heading8">
    <w:name w:val="heading 8"/>
    <w:basedOn w:val="Normal"/>
    <w:next w:val="Normal"/>
    <w:link w:val="Heading8Char"/>
    <w:uiPriority w:val="99"/>
    <w:qFormat/>
    <w:pPr>
      <w:spacing w:before="240" w:after="60"/>
      <w:outlineLvl w:val="7"/>
    </w:pPr>
    <w:rPr>
      <w:rFonts w:ascii="Arial" w:hAnsi="Arial"/>
      <w:i/>
    </w:rPr>
  </w:style>
  <w:style w:type="paragraph" w:styleId="Heading9">
    <w:name w:val="heading 9"/>
    <w:basedOn w:val="Normal"/>
    <w:next w:val="Normal"/>
    <w:link w:val="Heading9Char"/>
    <w:uiPriority w:val="9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4045D"/>
    <w:rPr>
      <w:b/>
      <w:kern w:val="28"/>
      <w:sz w:val="28"/>
      <w:lang w:val="fr-FR" w:eastAsia="fr-FR"/>
    </w:rPr>
  </w:style>
  <w:style w:type="character" w:customStyle="1" w:styleId="Heading2Char">
    <w:name w:val="Heading 2 Char"/>
    <w:basedOn w:val="DefaultParagraphFont"/>
    <w:link w:val="Heading2"/>
    <w:uiPriority w:val="99"/>
    <w:rsid w:val="0034045D"/>
    <w:rPr>
      <w:sz w:val="24"/>
      <w:lang w:val="fr-FR" w:eastAsia="fr-FR"/>
    </w:rPr>
  </w:style>
  <w:style w:type="character" w:customStyle="1" w:styleId="Heading3Char">
    <w:name w:val="Heading 3 Char"/>
    <w:basedOn w:val="DefaultParagraphFont"/>
    <w:link w:val="Heading3"/>
    <w:uiPriority w:val="99"/>
    <w:rsid w:val="0034045D"/>
    <w:rPr>
      <w:rFonts w:ascii="Arial" w:hAnsi="Arial"/>
      <w:sz w:val="24"/>
      <w:lang w:val="fr-FR" w:eastAsia="fr-FR"/>
    </w:rPr>
  </w:style>
  <w:style w:type="character" w:customStyle="1" w:styleId="Heading4Char">
    <w:name w:val="Heading 4 Char"/>
    <w:basedOn w:val="DefaultParagraphFont"/>
    <w:link w:val="Heading4"/>
    <w:uiPriority w:val="99"/>
    <w:rsid w:val="0034045D"/>
    <w:rPr>
      <w:sz w:val="24"/>
      <w:lang w:val="en-US" w:eastAsia="fr-FR"/>
    </w:rPr>
  </w:style>
  <w:style w:type="character" w:customStyle="1" w:styleId="Heading5Char">
    <w:name w:val="Heading 5 Char"/>
    <w:basedOn w:val="DefaultParagraphFont"/>
    <w:link w:val="Heading5"/>
    <w:uiPriority w:val="99"/>
    <w:rsid w:val="0034045D"/>
    <w:rPr>
      <w:sz w:val="24"/>
      <w:lang w:val="en-US" w:eastAsia="fr-FR"/>
    </w:rPr>
  </w:style>
  <w:style w:type="character" w:customStyle="1" w:styleId="Heading6Char">
    <w:name w:val="Heading 6 Char"/>
    <w:basedOn w:val="DefaultParagraphFont"/>
    <w:link w:val="Heading6"/>
    <w:uiPriority w:val="99"/>
    <w:rsid w:val="0034045D"/>
    <w:rPr>
      <w:i/>
      <w:sz w:val="22"/>
      <w:lang w:val="el-GR"/>
    </w:rPr>
  </w:style>
  <w:style w:type="character" w:customStyle="1" w:styleId="Heading7Char">
    <w:name w:val="Heading 7 Char"/>
    <w:basedOn w:val="DefaultParagraphFont"/>
    <w:link w:val="Heading7"/>
    <w:uiPriority w:val="99"/>
    <w:rsid w:val="0034045D"/>
    <w:rPr>
      <w:rFonts w:ascii="Arial" w:hAnsi="Arial"/>
      <w:sz w:val="24"/>
      <w:lang w:val="el-GR"/>
    </w:rPr>
  </w:style>
  <w:style w:type="character" w:customStyle="1" w:styleId="Heading8Char">
    <w:name w:val="Heading 8 Char"/>
    <w:basedOn w:val="DefaultParagraphFont"/>
    <w:link w:val="Heading8"/>
    <w:uiPriority w:val="99"/>
    <w:rsid w:val="0034045D"/>
    <w:rPr>
      <w:rFonts w:ascii="Arial" w:hAnsi="Arial"/>
      <w:i/>
      <w:sz w:val="24"/>
      <w:lang w:val="el-GR"/>
    </w:rPr>
  </w:style>
  <w:style w:type="character" w:customStyle="1" w:styleId="Heading9Char">
    <w:name w:val="Heading 9 Char"/>
    <w:basedOn w:val="DefaultParagraphFont"/>
    <w:link w:val="Heading9"/>
    <w:uiPriority w:val="99"/>
    <w:rsid w:val="0034045D"/>
    <w:rPr>
      <w:rFonts w:ascii="Arial" w:hAnsi="Arial"/>
      <w:b/>
      <w:i/>
      <w:sz w:val="18"/>
      <w:lang w:val="el-GR"/>
    </w:rPr>
  </w:style>
  <w:style w:type="paragraph" w:styleId="TOCHeading">
    <w:name w:val="TOC Heading"/>
    <w:basedOn w:val="Normal"/>
    <w:next w:val="Normal"/>
    <w:uiPriority w:val="39"/>
    <w:unhideWhenUsed/>
    <w:qFormat/>
    <w:rsid w:val="0034045D"/>
    <w:pPr>
      <w:widowControl/>
      <w:spacing w:after="240"/>
    </w:pPr>
    <w:rPr>
      <w:lang w:val="en-GB"/>
    </w:rPr>
  </w:style>
  <w:style w:type="paragraph" w:customStyle="1" w:styleId="EPFooter2">
    <w:name w:val="EPFooter2"/>
    <w:basedOn w:val="Normal"/>
    <w:next w:val="Normal"/>
    <w:rsid w:val="0034045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34045D"/>
    <w:pPr>
      <w:spacing w:after="240"/>
    </w:pPr>
  </w:style>
  <w:style w:type="paragraph" w:customStyle="1" w:styleId="TOCPage">
    <w:name w:val="TOC Page"/>
    <w:basedOn w:val="Normal"/>
    <w:next w:val="TOC1"/>
    <w:rsid w:val="0034045D"/>
    <w:pPr>
      <w:keepNext/>
      <w:spacing w:after="240"/>
      <w:jc w:val="right"/>
    </w:pPr>
    <w:rPr>
      <w:rFonts w:ascii="Arial" w:hAnsi="Arial"/>
      <w:b/>
    </w:rPr>
  </w:style>
  <w:style w:type="paragraph" w:customStyle="1" w:styleId="PageHeading">
    <w:name w:val="PageHeading"/>
    <w:basedOn w:val="Normal"/>
    <w:rsid w:val="0034045D"/>
    <w:pPr>
      <w:keepNext/>
      <w:spacing w:after="480"/>
      <w:jc w:val="center"/>
    </w:pPr>
    <w:rPr>
      <w:rFonts w:ascii="Arial" w:hAnsi="Arial" w:cs="Arial"/>
      <w:b/>
    </w:rPr>
  </w:style>
  <w:style w:type="paragraph" w:customStyle="1" w:styleId="NormalBold">
    <w:name w:val="NormalBold"/>
    <w:basedOn w:val="Normal"/>
    <w:rsid w:val="0034045D"/>
    <w:rPr>
      <w:b/>
    </w:rPr>
  </w:style>
  <w:style w:type="paragraph" w:customStyle="1" w:styleId="NormalHanging12a">
    <w:name w:val="NormalHanging12a"/>
    <w:basedOn w:val="Normal"/>
    <w:rsid w:val="0034045D"/>
    <w:pPr>
      <w:spacing w:after="240"/>
      <w:ind w:left="567" w:hanging="567"/>
    </w:pPr>
  </w:style>
  <w:style w:type="paragraph" w:customStyle="1" w:styleId="CoverNormal24a">
    <w:name w:val="CoverNormal24a"/>
    <w:basedOn w:val="Normal"/>
    <w:rsid w:val="0034045D"/>
    <w:pPr>
      <w:spacing w:after="480"/>
      <w:ind w:left="1417"/>
    </w:pPr>
  </w:style>
  <w:style w:type="paragraph" w:customStyle="1" w:styleId="CoverNormal">
    <w:name w:val="CoverNormal"/>
    <w:basedOn w:val="Normal"/>
    <w:rsid w:val="0034045D"/>
    <w:pPr>
      <w:ind w:left="1418"/>
    </w:pPr>
  </w:style>
  <w:style w:type="paragraph" w:customStyle="1" w:styleId="CoverReference">
    <w:name w:val="CoverReference"/>
    <w:basedOn w:val="Normal"/>
    <w:rsid w:val="0034045D"/>
    <w:pPr>
      <w:spacing w:before="1080"/>
      <w:jc w:val="right"/>
    </w:pPr>
    <w:rPr>
      <w:rFonts w:ascii="Arial" w:hAnsi="Arial" w:cs="Arial"/>
      <w:b/>
    </w:rPr>
  </w:style>
  <w:style w:type="paragraph" w:customStyle="1" w:styleId="CoverDocType24a">
    <w:name w:val="CoverDocType24a"/>
    <w:basedOn w:val="Normal"/>
    <w:rsid w:val="0034045D"/>
    <w:pPr>
      <w:spacing w:after="480"/>
      <w:ind w:left="1418"/>
    </w:pPr>
    <w:rPr>
      <w:rFonts w:ascii="Arial" w:hAnsi="Arial"/>
      <w:b/>
      <w:sz w:val="48"/>
    </w:rPr>
  </w:style>
  <w:style w:type="paragraph" w:customStyle="1" w:styleId="CoverDate">
    <w:name w:val="CoverDate"/>
    <w:basedOn w:val="Normal"/>
    <w:rsid w:val="0034045D"/>
    <w:pPr>
      <w:spacing w:before="240" w:after="1200"/>
    </w:pPr>
  </w:style>
  <w:style w:type="paragraph" w:customStyle="1" w:styleId="EPBody">
    <w:name w:val="EPBody"/>
    <w:basedOn w:val="Normal"/>
    <w:rsid w:val="0034045D"/>
    <w:pPr>
      <w:jc w:val="center"/>
    </w:pPr>
    <w:rPr>
      <w:rFonts w:ascii="Arial" w:hAnsi="Arial" w:cs="Arial"/>
      <w:i/>
      <w:sz w:val="22"/>
      <w:szCs w:val="22"/>
    </w:rPr>
  </w:style>
  <w:style w:type="paragraph" w:customStyle="1" w:styleId="EPFooter">
    <w:name w:val="EPFooter"/>
    <w:basedOn w:val="Normal"/>
    <w:rsid w:val="0034045D"/>
    <w:pPr>
      <w:tabs>
        <w:tab w:val="center" w:pos="4535"/>
        <w:tab w:val="right" w:pos="9071"/>
      </w:tabs>
      <w:spacing w:before="240" w:after="240"/>
    </w:pPr>
    <w:rPr>
      <w:color w:val="010000"/>
      <w:sz w:val="22"/>
    </w:rPr>
  </w:style>
  <w:style w:type="paragraph" w:styleId="Header">
    <w:name w:val="header"/>
    <w:basedOn w:val="Normal"/>
    <w:link w:val="HeaderChar"/>
    <w:uiPriority w:val="99"/>
    <w:rsid w:val="0034045D"/>
    <w:pPr>
      <w:tabs>
        <w:tab w:val="center" w:pos="4513"/>
        <w:tab w:val="right" w:pos="9026"/>
      </w:tabs>
    </w:pPr>
  </w:style>
  <w:style w:type="character" w:customStyle="1" w:styleId="HeaderChar">
    <w:name w:val="Header Char"/>
    <w:basedOn w:val="DefaultParagraphFont"/>
    <w:link w:val="Header"/>
    <w:uiPriority w:val="99"/>
    <w:rsid w:val="0034045D"/>
    <w:rPr>
      <w:sz w:val="24"/>
      <w:lang w:val="el-GR"/>
    </w:rPr>
  </w:style>
  <w:style w:type="paragraph" w:customStyle="1" w:styleId="EPComma">
    <w:name w:val="EPComma"/>
    <w:basedOn w:val="Normal"/>
    <w:rsid w:val="0034045D"/>
    <w:pPr>
      <w:spacing w:before="480" w:after="240"/>
    </w:pPr>
  </w:style>
  <w:style w:type="character" w:styleId="Hyperlink">
    <w:name w:val="Hyperlink"/>
    <w:basedOn w:val="DefaultParagraphFont"/>
    <w:uiPriority w:val="99"/>
    <w:rsid w:val="0034045D"/>
    <w:rPr>
      <w:color w:val="0563C1" w:themeColor="hyperlink"/>
      <w:u w:val="single"/>
    </w:rPr>
  </w:style>
  <w:style w:type="character" w:styleId="UnresolvedMention">
    <w:name w:val="Unresolved Mention"/>
    <w:basedOn w:val="DefaultParagraphFont"/>
    <w:uiPriority w:val="99"/>
    <w:semiHidden/>
    <w:unhideWhenUsed/>
    <w:rsid w:val="0034045D"/>
    <w:rPr>
      <w:color w:val="605E5C"/>
      <w:shd w:val="clear" w:color="auto" w:fill="E1DFDD"/>
    </w:rPr>
  </w:style>
  <w:style w:type="paragraph" w:customStyle="1" w:styleId="Action">
    <w:name w:val="Action"/>
    <w:basedOn w:val="Normal"/>
    <w:rsid w:val="0034045D"/>
    <w:pPr>
      <w:tabs>
        <w:tab w:val="left" w:pos="357"/>
      </w:tabs>
      <w:spacing w:after="240"/>
      <w:ind w:left="357" w:hanging="357"/>
    </w:pPr>
    <w:rPr>
      <w:lang w:eastAsia="en-US"/>
    </w:rPr>
  </w:style>
  <w:style w:type="paragraph" w:customStyle="1" w:styleId="action0">
    <w:name w:val="action"/>
    <w:basedOn w:val="Normal"/>
    <w:rsid w:val="0034045D"/>
    <w:pPr>
      <w:widowControl/>
      <w:spacing w:after="240"/>
      <w:ind w:left="357" w:hanging="357"/>
    </w:pPr>
    <w:rPr>
      <w:rFonts w:eastAsiaTheme="minorHAnsi"/>
      <w:szCs w:val="24"/>
    </w:rPr>
  </w:style>
  <w:style w:type="paragraph" w:customStyle="1" w:styleId="Institutionquiagit">
    <w:name w:val="Institution qui agit"/>
    <w:basedOn w:val="Normal"/>
    <w:next w:val="Normal"/>
    <w:rsid w:val="0034045D"/>
    <w:pPr>
      <w:keepNext/>
      <w:snapToGrid w:val="0"/>
      <w:spacing w:after="240"/>
    </w:pPr>
    <w:rPr>
      <w:i/>
      <w:lang w:eastAsia="en-US"/>
    </w:rPr>
  </w:style>
  <w:style w:type="paragraph" w:customStyle="1" w:styleId="FootnoteReference1">
    <w:name w:val="Footnote Reference1"/>
    <w:basedOn w:val="Normal"/>
    <w:link w:val="FootnoteReference"/>
    <w:rsid w:val="0034045D"/>
    <w:pPr>
      <w:widowControl/>
      <w:spacing w:after="160" w:line="240" w:lineRule="exact"/>
    </w:pPr>
    <w:rPr>
      <w:sz w:val="20"/>
      <w:vertAlign w:val="superscript"/>
      <w:lang w:val="en-GB"/>
    </w:rPr>
  </w:style>
  <w:style w:type="paragraph" w:styleId="Revision">
    <w:name w:val="Revision"/>
    <w:hidden/>
    <w:uiPriority w:val="99"/>
    <w:semiHidden/>
    <w:rsid w:val="0034045D"/>
    <w:rPr>
      <w:sz w:val="24"/>
      <w:lang w:val="el-GR"/>
    </w:rPr>
  </w:style>
  <w:style w:type="paragraph" w:styleId="Footer">
    <w:name w:val="footer"/>
    <w:basedOn w:val="Normal"/>
    <w:link w:val="FooterChar"/>
    <w:uiPriority w:val="99"/>
    <w:rsid w:val="0034045D"/>
    <w:pPr>
      <w:tabs>
        <w:tab w:val="center" w:pos="4513"/>
        <w:tab w:val="right" w:pos="9026"/>
      </w:tabs>
    </w:pPr>
  </w:style>
  <w:style w:type="character" w:customStyle="1" w:styleId="FooterChar">
    <w:name w:val="Footer Char"/>
    <w:basedOn w:val="DefaultParagraphFont"/>
    <w:link w:val="Footer"/>
    <w:uiPriority w:val="99"/>
    <w:rsid w:val="0034045D"/>
    <w:rPr>
      <w:sz w:val="24"/>
      <w:lang w:val="el-GR"/>
    </w:rPr>
  </w:style>
  <w:style w:type="character" w:styleId="CommentReference">
    <w:name w:val="annotation reference"/>
    <w:basedOn w:val="DefaultParagraphFont"/>
    <w:uiPriority w:val="99"/>
    <w:rsid w:val="0034045D"/>
    <w:rPr>
      <w:sz w:val="16"/>
      <w:szCs w:val="16"/>
    </w:rPr>
  </w:style>
  <w:style w:type="paragraph" w:styleId="CommentText">
    <w:name w:val="annotation text"/>
    <w:basedOn w:val="Normal"/>
    <w:link w:val="CommentTextChar"/>
    <w:uiPriority w:val="99"/>
    <w:rsid w:val="0034045D"/>
    <w:rPr>
      <w:sz w:val="20"/>
    </w:rPr>
  </w:style>
  <w:style w:type="character" w:customStyle="1" w:styleId="CommentTextChar">
    <w:name w:val="Comment Text Char"/>
    <w:basedOn w:val="DefaultParagraphFont"/>
    <w:link w:val="CommentText"/>
    <w:uiPriority w:val="99"/>
    <w:rsid w:val="0034045D"/>
    <w:rPr>
      <w:lang w:val="el-GR"/>
    </w:rPr>
  </w:style>
  <w:style w:type="paragraph" w:styleId="CommentSubject">
    <w:name w:val="annotation subject"/>
    <w:basedOn w:val="CommentText"/>
    <w:next w:val="CommentText"/>
    <w:link w:val="CommentSubjectChar"/>
    <w:uiPriority w:val="99"/>
    <w:unhideWhenUsed/>
    <w:rsid w:val="0034045D"/>
    <w:rPr>
      <w:b/>
      <w:bCs/>
    </w:rPr>
  </w:style>
  <w:style w:type="character" w:customStyle="1" w:styleId="CommentSubjectChar">
    <w:name w:val="Comment Subject Char"/>
    <w:basedOn w:val="CommentTextChar"/>
    <w:link w:val="CommentSubject"/>
    <w:uiPriority w:val="99"/>
    <w:rsid w:val="0034045D"/>
    <w:rPr>
      <w:b/>
      <w:bCs/>
      <w:lang w:val="el-GR"/>
    </w:rPr>
  </w:style>
  <w:style w:type="paragraph" w:styleId="ListParagraph">
    <w:name w:val="List Paragraph"/>
    <w:basedOn w:val="Normal"/>
    <w:uiPriority w:val="34"/>
    <w:qFormat/>
    <w:rsid w:val="0034045D"/>
    <w:pPr>
      <w:ind w:left="720"/>
      <w:contextualSpacing/>
    </w:pPr>
  </w:style>
  <w:style w:type="paragraph" w:customStyle="1" w:styleId="Normal24a">
    <w:name w:val="Normal24a"/>
    <w:basedOn w:val="Normal"/>
    <w:rsid w:val="0034045D"/>
    <w:pPr>
      <w:spacing w:after="480"/>
    </w:pPr>
  </w:style>
  <w:style w:type="paragraph" w:customStyle="1" w:styleId="NormalBoldCenter">
    <w:name w:val="NormalBoldCenter"/>
    <w:basedOn w:val="Normal"/>
    <w:rsid w:val="0034045D"/>
    <w:pPr>
      <w:jc w:val="center"/>
    </w:pPr>
    <w:rPr>
      <w:b/>
    </w:rPr>
  </w:style>
  <w:style w:type="paragraph" w:customStyle="1" w:styleId="Footprint12b">
    <w:name w:val="Footprint12b"/>
    <w:basedOn w:val="Normal"/>
    <w:rsid w:val="0034045D"/>
    <w:pPr>
      <w:spacing w:before="240"/>
    </w:pPr>
    <w:rPr>
      <w:szCs w:val="24"/>
    </w:rPr>
  </w:style>
  <w:style w:type="paragraph" w:customStyle="1" w:styleId="NormalSingle">
    <w:name w:val="NormalSingle"/>
    <w:basedOn w:val="Normal"/>
    <w:qFormat/>
    <w:rsid w:val="0034045D"/>
    <w:rPr>
      <w:szCs w:val="24"/>
    </w:rPr>
  </w:style>
  <w:style w:type="paragraph" w:styleId="Title">
    <w:name w:val="Title"/>
    <w:basedOn w:val="Normal"/>
    <w:next w:val="Normal"/>
    <w:link w:val="TitleChar"/>
    <w:uiPriority w:val="10"/>
    <w:qFormat/>
    <w:rsid w:val="0034045D"/>
    <w:pPr>
      <w:widowControl/>
      <w:spacing w:before="240" w:after="60"/>
      <w:jc w:val="center"/>
      <w:outlineLvl w:val="0"/>
    </w:pPr>
    <w:rPr>
      <w:rFonts w:ascii="Arial" w:hAnsi="Arial" w:eastAsiaTheme="majorEastAsia" w:cs="Arial"/>
      <w:b/>
      <w:bCs/>
      <w:kern w:val="28"/>
      <w:sz w:val="32"/>
      <w:szCs w:val="32"/>
      <w:lang w:eastAsia="en-US"/>
    </w:rPr>
  </w:style>
  <w:style w:type="character" w:customStyle="1" w:styleId="TitleChar">
    <w:name w:val="Title Char"/>
    <w:basedOn w:val="DefaultParagraphFont"/>
    <w:link w:val="Title"/>
    <w:uiPriority w:val="10"/>
    <w:rsid w:val="0034045D"/>
    <w:rPr>
      <w:rFonts w:ascii="Arial" w:hAnsi="Arial" w:eastAsiaTheme="majorEastAsia" w:cs="Arial"/>
      <w:b/>
      <w:bCs/>
      <w:kern w:val="28"/>
      <w:sz w:val="32"/>
      <w:szCs w:val="32"/>
      <w:lang w:val="el-GR" w:eastAsia="en-US"/>
    </w:rPr>
  </w:style>
  <w:style w:type="paragraph" w:styleId="Subtitle">
    <w:name w:val="Subtitle"/>
    <w:basedOn w:val="Normal"/>
    <w:next w:val="Normal"/>
    <w:link w:val="SubtitleChar"/>
    <w:uiPriority w:val="11"/>
    <w:qFormat/>
    <w:rsid w:val="0034045D"/>
    <w:pPr>
      <w:widowControl/>
      <w:spacing w:after="60"/>
      <w:jc w:val="center"/>
      <w:outlineLvl w:val="1"/>
    </w:pPr>
    <w:rPr>
      <w:rFonts w:ascii="Arial" w:hAnsi="Arial" w:eastAsiaTheme="majorEastAsia" w:cs="Arial"/>
      <w:szCs w:val="24"/>
      <w:lang w:eastAsia="en-US"/>
    </w:rPr>
  </w:style>
  <w:style w:type="character" w:customStyle="1" w:styleId="SubtitleChar">
    <w:name w:val="Subtitle Char"/>
    <w:basedOn w:val="DefaultParagraphFont"/>
    <w:link w:val="Subtitle"/>
    <w:uiPriority w:val="11"/>
    <w:rsid w:val="0034045D"/>
    <w:rPr>
      <w:rFonts w:ascii="Arial" w:hAnsi="Arial" w:eastAsiaTheme="majorEastAsia" w:cs="Arial"/>
      <w:sz w:val="24"/>
      <w:szCs w:val="24"/>
      <w:lang w:val="el-GR" w:eastAsia="en-US"/>
    </w:rPr>
  </w:style>
  <w:style w:type="character" w:styleId="Strong">
    <w:name w:val="Strong"/>
    <w:basedOn w:val="DefaultParagraphFont"/>
    <w:uiPriority w:val="22"/>
    <w:qFormat/>
    <w:rsid w:val="0034045D"/>
    <w:rPr>
      <w:b/>
      <w:bCs/>
    </w:rPr>
  </w:style>
  <w:style w:type="character" w:styleId="Emphasis">
    <w:name w:val="Emphasis"/>
    <w:basedOn w:val="DefaultParagraphFont"/>
    <w:uiPriority w:val="20"/>
    <w:qFormat/>
    <w:rsid w:val="0034045D"/>
    <w:rPr>
      <w:rFonts w:asciiTheme="minorHAnsi" w:hAnsiTheme="minorHAnsi"/>
      <w:b/>
      <w:i/>
      <w:iCs/>
    </w:rPr>
  </w:style>
  <w:style w:type="paragraph" w:styleId="NoSpacing">
    <w:name w:val="No Spacing"/>
    <w:basedOn w:val="Normal"/>
    <w:uiPriority w:val="1"/>
    <w:qFormat/>
    <w:rsid w:val="0034045D"/>
    <w:pPr>
      <w:widowControl/>
      <w:jc w:val="both"/>
    </w:pPr>
    <w:rPr>
      <w:rFonts w:eastAsiaTheme="minorHAnsi"/>
      <w:szCs w:val="32"/>
      <w:lang w:eastAsia="en-US"/>
    </w:rPr>
  </w:style>
  <w:style w:type="paragraph" w:styleId="Quote">
    <w:name w:val="Quote"/>
    <w:basedOn w:val="Normal"/>
    <w:next w:val="Normal"/>
    <w:link w:val="QuoteChar"/>
    <w:uiPriority w:val="29"/>
    <w:qFormat/>
    <w:rsid w:val="0034045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4045D"/>
    <w:rPr>
      <w:rFonts w:eastAsiaTheme="minorHAnsi"/>
      <w:i/>
      <w:sz w:val="24"/>
      <w:szCs w:val="24"/>
      <w:lang w:val="el-GR" w:eastAsia="en-US"/>
    </w:rPr>
  </w:style>
  <w:style w:type="paragraph" w:styleId="IntenseQuote">
    <w:name w:val="Intense Quote"/>
    <w:basedOn w:val="Normal"/>
    <w:next w:val="Normal"/>
    <w:link w:val="IntenseQuoteChar"/>
    <w:uiPriority w:val="30"/>
    <w:qFormat/>
    <w:rsid w:val="0034045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4045D"/>
    <w:rPr>
      <w:rFonts w:eastAsiaTheme="minorHAnsi"/>
      <w:b/>
      <w:i/>
      <w:sz w:val="24"/>
      <w:szCs w:val="22"/>
      <w:lang w:val="el-GR" w:eastAsia="en-US"/>
    </w:rPr>
  </w:style>
  <w:style w:type="character" w:styleId="SubtleEmphasis">
    <w:name w:val="Subtle Emphasis"/>
    <w:uiPriority w:val="19"/>
    <w:qFormat/>
    <w:rsid w:val="0034045D"/>
    <w:rPr>
      <w:i/>
      <w:color w:val="5A5A5A" w:themeColor="text1" w:themeTint="A5"/>
    </w:rPr>
  </w:style>
  <w:style w:type="character" w:styleId="IntenseEmphasis">
    <w:name w:val="Intense Emphasis"/>
    <w:basedOn w:val="DefaultParagraphFont"/>
    <w:uiPriority w:val="21"/>
    <w:qFormat/>
    <w:rsid w:val="0034045D"/>
    <w:rPr>
      <w:b/>
      <w:i/>
      <w:sz w:val="24"/>
      <w:szCs w:val="24"/>
      <w:u w:val="single"/>
    </w:rPr>
  </w:style>
  <w:style w:type="character" w:styleId="SubtleReference">
    <w:name w:val="Subtle Reference"/>
    <w:basedOn w:val="DefaultParagraphFont"/>
    <w:uiPriority w:val="31"/>
    <w:qFormat/>
    <w:rsid w:val="0034045D"/>
    <w:rPr>
      <w:sz w:val="24"/>
      <w:szCs w:val="24"/>
      <w:u w:val="single"/>
    </w:rPr>
  </w:style>
  <w:style w:type="character" w:styleId="IntenseReference">
    <w:name w:val="Intense Reference"/>
    <w:basedOn w:val="DefaultParagraphFont"/>
    <w:uiPriority w:val="32"/>
    <w:qFormat/>
    <w:rsid w:val="0034045D"/>
    <w:rPr>
      <w:b/>
      <w:sz w:val="24"/>
      <w:u w:val="single"/>
    </w:rPr>
  </w:style>
  <w:style w:type="character" w:styleId="BookTitle">
    <w:name w:val="Book Title"/>
    <w:basedOn w:val="DefaultParagraphFont"/>
    <w:uiPriority w:val="33"/>
    <w:qFormat/>
    <w:rsid w:val="0034045D"/>
    <w:rPr>
      <w:rFonts w:asciiTheme="majorHAnsi" w:eastAsiaTheme="majorEastAsia" w:hAnsiTheme="majorHAnsi"/>
      <w:b/>
      <w:i/>
      <w:sz w:val="24"/>
      <w:szCs w:val="24"/>
    </w:rPr>
  </w:style>
  <w:style w:type="paragraph" w:customStyle="1" w:styleId="TableTitle">
    <w:name w:val="Table Title"/>
    <w:basedOn w:val="Normal"/>
    <w:uiPriority w:val="99"/>
    <w:rsid w:val="0034045D"/>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34045D"/>
    <w:pPr>
      <w:keepNext/>
      <w:widowControl/>
    </w:pPr>
    <w:rPr>
      <w:rFonts w:eastAsiaTheme="minorEastAsia"/>
      <w:sz w:val="18"/>
      <w:szCs w:val="18"/>
    </w:rPr>
  </w:style>
  <w:style w:type="paragraph" w:customStyle="1" w:styleId="NormalRight">
    <w:name w:val="Normal Right"/>
    <w:basedOn w:val="Normal"/>
    <w:next w:val="Normal"/>
    <w:uiPriority w:val="99"/>
    <w:rsid w:val="0034045D"/>
    <w:pPr>
      <w:widowControl/>
      <w:spacing w:before="120" w:after="120"/>
      <w:jc w:val="right"/>
    </w:pPr>
    <w:rPr>
      <w:rFonts w:eastAsiaTheme="minorEastAsia"/>
      <w:szCs w:val="24"/>
    </w:rPr>
  </w:style>
  <w:style w:type="paragraph" w:customStyle="1" w:styleId="ReusedInfo">
    <w:name w:val="ReusedInfo"/>
    <w:next w:val="Normal"/>
    <w:uiPriority w:val="99"/>
    <w:rsid w:val="0034045D"/>
    <w:pPr>
      <w:shd w:val="clear" w:color="auto" w:fill="C0C0C0"/>
      <w:spacing w:before="60" w:after="60"/>
    </w:pPr>
    <w:rPr>
      <w:rFonts w:eastAsiaTheme="minorEastAsia"/>
      <w:lang w:val="el-GR"/>
    </w:rPr>
  </w:style>
  <w:style w:type="paragraph" w:customStyle="1" w:styleId="Section">
    <w:name w:val="Section"/>
    <w:basedOn w:val="Normal"/>
    <w:next w:val="Normal"/>
    <w:uiPriority w:val="99"/>
    <w:rsid w:val="0034045D"/>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34045D"/>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34045D"/>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34045D"/>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34045D"/>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34045D"/>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34045D"/>
    <w:pPr>
      <w:keepNext/>
      <w:widowControl/>
      <w:spacing w:before="480" w:after="120"/>
    </w:pPr>
    <w:rPr>
      <w:rFonts w:eastAsiaTheme="minorEastAsia"/>
      <w:b/>
      <w:bCs/>
      <w:i/>
      <w:iCs/>
      <w:szCs w:val="24"/>
    </w:rPr>
  </w:style>
  <w:style w:type="paragraph" w:customStyle="1" w:styleId="Item">
    <w:name w:val="Item"/>
    <w:basedOn w:val="Normal"/>
    <w:next w:val="Normal"/>
    <w:uiPriority w:val="99"/>
    <w:rsid w:val="0034045D"/>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34045D"/>
    <w:pPr>
      <w:keepNext/>
      <w:widowControl/>
      <w:spacing w:before="480" w:after="120"/>
    </w:pPr>
    <w:rPr>
      <w:rFonts w:eastAsiaTheme="minorEastAsia"/>
      <w:sz w:val="20"/>
    </w:rPr>
  </w:style>
  <w:style w:type="paragraph" w:customStyle="1" w:styleId="Annex">
    <w:name w:val="Annex"/>
    <w:basedOn w:val="Normal"/>
    <w:next w:val="Normal"/>
    <w:uiPriority w:val="99"/>
    <w:rsid w:val="0034045D"/>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34045D"/>
    <w:pPr>
      <w:widowControl/>
      <w:spacing w:before="120" w:after="120"/>
    </w:pPr>
    <w:rPr>
      <w:rFonts w:eastAsiaTheme="minorEastAsia"/>
      <w:i/>
      <w:iCs/>
      <w:sz w:val="20"/>
    </w:rPr>
  </w:style>
  <w:style w:type="paragraph" w:customStyle="1" w:styleId="Objective">
    <w:name w:val="Objective"/>
    <w:basedOn w:val="Normal"/>
    <w:next w:val="Normal"/>
    <w:uiPriority w:val="99"/>
    <w:rsid w:val="0034045D"/>
    <w:pPr>
      <w:keepNext/>
      <w:widowControl/>
      <w:spacing w:before="120" w:after="120"/>
    </w:pPr>
    <w:rPr>
      <w:rFonts w:eastAsiaTheme="minorEastAsia"/>
      <w:i/>
      <w:iCs/>
      <w:sz w:val="20"/>
    </w:rPr>
  </w:style>
  <w:style w:type="paragraph" w:customStyle="1" w:styleId="Figures">
    <w:name w:val="Figures"/>
    <w:basedOn w:val="Normal"/>
    <w:next w:val="Normal"/>
    <w:uiPriority w:val="99"/>
    <w:rsid w:val="0034045D"/>
    <w:pPr>
      <w:keepNext/>
      <w:widowControl/>
      <w:spacing w:before="120" w:after="120"/>
    </w:pPr>
    <w:rPr>
      <w:rFonts w:eastAsiaTheme="minorEastAsia"/>
      <w:i/>
      <w:iCs/>
      <w:sz w:val="20"/>
    </w:rPr>
  </w:style>
  <w:style w:type="paragraph" w:customStyle="1" w:styleId="Remarks">
    <w:name w:val="Remarks"/>
    <w:basedOn w:val="Normal"/>
    <w:next w:val="Normal"/>
    <w:uiPriority w:val="99"/>
    <w:rsid w:val="0034045D"/>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34045D"/>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34045D"/>
    <w:pPr>
      <w:keepNext/>
      <w:widowControl/>
      <w:spacing w:before="120" w:after="120"/>
    </w:pPr>
    <w:rPr>
      <w:rFonts w:eastAsiaTheme="minorEastAsia"/>
      <w:i/>
      <w:iCs/>
      <w:sz w:val="20"/>
    </w:rPr>
  </w:style>
  <w:style w:type="paragraph" w:customStyle="1" w:styleId="Reference">
    <w:name w:val="Reference"/>
    <w:basedOn w:val="Normal"/>
    <w:next w:val="Normal"/>
    <w:uiPriority w:val="99"/>
    <w:rsid w:val="0034045D"/>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34045D"/>
  </w:style>
  <w:style w:type="character" w:customStyle="1" w:styleId="tw4winInternal">
    <w:name w:val="tw4winInternal"/>
    <w:basedOn w:val="DefaultParagraphFont"/>
    <w:uiPriority w:val="99"/>
    <w:rsid w:val="0034045D"/>
    <w:rPr>
      <w:sz w:val="16"/>
      <w:szCs w:val="16"/>
      <w:u w:val="dash"/>
      <w:shd w:val="clear" w:color="auto" w:fill="FFFF00"/>
    </w:rPr>
  </w:style>
  <w:style w:type="character" w:customStyle="1" w:styleId="ReusedInlineInfo">
    <w:name w:val="ReusedInlineInfo"/>
    <w:basedOn w:val="DefaultParagraphFont"/>
    <w:uiPriority w:val="99"/>
    <w:rsid w:val="0034045D"/>
    <w:rPr>
      <w:sz w:val="16"/>
      <w:szCs w:val="16"/>
      <w:u w:val="dash"/>
      <w:shd w:val="clear" w:color="auto" w:fill="FFFF00"/>
    </w:rPr>
  </w:style>
  <w:style w:type="character" w:customStyle="1" w:styleId="Error">
    <w:name w:val="Error"/>
    <w:basedOn w:val="DefaultParagraphFont"/>
    <w:uiPriority w:val="99"/>
    <w:rsid w:val="0034045D"/>
    <w:rPr>
      <w:shd w:val="clear" w:color="auto" w:fill="FF0000"/>
    </w:rPr>
  </w:style>
  <w:style w:type="paragraph" w:styleId="BalloonText">
    <w:name w:val="Balloon Text"/>
    <w:basedOn w:val="Normal"/>
    <w:link w:val="BalloonTextChar"/>
    <w:uiPriority w:val="99"/>
    <w:unhideWhenUsed/>
    <w:rsid w:val="0034045D"/>
    <w:pPr>
      <w:widowControl/>
      <w:jc w:val="both"/>
    </w:pPr>
    <w:rPr>
      <w:rFonts w:ascii="Segoe UI" w:hAnsi="Segoe UI" w:eastAsiaTheme="minorHAnsi" w:cs="Segoe UI"/>
      <w:sz w:val="18"/>
      <w:szCs w:val="18"/>
      <w:lang w:eastAsia="en-US"/>
    </w:rPr>
  </w:style>
  <w:style w:type="character" w:customStyle="1" w:styleId="BalloonTextChar">
    <w:name w:val="Balloon Text Char"/>
    <w:basedOn w:val="DefaultParagraphFont"/>
    <w:link w:val="BalloonText"/>
    <w:uiPriority w:val="99"/>
    <w:rsid w:val="0034045D"/>
    <w:rPr>
      <w:rFonts w:ascii="Segoe UI" w:hAnsi="Segoe UI" w:eastAsiaTheme="minorHAnsi" w:cs="Segoe UI"/>
      <w:sz w:val="18"/>
      <w:szCs w:val="18"/>
      <w:lang w:val="el-GR" w:eastAsia="en-US"/>
    </w:rPr>
  </w:style>
  <w:style w:type="numbering" w:customStyle="1" w:styleId="NoList1">
    <w:name w:val="No List1"/>
    <w:next w:val="NoList"/>
    <w:uiPriority w:val="99"/>
    <w:semiHidden/>
    <w:unhideWhenUsed/>
    <w:rsid w:val="0034045D"/>
  </w:style>
  <w:style w:type="numbering" w:customStyle="1" w:styleId="NoList2">
    <w:name w:val="No List2"/>
    <w:next w:val="NoList"/>
    <w:uiPriority w:val="99"/>
    <w:semiHidden/>
    <w:unhideWhenUsed/>
    <w:rsid w:val="0034045D"/>
  </w:style>
  <w:style w:type="paragraph" w:customStyle="1" w:styleId="RollCallVotes">
    <w:name w:val="RollCallVotes"/>
    <w:basedOn w:val="Normal"/>
    <w:rsid w:val="0034045D"/>
    <w:pPr>
      <w:spacing w:before="120" w:after="120"/>
      <w:jc w:val="center"/>
    </w:pPr>
    <w:rPr>
      <w:b/>
      <w:bCs/>
      <w:snapToGrid w:val="0"/>
      <w:sz w:val="16"/>
      <w:lang w:eastAsia="en-US"/>
    </w:rPr>
  </w:style>
  <w:style w:type="paragraph" w:customStyle="1" w:styleId="RollCallTabs">
    <w:name w:val="RollCallTabs"/>
    <w:basedOn w:val="Normal"/>
    <w:qFormat/>
    <w:rsid w:val="0034045D"/>
    <w:pPr>
      <w:tabs>
        <w:tab w:val="center" w:pos="284"/>
        <w:tab w:val="left" w:pos="426"/>
      </w:tabs>
    </w:pPr>
    <w:rPr>
      <w:snapToGrid w:val="0"/>
      <w:lang w:eastAsia="en-US"/>
    </w:rPr>
  </w:style>
  <w:style w:type="paragraph" w:customStyle="1" w:styleId="RollCallSymbols14pt">
    <w:name w:val="RollCallSymbols14pt"/>
    <w:basedOn w:val="Normal"/>
    <w:rsid w:val="0034045D"/>
    <w:pPr>
      <w:spacing w:before="120" w:after="120"/>
      <w:jc w:val="center"/>
    </w:pPr>
    <w:rPr>
      <w:rFonts w:ascii="Arial" w:hAnsi="Arial"/>
      <w:b/>
      <w:bCs/>
      <w:snapToGrid w:val="0"/>
      <w:sz w:val="28"/>
      <w:lang w:eastAsia="en-US"/>
    </w:rPr>
  </w:style>
  <w:style w:type="paragraph" w:customStyle="1" w:styleId="RollCallTable">
    <w:name w:val="RollCallTable"/>
    <w:basedOn w:val="Normal"/>
    <w:rsid w:val="0034045D"/>
    <w:pPr>
      <w:spacing w:before="120" w:after="120"/>
    </w:pPr>
    <w:rPr>
      <w:snapToGrid w:val="0"/>
      <w:sz w:val="16"/>
      <w:lang w:eastAsia="en-US"/>
    </w:rPr>
  </w:style>
  <w:style w:type="character" w:styleId="FollowedHyperlink">
    <w:name w:val="FollowedHyperlink"/>
    <w:basedOn w:val="DefaultParagraphFont"/>
    <w:unhideWhenUsed/>
    <w:rsid w:val="003404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reg/2020/2093/oj" TargetMode="External" /><Relationship Id="rId3" Type="http://schemas.openxmlformats.org/officeDocument/2006/relationships/hyperlink" Target="http://data.europa.eu/eli/reg/2022/2496/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data.europa.eu/eli/C/2024/1195/oj" TargetMode="External" /><Relationship Id="rId7" Type="http://schemas.openxmlformats.org/officeDocument/2006/relationships/hyperlink" Target="http://data.europa.eu/eli/C/2024/6751/oj" TargetMode="External" /><Relationship Id="rId8" Type="http://schemas.openxmlformats.org/officeDocument/2006/relationships/hyperlink" Target="http://data.europa.eu/eli/budget/2026/7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4535</Words>
  <Characters>27082</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2026-07-06T10:21:00Z</dcterms:created>
  <dcterms:modified xsi:type="dcterms:W3CDTF">2026-09-21T12:49:00Z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P10_TA(2026)0155_</vt:lpwstr>
  </property>
  <property fmtid="{D5CDD505-2E9C-101B-9397-08002B2CF9AE}" pid="4" name="&lt;Type&gt;">
    <vt:lpwstr>RR</vt:lpwstr>
  </property>
</Properties>
</file>