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5B8D" w14:paraId="2E6D8271" w14:textId="77777777" w:rsidTr="0010095E">
        <w:trPr>
          <w:trHeight w:hRule="exact" w:val="1418"/>
        </w:trPr>
        <w:tc>
          <w:tcPr>
            <w:tcW w:w="6804" w:type="dxa"/>
            <w:shd w:val="clear" w:color="auto" w:fill="auto"/>
            <w:vAlign w:val="center"/>
          </w:tcPr>
          <w:p w14:paraId="6D8388BB" w14:textId="77777777" w:rsidR="00751A4A" w:rsidRPr="00605B8D" w:rsidRDefault="00486D4B" w:rsidP="0010095E">
            <w:pPr>
              <w:pStyle w:val="EPName"/>
            </w:pPr>
            <w:r w:rsidRPr="00605B8D">
              <w:t>Euroopa Parlament</w:t>
            </w:r>
          </w:p>
          <w:p w14:paraId="6A214DB1" w14:textId="77777777" w:rsidR="00751A4A" w:rsidRPr="00605B8D" w:rsidRDefault="005F1B17" w:rsidP="005F1B17">
            <w:pPr>
              <w:pStyle w:val="EPTerm"/>
              <w:rPr>
                <w:rStyle w:val="HideTWBExt"/>
                <w:noProof w:val="0"/>
                <w:vanish w:val="0"/>
                <w:color w:val="auto"/>
              </w:rPr>
            </w:pPr>
            <w:r w:rsidRPr="00605B8D">
              <w:t>2024</w:t>
            </w:r>
            <w:r w:rsidR="00817416" w:rsidRPr="00605B8D">
              <w:t>-202</w:t>
            </w:r>
            <w:r w:rsidRPr="00605B8D">
              <w:t>9</w:t>
            </w:r>
          </w:p>
        </w:tc>
        <w:tc>
          <w:tcPr>
            <w:tcW w:w="2268" w:type="dxa"/>
            <w:shd w:val="clear" w:color="auto" w:fill="auto"/>
          </w:tcPr>
          <w:p w14:paraId="1AAE5E8A" w14:textId="77777777" w:rsidR="00751A4A" w:rsidRPr="00605B8D" w:rsidRDefault="00187494" w:rsidP="0010095E">
            <w:pPr>
              <w:pStyle w:val="EPLogo"/>
            </w:pPr>
            <w:r w:rsidRPr="00605B8D">
              <w:rPr>
                <w:noProof/>
                <w:lang w:eastAsia="ja-JP"/>
              </w:rPr>
              <w:drawing>
                <wp:inline distT="0" distB="0" distL="0" distR="0" wp14:anchorId="29EA1617" wp14:editId="145E30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31E645" w14:textId="77777777" w:rsidR="00D058B8" w:rsidRPr="00605B8D" w:rsidRDefault="00D058B8" w:rsidP="004C5D52">
      <w:pPr>
        <w:pStyle w:val="LineTop"/>
      </w:pPr>
    </w:p>
    <w:p w14:paraId="275BA7E7" w14:textId="77777777" w:rsidR="00680577" w:rsidRPr="00605B8D" w:rsidRDefault="00486D4B" w:rsidP="00680577">
      <w:pPr>
        <w:pStyle w:val="EPBodyTA1"/>
      </w:pPr>
      <w:r w:rsidRPr="00605B8D">
        <w:t>VASTUVÕETUD TEKSTID</w:t>
      </w:r>
    </w:p>
    <w:p w14:paraId="024523A9" w14:textId="77777777" w:rsidR="00D058B8" w:rsidRPr="00605B8D" w:rsidRDefault="00D058B8" w:rsidP="00D058B8">
      <w:pPr>
        <w:pStyle w:val="LineBottom"/>
      </w:pPr>
    </w:p>
    <w:p w14:paraId="3175BC99" w14:textId="6052F537" w:rsidR="00486D4B" w:rsidRPr="00605B8D" w:rsidRDefault="00486D4B" w:rsidP="00486D4B">
      <w:pPr>
        <w:pStyle w:val="ATHeading1"/>
      </w:pPr>
      <w:bookmarkStart w:id="0" w:name="TANumber"/>
      <w:r w:rsidRPr="00605B8D">
        <w:t>P10_TA(2026)0</w:t>
      </w:r>
      <w:r w:rsidR="00B64002" w:rsidRPr="00605B8D">
        <w:t>155</w:t>
      </w:r>
      <w:bookmarkEnd w:id="0"/>
    </w:p>
    <w:p w14:paraId="0CD107E3" w14:textId="77777777" w:rsidR="00486D4B" w:rsidRPr="00605B8D" w:rsidRDefault="00486D4B" w:rsidP="00486D4B">
      <w:pPr>
        <w:pStyle w:val="ATHeading2"/>
      </w:pPr>
      <w:bookmarkStart w:id="1" w:name="title"/>
      <w:r w:rsidRPr="00605B8D">
        <w:t>2027. aasta tulude ja kulude eelarvestus – I jagu – Euroopa Parlament</w:t>
      </w:r>
      <w:bookmarkEnd w:id="1"/>
    </w:p>
    <w:p w14:paraId="4A2852D3" w14:textId="77777777" w:rsidR="00486D4B" w:rsidRPr="00605B8D" w:rsidRDefault="00486D4B" w:rsidP="00486D4B">
      <w:pPr>
        <w:rPr>
          <w:i/>
          <w:vanish/>
        </w:rPr>
      </w:pPr>
      <w:r w:rsidRPr="00605B8D">
        <w:rPr>
          <w:i/>
        </w:rPr>
        <w:fldChar w:fldCharType="begin"/>
      </w:r>
      <w:r w:rsidRPr="00605B8D">
        <w:rPr>
          <w:i/>
        </w:rPr>
        <w:instrText xml:space="preserve"> TC"(</w:instrText>
      </w:r>
      <w:bookmarkStart w:id="2" w:name="DocNumber"/>
      <w:r w:rsidRPr="00605B8D">
        <w:rPr>
          <w:i/>
        </w:rPr>
        <w:instrText>A10-0124/2026</w:instrText>
      </w:r>
      <w:bookmarkEnd w:id="2"/>
      <w:r w:rsidRPr="00605B8D">
        <w:rPr>
          <w:i/>
        </w:rPr>
        <w:instrText xml:space="preserve"> - Raportöör: Michalis Hadjipantela)"\l3 \n&gt; \* MERGEFORMAT </w:instrText>
      </w:r>
      <w:r w:rsidRPr="00605B8D">
        <w:rPr>
          <w:i/>
        </w:rPr>
        <w:fldChar w:fldCharType="end"/>
      </w:r>
    </w:p>
    <w:p w14:paraId="07FE4DCF" w14:textId="77777777" w:rsidR="00486D4B" w:rsidRPr="00605B8D" w:rsidRDefault="00486D4B" w:rsidP="00486D4B">
      <w:pPr>
        <w:rPr>
          <w:vanish/>
        </w:rPr>
      </w:pPr>
      <w:bookmarkStart w:id="3" w:name="Commission"/>
      <w:r w:rsidRPr="00605B8D">
        <w:rPr>
          <w:vanish/>
        </w:rPr>
        <w:t>Eelarvekomisjon</w:t>
      </w:r>
      <w:bookmarkEnd w:id="3"/>
    </w:p>
    <w:p w14:paraId="41FBB9EB" w14:textId="77777777" w:rsidR="00486D4B" w:rsidRPr="00605B8D" w:rsidRDefault="00486D4B" w:rsidP="00486D4B">
      <w:pPr>
        <w:rPr>
          <w:vanish/>
        </w:rPr>
      </w:pPr>
      <w:bookmarkStart w:id="4" w:name="PE"/>
      <w:r w:rsidRPr="00605B8D">
        <w:rPr>
          <w:vanish/>
        </w:rPr>
        <w:t>PE785.303</w:t>
      </w:r>
      <w:bookmarkEnd w:id="4"/>
    </w:p>
    <w:p w14:paraId="71183D4A" w14:textId="3D9EC8D9" w:rsidR="00486D4B" w:rsidRPr="00605B8D" w:rsidRDefault="00486D4B" w:rsidP="00486D4B">
      <w:pPr>
        <w:pStyle w:val="ATHeading3"/>
      </w:pPr>
      <w:bookmarkStart w:id="5" w:name="Sujet"/>
      <w:r w:rsidRPr="00605B8D">
        <w:t xml:space="preserve">Euroopa Parlamendi </w:t>
      </w:r>
      <w:r w:rsidR="00931EDD" w:rsidRPr="00605B8D">
        <w:t>30. aprilli</w:t>
      </w:r>
      <w:r w:rsidRPr="00605B8D">
        <w:t xml:space="preserve"> 2026. aasta resolutsioon Euroopa Parlamendi 2027. aasta tulude ja kulude eelarvestuse kohta</w:t>
      </w:r>
      <w:bookmarkEnd w:id="5"/>
      <w:r w:rsidRPr="00605B8D">
        <w:t xml:space="preserve"> </w:t>
      </w:r>
      <w:bookmarkStart w:id="6" w:name="References"/>
      <w:r w:rsidRPr="00605B8D">
        <w:t>(2025/2247(BUI))</w:t>
      </w:r>
      <w:bookmarkEnd w:id="6"/>
    </w:p>
    <w:p w14:paraId="67FF5946" w14:textId="77777777" w:rsidR="00EE3CD7" w:rsidRPr="00605B8D" w:rsidRDefault="00EE3CD7" w:rsidP="00EE3CD7">
      <w:pPr>
        <w:pStyle w:val="Institutionquiagit"/>
        <w:spacing w:before="480"/>
        <w:rPr>
          <w:i w:val="0"/>
        </w:rPr>
      </w:pPr>
      <w:bookmarkStart w:id="7" w:name="TextBodyBegin"/>
      <w:bookmarkEnd w:id="7"/>
      <w:r w:rsidRPr="00605B8D">
        <w:t>Euroopa Parlament,</w:t>
      </w:r>
    </w:p>
    <w:p w14:paraId="4A10C226" w14:textId="77777777" w:rsidR="00EE3CD7" w:rsidRPr="00605B8D" w:rsidRDefault="00EE3CD7" w:rsidP="00EE3CD7">
      <w:pPr>
        <w:pStyle w:val="Action"/>
        <w:tabs>
          <w:tab w:val="clear" w:pos="357"/>
        </w:tabs>
        <w:spacing w:after="120"/>
        <w:ind w:left="567" w:hanging="567"/>
        <w:outlineLvl w:val="0"/>
      </w:pPr>
      <w:r w:rsidRPr="00605B8D">
        <w:t>–</w:t>
      </w:r>
      <w:r w:rsidRPr="00605B8D">
        <w:tab/>
        <w:t>võttes arvesse Euroopa Liidu toimimise lepingu artiklit 314,</w:t>
      </w:r>
    </w:p>
    <w:p w14:paraId="7FF4FEF9" w14:textId="77777777" w:rsidR="00EE3CD7" w:rsidRPr="00605B8D" w:rsidRDefault="00EE3CD7" w:rsidP="00EE3CD7">
      <w:pPr>
        <w:widowControl/>
        <w:spacing w:after="240"/>
        <w:ind w:left="567" w:hanging="567"/>
        <w:rPr>
          <w:color w:val="000000"/>
        </w:rPr>
      </w:pPr>
      <w:r w:rsidRPr="00605B8D">
        <w:rPr>
          <w:color w:val="000000"/>
        </w:rPr>
        <w:t>–</w:t>
      </w:r>
      <w:r w:rsidRPr="00605B8D">
        <w:rPr>
          <w:color w:val="000000"/>
        </w:rPr>
        <w:tab/>
        <w:t>võttes arvesse Euroopa Parlamendi ja nõukogu 23. septembri 2024. aasta määrust (EL, Euratom) 2024/2509, mis käsitleb liidu üldeelarve suhtes kohaldatavaid finantsreegleid (uuesti sõnastatud)</w:t>
      </w:r>
      <w:r w:rsidRPr="00605B8D">
        <w:rPr>
          <w:color w:val="000000"/>
          <w:vertAlign w:val="superscript"/>
        </w:rPr>
        <w:footnoteReference w:id="1"/>
      </w:r>
      <w:r w:rsidRPr="00605B8D">
        <w:rPr>
          <w:color w:val="000000"/>
        </w:rPr>
        <w:t xml:space="preserve"> (edaspidi „finantsmäärus“),</w:t>
      </w:r>
    </w:p>
    <w:p w14:paraId="74E6881F" w14:textId="77777777" w:rsidR="00EE3CD7" w:rsidRPr="00605B8D" w:rsidRDefault="00EE3CD7" w:rsidP="00EE3CD7">
      <w:pPr>
        <w:spacing w:after="240"/>
        <w:ind w:left="567" w:hanging="567"/>
        <w:rPr>
          <w:color w:val="000000"/>
        </w:rPr>
      </w:pPr>
      <w:r w:rsidRPr="00605B8D">
        <w:rPr>
          <w:color w:val="000000"/>
        </w:rPr>
        <w:t>–</w:t>
      </w:r>
      <w:r w:rsidRPr="00605B8D">
        <w:rPr>
          <w:color w:val="000000"/>
        </w:rPr>
        <w:tab/>
      </w:r>
      <w:r w:rsidRPr="00605B8D">
        <w:t xml:space="preserve">võttes arvesse nõukogu 17. detsembri 2020. aasta määrust (EL, Euratom) 2020/2093, millega määratakse kindlaks </w:t>
      </w:r>
      <w:sdt>
        <w:sdtPr>
          <w:tag w:val="goog_rdk_0"/>
          <w:id w:val="399490220"/>
        </w:sdtPr>
        <w:sdtEndPr/>
        <w:sdtContent/>
      </w:sdt>
      <w:sdt>
        <w:sdtPr>
          <w:tag w:val="goog_rdk_1"/>
          <w:id w:val="-2088213729"/>
        </w:sdtPr>
        <w:sdtEndPr/>
        <w:sdtContent/>
      </w:sdt>
      <w:r w:rsidRPr="00605B8D">
        <w:t>mitmeaastane finantsraamistik aastateks 2021–2027</w:t>
      </w:r>
      <w:r w:rsidRPr="00605B8D">
        <w:rPr>
          <w:color w:val="000000"/>
          <w:vertAlign w:val="superscript"/>
        </w:rPr>
        <w:footnoteReference w:id="2"/>
      </w:r>
      <w:r w:rsidRPr="00605B8D">
        <w:t>, ning sellega seoses Euroopa Parlamendi, nõukogu ja komisjoni vahel kokku lepitud ühisdeklaratsiooni</w:t>
      </w:r>
      <w:r w:rsidRPr="00605B8D">
        <w:rPr>
          <w:color w:val="000000"/>
          <w:vertAlign w:val="superscript"/>
        </w:rPr>
        <w:footnoteReference w:id="3"/>
      </w:r>
      <w:r w:rsidRPr="00605B8D">
        <w:t xml:space="preserve"> ja asjaomaseid ühepoolseid deklaratsioone</w:t>
      </w:r>
      <w:r w:rsidRPr="00605B8D">
        <w:rPr>
          <w:color w:val="000000"/>
          <w:vertAlign w:val="superscript"/>
        </w:rPr>
        <w:footnoteReference w:id="4"/>
      </w:r>
      <w:r w:rsidRPr="00605B8D">
        <w:t>,</w:t>
      </w:r>
    </w:p>
    <w:p w14:paraId="4B00FC3B" w14:textId="77777777" w:rsidR="00EE3CD7" w:rsidRPr="00605B8D" w:rsidRDefault="00EE3CD7" w:rsidP="00EE3CD7">
      <w:pPr>
        <w:spacing w:after="240"/>
        <w:ind w:left="567" w:hanging="567"/>
        <w:rPr>
          <w:color w:val="000000" w:themeColor="text1"/>
        </w:rPr>
      </w:pPr>
      <w:r w:rsidRPr="00605B8D">
        <w:rPr>
          <w:color w:val="000000"/>
        </w:rPr>
        <w:t>–</w:t>
      </w:r>
      <w:r w:rsidRPr="00605B8D">
        <w:rPr>
          <w:color w:val="000000"/>
        </w:rPr>
        <w:tab/>
        <w:t>võttes arvesse nõukogu 15. detsembri 2022. aasta määrust (EL, Euratom) 2022/2496, millega muudetakse määrust (EL, Euratom) 2020/2093, millega määratakse kindlaks mitmeaastane finantsraamistik aastateks 2021–2027</w:t>
      </w:r>
      <w:r w:rsidRPr="00605B8D">
        <w:rPr>
          <w:color w:val="000000"/>
          <w:vertAlign w:val="superscript"/>
        </w:rPr>
        <w:footnoteReference w:id="5"/>
      </w:r>
      <w:r w:rsidRPr="00605B8D">
        <w:rPr>
          <w:color w:val="000000"/>
        </w:rPr>
        <w:t>,</w:t>
      </w:r>
    </w:p>
    <w:p w14:paraId="7FD93DB8" w14:textId="77777777" w:rsidR="00EE3CD7" w:rsidRPr="00605B8D" w:rsidRDefault="00EE3CD7" w:rsidP="00EE3CD7">
      <w:pPr>
        <w:spacing w:after="240"/>
        <w:ind w:left="567" w:hanging="567"/>
      </w:pPr>
      <w:r w:rsidRPr="00605B8D">
        <w:t>–</w:t>
      </w:r>
      <w:r w:rsidRPr="00605B8D">
        <w:tab/>
      </w:r>
      <w:r w:rsidRPr="00605B8D">
        <w:rPr>
          <w:color w:val="000000"/>
        </w:rPr>
        <w:t>võttes arvesse nõukogu määrust (EL, Euratom) 2024/765, millega muudetakse määrust (EL, Euratom) 2020/2093, millega määratakse kindlaks mitmeaastane finantsraamistik aastateks 2021–2027</w:t>
      </w:r>
      <w:r w:rsidRPr="00605B8D">
        <w:rPr>
          <w:rStyle w:val="FootnoteReference"/>
          <w:color w:val="000000"/>
        </w:rPr>
        <w:footnoteReference w:id="6"/>
      </w:r>
      <w:r w:rsidRPr="00605B8D">
        <w:rPr>
          <w:color w:val="000000"/>
        </w:rPr>
        <w:t xml:space="preserve"> (mitmeaastase finantsraamistiku muutmine),</w:t>
      </w:r>
    </w:p>
    <w:p w14:paraId="4C21B753" w14:textId="77777777" w:rsidR="00EE3CD7" w:rsidRPr="00605B8D" w:rsidRDefault="00EE3CD7" w:rsidP="00EE3CD7">
      <w:pPr>
        <w:spacing w:after="240"/>
        <w:ind w:left="567" w:hanging="567"/>
        <w:rPr>
          <w:color w:val="000000"/>
        </w:rPr>
      </w:pPr>
      <w:r w:rsidRPr="00605B8D">
        <w:rPr>
          <w:color w:val="000000"/>
        </w:rPr>
        <w:t>–</w:t>
      </w:r>
      <w:r w:rsidRPr="00605B8D">
        <w:rPr>
          <w:color w:val="000000"/>
        </w:rPr>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605B8D">
        <w:rPr>
          <w:color w:val="000000"/>
        </w:rPr>
        <w:lastRenderedPageBreak/>
        <w:t>tegevuskava</w:t>
      </w:r>
      <w:r w:rsidRPr="00605B8D">
        <w:rPr>
          <w:color w:val="000000"/>
          <w:vertAlign w:val="superscript"/>
        </w:rPr>
        <w:footnoteReference w:id="7"/>
      </w:r>
      <w:r w:rsidRPr="00605B8D">
        <w:rPr>
          <w:color w:val="000000"/>
        </w:rPr>
        <w:t>,</w:t>
      </w:r>
    </w:p>
    <w:p w14:paraId="4482D22E" w14:textId="77777777" w:rsidR="00EE3CD7" w:rsidRPr="00605B8D" w:rsidRDefault="00EE3CD7" w:rsidP="00EE3CD7">
      <w:pPr>
        <w:spacing w:after="240"/>
        <w:ind w:left="567" w:hanging="567"/>
      </w:pPr>
      <w:r w:rsidRPr="00605B8D">
        <w:t>–</w:t>
      </w:r>
      <w:r w:rsidRPr="00605B8D">
        <w:tab/>
        <w:t>võttes arvesse oma 16. detsembri 2020. aasta seadusandlikku resolutsiooni, mis käsitleb nõukogu määruse eelnõu, millega määratakse kindlaks mitmeaastane finantsraamistik aastateks 2021–2027</w:t>
      </w:r>
      <w:r w:rsidRPr="00605B8D">
        <w:rPr>
          <w:vertAlign w:val="superscript"/>
        </w:rPr>
        <w:footnoteReference w:id="8"/>
      </w:r>
      <w:r w:rsidRPr="00605B8D">
        <w:t>,</w:t>
      </w:r>
    </w:p>
    <w:p w14:paraId="69C5FF2F" w14:textId="77777777" w:rsidR="00EE3CD7" w:rsidRPr="00605B8D" w:rsidRDefault="00EE3CD7" w:rsidP="00EE3CD7">
      <w:pPr>
        <w:spacing w:after="240"/>
        <w:ind w:left="567" w:hanging="567"/>
        <w:rPr>
          <w:color w:val="000000"/>
        </w:rPr>
      </w:pPr>
      <w:r w:rsidRPr="00605B8D">
        <w:rPr>
          <w:color w:val="000000"/>
        </w:rPr>
        <w:t>–</w:t>
      </w:r>
      <w:r w:rsidRPr="00605B8D">
        <w:rPr>
          <w:color w:val="000000"/>
        </w:rPr>
        <w:tab/>
        <w:t>võttes arvesse oma 15. detsembri 2022. aasta resolutsiooni mitmeaastase finantsraamistiku 2021–2027 täiustamise ning vastupidava ja uutele ülesannetele kohandatud ELi eelarve kohta</w:t>
      </w:r>
      <w:r w:rsidRPr="00605B8D">
        <w:rPr>
          <w:color w:val="000000"/>
          <w:vertAlign w:val="superscript"/>
        </w:rPr>
        <w:footnoteReference w:id="9"/>
      </w:r>
      <w:r w:rsidRPr="00605B8D">
        <w:rPr>
          <w:color w:val="000000"/>
        </w:rPr>
        <w:t>,</w:t>
      </w:r>
    </w:p>
    <w:p w14:paraId="6BDB8B0F" w14:textId="77777777" w:rsidR="00EE3CD7" w:rsidRPr="00605B8D" w:rsidRDefault="00EE3CD7" w:rsidP="00EE3CD7">
      <w:pPr>
        <w:spacing w:after="240"/>
        <w:ind w:left="567" w:hanging="567"/>
      </w:pPr>
      <w:r w:rsidRPr="00605B8D">
        <w:t>–</w:t>
      </w:r>
      <w:r w:rsidRPr="00605B8D">
        <w:tab/>
        <w:t>võttes arvesse oma 3. oktoobri 2023. aasta resolutsiooni ettepaneku kohta, mis käsitleb mitmeaastase finantsraamistiku 2021–2027 muutmist</w:t>
      </w:r>
      <w:r w:rsidRPr="00605B8D">
        <w:rPr>
          <w:vertAlign w:val="superscript"/>
        </w:rPr>
        <w:footnoteReference w:id="10"/>
      </w:r>
      <w:r w:rsidRPr="00605B8D">
        <w:t>,</w:t>
      </w:r>
    </w:p>
    <w:p w14:paraId="6072A83F" w14:textId="77777777" w:rsidR="00EE3CD7" w:rsidRPr="00605B8D" w:rsidRDefault="00EE3CD7" w:rsidP="00EE3CD7">
      <w:pPr>
        <w:spacing w:after="240"/>
        <w:ind w:left="567" w:hanging="567"/>
        <w:rPr>
          <w:color w:val="000000"/>
        </w:rPr>
      </w:pPr>
      <w:r w:rsidRPr="00605B8D">
        <w:rPr>
          <w:color w:val="000000"/>
        </w:rPr>
        <w:t>–</w:t>
      </w:r>
      <w:r w:rsidRPr="00605B8D">
        <w:rPr>
          <w:color w:val="000000"/>
        </w:rPr>
        <w:tab/>
        <w:t>võttes arvesse oma 27. veebruari 2024. aasta resolutsiooni, mis käsitleb nõukogu määruse eelnõu, millega muudetakse määrust (EL, Euratom) 2020/2093, millega määratakse kindlaks mitmeaastane finantsraamistik aastateks 2021–2027</w:t>
      </w:r>
      <w:r w:rsidRPr="00605B8D">
        <w:rPr>
          <w:color w:val="000000"/>
          <w:vertAlign w:val="superscript"/>
        </w:rPr>
        <w:footnoteReference w:id="11"/>
      </w:r>
      <w:r w:rsidRPr="00605B8D">
        <w:rPr>
          <w:color w:val="000000"/>
        </w:rPr>
        <w:t>,</w:t>
      </w:r>
    </w:p>
    <w:p w14:paraId="29AD6503" w14:textId="77777777" w:rsidR="00EE3CD7" w:rsidRPr="00605B8D" w:rsidRDefault="00EE3CD7" w:rsidP="00EE3CD7">
      <w:pPr>
        <w:spacing w:after="240"/>
        <w:ind w:left="567" w:hanging="567"/>
        <w:rPr>
          <w:color w:val="000000"/>
        </w:rPr>
      </w:pPr>
      <w:r w:rsidRPr="00605B8D">
        <w:rPr>
          <w:color w:val="000000"/>
        </w:rPr>
        <w:t>–</w:t>
      </w:r>
      <w:r w:rsidRPr="00605B8D">
        <w:rPr>
          <w:color w:val="000000"/>
        </w:rPr>
        <w:tab/>
      </w:r>
      <w:r w:rsidRPr="00605B8D">
        <w:t>võttes arvesse Euroopa Liidu 2026. aasta üldeelarvet, mis võeti lõplikult vastu 26. novembril 2025</w:t>
      </w:r>
      <w:r w:rsidRPr="00605B8D">
        <w:rPr>
          <w:color w:val="000000"/>
          <w:vertAlign w:val="superscript"/>
        </w:rPr>
        <w:footnoteReference w:id="12"/>
      </w:r>
      <w:r w:rsidRPr="00605B8D">
        <w:t>, ning sellele lisatud Euroopa Parlamendi, nõukogu ja komisjoni vahel kokku lepitud ühisavaldusi,</w:t>
      </w:r>
    </w:p>
    <w:p w14:paraId="7C08DBAF" w14:textId="77777777" w:rsidR="00EE3CD7" w:rsidRPr="00605B8D" w:rsidRDefault="00EE3CD7" w:rsidP="00EE3CD7">
      <w:pPr>
        <w:pStyle w:val="Action"/>
        <w:tabs>
          <w:tab w:val="clear" w:pos="357"/>
        </w:tabs>
        <w:spacing w:after="120"/>
        <w:ind w:left="567" w:hanging="567"/>
        <w:outlineLvl w:val="0"/>
      </w:pPr>
      <w:r w:rsidRPr="00605B8D">
        <w:t>–</w:t>
      </w:r>
      <w:r w:rsidRPr="00605B8D">
        <w:tab/>
        <w:t>võttes arvesse peasekretäri aruannet juhatusele Euroopa Parlamendi 2027. aasta esialgse eelarvestuse projekti koostamise kohta,</w:t>
      </w:r>
    </w:p>
    <w:p w14:paraId="7AE0C03B" w14:textId="77777777" w:rsidR="00EE3CD7" w:rsidRPr="00605B8D" w:rsidRDefault="00EE3CD7" w:rsidP="00EE3CD7">
      <w:pPr>
        <w:pStyle w:val="Action"/>
        <w:tabs>
          <w:tab w:val="clear" w:pos="357"/>
        </w:tabs>
        <w:spacing w:after="120"/>
        <w:ind w:left="567" w:hanging="567"/>
        <w:outlineLvl w:val="0"/>
      </w:pPr>
      <w:r w:rsidRPr="00605B8D">
        <w:t>–</w:t>
      </w:r>
      <w:r w:rsidRPr="00605B8D">
        <w:tab/>
        <w:t>võttes arvesse juhatuse poolt 9. märtsil 2026. aastal vastavalt kodukorra artikli 25 lõikele 7 ja artikli 104 lõikele 1 koostatud esialgset eelarvestuse projekti,</w:t>
      </w:r>
    </w:p>
    <w:p w14:paraId="1B3B9AC9" w14:textId="77777777" w:rsidR="00EE3CD7" w:rsidRPr="00605B8D" w:rsidRDefault="00EE3CD7" w:rsidP="00EE3CD7">
      <w:pPr>
        <w:pStyle w:val="Action"/>
        <w:tabs>
          <w:tab w:val="clear" w:pos="357"/>
        </w:tabs>
        <w:spacing w:after="120"/>
        <w:ind w:left="567" w:hanging="567"/>
        <w:outlineLvl w:val="0"/>
      </w:pPr>
      <w:r w:rsidRPr="00605B8D">
        <w:t>–</w:t>
      </w:r>
      <w:r w:rsidRPr="00605B8D">
        <w:tab/>
        <w:t>võttes arvesse eelarvekomisjoni poolt vastavalt kodukorra artikli 104 lõikele 2 koostatud eelarvestuse projekti,</w:t>
      </w:r>
    </w:p>
    <w:p w14:paraId="58ADD487" w14:textId="77777777" w:rsidR="00EE3CD7" w:rsidRPr="00605B8D" w:rsidRDefault="00EE3CD7" w:rsidP="00EE3CD7">
      <w:pPr>
        <w:pStyle w:val="Action"/>
        <w:tabs>
          <w:tab w:val="clear" w:pos="357"/>
        </w:tabs>
        <w:spacing w:after="120"/>
        <w:ind w:left="567" w:hanging="567"/>
        <w:outlineLvl w:val="0"/>
      </w:pPr>
      <w:r w:rsidRPr="00605B8D">
        <w:t>–</w:t>
      </w:r>
      <w:r w:rsidRPr="00605B8D">
        <w:tab/>
        <w:t>võttes arvesse kodukorra artiklit 104,</w:t>
      </w:r>
    </w:p>
    <w:p w14:paraId="1FBF3223" w14:textId="77777777" w:rsidR="00EE3CD7" w:rsidRPr="00605B8D" w:rsidRDefault="00EE3CD7" w:rsidP="00EE3CD7">
      <w:pPr>
        <w:pStyle w:val="Action"/>
        <w:tabs>
          <w:tab w:val="clear" w:pos="357"/>
        </w:tabs>
        <w:ind w:left="567" w:hanging="567"/>
        <w:outlineLvl w:val="0"/>
      </w:pPr>
      <w:r w:rsidRPr="00605B8D">
        <w:t>–</w:t>
      </w:r>
      <w:r w:rsidRPr="00605B8D">
        <w:tab/>
        <w:t>võttes arvesse eelarvekomisjoni raportit (A10-0124/2026),</w:t>
      </w:r>
    </w:p>
    <w:p w14:paraId="04F31C32" w14:textId="77777777" w:rsidR="00EE3CD7" w:rsidRPr="00605B8D" w:rsidRDefault="00EE3CD7" w:rsidP="00EE3CD7">
      <w:pPr>
        <w:pStyle w:val="Action"/>
        <w:tabs>
          <w:tab w:val="clear" w:pos="357"/>
        </w:tabs>
        <w:spacing w:after="120"/>
        <w:ind w:left="567" w:hanging="567"/>
        <w:outlineLvl w:val="0"/>
      </w:pPr>
      <w:r w:rsidRPr="00605B8D">
        <w:t>A.</w:t>
      </w:r>
      <w:r w:rsidRPr="00605B8D">
        <w:tab/>
        <w:t>arvestades, et peasekretäri poolt 9. veebruaril 2026. aastal Euroopa Parlamendi 2027. aasta esialgses eelarvestuse projektis esitatud eelarve summa on 2 665 474 853 eurot ja 2026. aasta eelarvest on see 2,33 % ehk 60 618 266 euro võrra suurem;</w:t>
      </w:r>
    </w:p>
    <w:p w14:paraId="7D8D5578" w14:textId="77777777" w:rsidR="00EE3CD7" w:rsidRPr="00605B8D" w:rsidRDefault="00EE3CD7" w:rsidP="00EE3CD7">
      <w:pPr>
        <w:pStyle w:val="Action"/>
        <w:tabs>
          <w:tab w:val="clear" w:pos="357"/>
        </w:tabs>
        <w:spacing w:after="120"/>
        <w:ind w:left="567" w:hanging="567"/>
        <w:outlineLvl w:val="0"/>
      </w:pPr>
      <w:r w:rsidRPr="00605B8D">
        <w:t>B.</w:t>
      </w:r>
      <w:r w:rsidRPr="00605B8D">
        <w:tab/>
        <w:t>arvestades, et peasekretäri kavandatud 2,33 % suurune kasv on tingitud sellest, et õigusjärgsed rahalised kohustused suurenevad 2,01 % ja mittekohustuslikud kulud 2,89 %;</w:t>
      </w:r>
    </w:p>
    <w:p w14:paraId="3214DC59" w14:textId="77777777" w:rsidR="00EE3CD7" w:rsidRPr="00605B8D" w:rsidRDefault="00EE3CD7" w:rsidP="00EE3CD7">
      <w:pPr>
        <w:pStyle w:val="Action"/>
        <w:tabs>
          <w:tab w:val="clear" w:pos="357"/>
        </w:tabs>
        <w:ind w:left="567" w:hanging="567"/>
        <w:outlineLvl w:val="0"/>
      </w:pPr>
      <w:r w:rsidRPr="00605B8D">
        <w:t>C.</w:t>
      </w:r>
      <w:r w:rsidRPr="00605B8D">
        <w:tab/>
        <w:t>arvestades, et Eurostati andmetel oli liidu aastane inflatsioon 2025. aasta detsembris 2,3 %, st madalam kui 2024. aasta detsembris (2,7 %); arvestades, et mitmeaastase finantsraamistiku 2021–2027 rubriigi 7 kulude tase põhineb iga-aastasel 2 % suurusel kasvul;</w:t>
      </w:r>
    </w:p>
    <w:p w14:paraId="655610A1" w14:textId="77777777" w:rsidR="00EE3CD7" w:rsidRPr="00605B8D" w:rsidRDefault="00EE3CD7" w:rsidP="00EE3CD7">
      <w:pPr>
        <w:pStyle w:val="Action"/>
        <w:tabs>
          <w:tab w:val="clear" w:pos="357"/>
        </w:tabs>
        <w:ind w:left="567" w:hanging="567"/>
        <w:outlineLvl w:val="0"/>
      </w:pPr>
      <w:r w:rsidRPr="00605B8D">
        <w:lastRenderedPageBreak/>
        <w:t>D.</w:t>
      </w:r>
      <w:r w:rsidRPr="00605B8D">
        <w:tab/>
        <w:t>arvestades, et Euroopa Parlamendi usaldusväärsus sõltub tema võimest viia ellu oma eelarve-, õigusloome- ja kontrollitegevust kõrgeimate standardite kohaselt, olles samal ajal eeskujuks teistele liidu institutsioonidele, kavandades ja tehes oma kulutusi kaalutletult ja tõhusalt ning võttes arvesse valitsevaid majandusolusid;</w:t>
      </w:r>
    </w:p>
    <w:p w14:paraId="31C8E993" w14:textId="77777777" w:rsidR="00EE3CD7" w:rsidRPr="00605B8D" w:rsidRDefault="00EE3CD7" w:rsidP="00EE3CD7">
      <w:pPr>
        <w:pStyle w:val="NormalHanging12a"/>
        <w:rPr>
          <w:b/>
          <w:i/>
        </w:rPr>
      </w:pPr>
      <w:r w:rsidRPr="00605B8D">
        <w:rPr>
          <w:b/>
          <w:i/>
        </w:rPr>
        <w:t>Üldine raamistik</w:t>
      </w:r>
    </w:p>
    <w:p w14:paraId="03B57443" w14:textId="77777777" w:rsidR="00EE3CD7" w:rsidRPr="00605B8D" w:rsidRDefault="00EE3CD7" w:rsidP="00EE3CD7">
      <w:pPr>
        <w:widowControl/>
        <w:spacing w:after="240"/>
        <w:ind w:left="567" w:hanging="567"/>
        <w:rPr>
          <w:color w:val="000000"/>
        </w:rPr>
      </w:pPr>
      <w:r w:rsidRPr="00605B8D">
        <w:rPr>
          <w:color w:val="000000"/>
        </w:rPr>
        <w:t>1.</w:t>
      </w:r>
      <w:r w:rsidRPr="00605B8D">
        <w:rPr>
          <w:color w:val="000000"/>
        </w:rPr>
        <w:tab/>
        <w:t>tunneb praeguse mitmeaastase finantsraamistiku rubriigis 7 valitseva olukorra pärast muret; tuletab meelde, et piirangud on tingitud kärbetest, mille nõukogu tegi komisjoni ettepanekus, mis oli juba niigi esitatud väga väikese mahuga, kui 2021.–2027. aasta finantsraamistikus kokku lepiti, samuti mitme aasta jooksul oodatust kiiremaks kujunenud inflatsiooni kumulatiivsest mõjust; peab kahetsusväärseks, et nõukogu oli vastu komisjoni ettepanekule finantsraamistiku muutmisel rubriigi 7 ülemmäära alates 2024. aastast tõsta; juhib tähelepanu sellele, et finantsraamistiku muutmisel jäi rubriigi 7 ülemmäära küsimus lahendamata; rõhutab, et kuna 2027. aastaks prognoositakse varu puudujääki, tuleb rubriigis 7 kasutada seetõttu arvatavasti erivahendeid; toonitab, et erivahendite kasutuselevõtt peaks jääma erandlikuks, see peaks olema igakülgselt põhjendatud ja piirduma ettenägematute asjaoludega;</w:t>
      </w:r>
    </w:p>
    <w:p w14:paraId="6339E93B" w14:textId="537650A9" w:rsidR="00EE3CD7" w:rsidRPr="00605B8D" w:rsidRDefault="00EE3CD7" w:rsidP="00EE3CD7">
      <w:pPr>
        <w:widowControl/>
        <w:spacing w:after="240"/>
        <w:ind w:left="567" w:hanging="567"/>
        <w:rPr>
          <w:color w:val="000000"/>
        </w:rPr>
      </w:pPr>
      <w:r w:rsidRPr="00605B8D">
        <w:rPr>
          <w:color w:val="000000"/>
        </w:rPr>
        <w:t>2.</w:t>
      </w:r>
      <w:r w:rsidRPr="00605B8D">
        <w:rPr>
          <w:color w:val="000000"/>
        </w:rPr>
        <w:tab/>
        <w:t>kiidab heaks juhatuse ja eelarvekomisjoni 15. aprilli 2026. aasta lepituskohtumisel saavutatud kokkuleppe näha 2026. aasta eelarvega võrreldes ette 1,98 % suurune kasv, mis vastab 2027. aasta eelarvestuse kogusummale 2 656 435 753 eurot, ning järgmistel eelarveridadel ette nähtud assigneeringuid seetõttu kokku 10 554 000 euro võrra vähendada:</w:t>
      </w:r>
    </w:p>
    <w:p w14:paraId="3FB573CB" w14:textId="7D01543C" w:rsidR="00EE3CD7" w:rsidRPr="00605B8D" w:rsidRDefault="00EE3CD7" w:rsidP="00EE3CD7">
      <w:pPr>
        <w:widowControl/>
        <w:spacing w:after="240"/>
        <w:ind w:left="567"/>
        <w:rPr>
          <w:color w:val="000000"/>
        </w:rPr>
      </w:pPr>
      <w:r w:rsidRPr="00605B8D">
        <w:rPr>
          <w:color w:val="000000"/>
        </w:rPr>
        <w:t>1 0 0 6 — Üldkulude hüvitis, 1 4 0 5 01 — Suulise tõlke kulud – välistõlge, 1 4 2 — Välistõlketeenused, 1 6 1 2 07 — Õppimine ja areng – infotehnoloogia ja küberturvalisuse peadirektoraadi väliskoolitused, 2 0 0 7 04 — Hoonete ehitus ja ruumide sisustamine – Euroopa Parlamendi bürood / Euroopa Elamuskeskused, 2 1 0 0 02 — IT-juhtimine ja küberturvalisus — IKT turvalisus, riskid ja nõuetele vastavus, 2 1 0 0 03 — IT-juhtimine ja küberturvalisus – eesliinitehnoloogia, 2 1 0 1 02 — Ärirakenduste haldamine — IT-lahenduste pakkumine, 2 1 0 1 13 –— Ärirakenduste haldamine – finantsküsimuste peadirektoraat, 2 1 0 2 03 — Taristu ja operatsioonide haldamine — telekommunikatsioon, 2 1 0 2 04 — Taristu ja operatsioonide haldamine — organisatsiooni taristu, 2 1 0 2 05 — Taristu ja operatsioonide haldamine — tarkvara — taristu, 2 1 0 2 07 — Taristu ja operatsioonide haldamine — trükkimine, 2 1 0 3 01 — Digitaalsed töökohateenused ja seadmed — individuaalsed IT-seadmed, 2 1 2 0 01 — Mööbel – mööbli hankimine, rentimine, uuendamine, korrashoid ja parandustööd, 2 1 6 0 01 — Parlamendiliikmete, muude isikute ja kaupade vedu – parlamendiliikmete vedu (sõidukite rentimine ja kasutamine), 3 0 0 0 02 — Töötajate kolme töökoha vahel lähetamise kulud – väljaspool kolme töökohta toimuvad lähetused, 3 0 0 0 03 — Töötajate kolme töökoha vahel lähetamise kulud – õppimine ja areng, 3 2 1 0 01 — Euroopa Parlamendi uuringuteenistuse, sh raamatukogu, ajalooarhiivide ning teaduslike ja tehnoloogiliste valikute hindamise (STOA) ja Euroopa teadusmeediakeskuse kulud – mõjuhinnang ja Euroopa lisaväärtus, 3 2 2 0 09 — Dokumentatsioonikulud – tellimused ja meediaseire, 3 2 4 2 01 — Väljaannete, teabe ja avalikel üritustel osalemise kulud – teavituskampaaniad, 3 2 4 3 01 — Euroopa Parlamendi külastajatekeskused – Parlamentarium ja Euroopa Elamuskeskused, 3 2 4 3 02 — Euroopa Parlamendi külastajatekeskused – Euroopa Ajaloo Maja, 101 — Ettenägematute kulude reserv;</w:t>
      </w:r>
    </w:p>
    <w:p w14:paraId="2F281A26" w14:textId="77777777" w:rsidR="00EE3CD7" w:rsidRPr="00605B8D" w:rsidRDefault="00EE3CD7" w:rsidP="00EE3CD7">
      <w:pPr>
        <w:widowControl/>
        <w:spacing w:after="240"/>
        <w:ind w:left="567"/>
        <w:rPr>
          <w:color w:val="000000"/>
        </w:rPr>
      </w:pPr>
      <w:r w:rsidRPr="00605B8D">
        <w:rPr>
          <w:color w:val="000000"/>
        </w:rPr>
        <w:lastRenderedPageBreak/>
        <w:t>lisaks otsustati juhatuse poolt 9. märtsil 2026 heaks kiidetud esialgse eelarvestuse projekti kulude summat 1 514 900 euro võrra suurendada, suurendades järgmistel eelarveridadel ette nähtud assigneeringuid:</w:t>
      </w:r>
    </w:p>
    <w:p w14:paraId="307FF0C2" w14:textId="370970C4" w:rsidR="00EE3CD7" w:rsidRPr="00605B8D" w:rsidRDefault="00EE3CD7" w:rsidP="00EE3CD7">
      <w:pPr>
        <w:widowControl/>
        <w:spacing w:after="240"/>
        <w:ind w:left="567"/>
        <w:rPr>
          <w:color w:val="000000"/>
        </w:rPr>
      </w:pPr>
      <w:r w:rsidRPr="00605B8D">
        <w:rPr>
          <w:color w:val="000000"/>
        </w:rPr>
        <w:t>4 0 3 — Euroopa tasandi sihtasutuste rahastamine ja artikkel 4 4 0 — Endiste parlamendiliikmete koosolekute ja muu tegevuse kulud;</w:t>
      </w:r>
    </w:p>
    <w:p w14:paraId="37440ADC" w14:textId="77777777" w:rsidR="00EE3CD7" w:rsidRPr="00605B8D" w:rsidRDefault="00EE3CD7" w:rsidP="00EE3CD7">
      <w:pPr>
        <w:widowControl/>
        <w:spacing w:after="240"/>
        <w:ind w:left="567" w:hanging="567"/>
        <w:rPr>
          <w:color w:val="000000"/>
        </w:rPr>
      </w:pPr>
      <w:r w:rsidRPr="00605B8D">
        <w:rPr>
          <w:color w:val="000000"/>
        </w:rPr>
        <w:t>3.</w:t>
      </w:r>
      <w:r w:rsidRPr="00605B8D">
        <w:rPr>
          <w:color w:val="000000"/>
        </w:rPr>
        <w:tab/>
        <w:t>tuletab meelde, et peaaegu kaks kolmandikku eelarvest on kindlaks määratud õigusjärgsete kohustustega; tuletab meelde, et komisjoni praeguste prognooside kohaselt tuleb kooskõlas personalieeskirjade ja Euroopa Parlamendi liikmete põhimäärusega indekseerida töötasusid 2026. aasta juulis 2,2 % ja 2027. aasta juulis 2,3 % määraga;</w:t>
      </w:r>
    </w:p>
    <w:p w14:paraId="48615F3B" w14:textId="77777777" w:rsidR="00EE3CD7" w:rsidRPr="00605B8D" w:rsidRDefault="00EE3CD7" w:rsidP="00EE3CD7">
      <w:pPr>
        <w:widowControl/>
        <w:spacing w:after="240"/>
        <w:ind w:left="567" w:hanging="567"/>
        <w:rPr>
          <w:color w:val="000000"/>
        </w:rPr>
      </w:pPr>
      <w:r w:rsidRPr="00605B8D">
        <w:rPr>
          <w:color w:val="000000"/>
        </w:rPr>
        <w:t>4.</w:t>
      </w:r>
      <w:r w:rsidRPr="00605B8D">
        <w:rPr>
          <w:color w:val="000000"/>
        </w:rPr>
        <w:tab/>
        <w:t>märgib, et 51,6 miljoni euro suurusest kasvust võrreldes 2026. aasta eelarvega on 32,6 miljonit eurot tingitud õigusjärgsetest rahalistest kohustustest, peamiselt ametnike ja ajutiste teenistujate töötasude ajakohastamisest (16,2 miljonit eurot) ja lepinguliste töötajate töötasude ajakohastamisest (1,7 miljonit eurot); peab kiiduväärseks, et alates 2027. aastast on igale Luksemburgis asuvale praktikandile ette nähtud erakorraline otsetoetus (kuni 500 eurot praktikakuu kohta), mille eesmärk on aidata kasvavate eluasemekuludega toime tulla; kutsub üles tagama, et noored saaksid praktikavõimalusi kasutada ka suureneva elukalliduse juures, olenemata sellest, kus töökoht asub; väljendab heameelt selle üle, et juhatus otsustas 2026. aastal üldkulude hüvitise indekseerimisest loobuda;</w:t>
      </w:r>
    </w:p>
    <w:p w14:paraId="5A8F34F2" w14:textId="0037E97F" w:rsidR="00EE3CD7" w:rsidRPr="00605B8D" w:rsidRDefault="00EE3CD7" w:rsidP="00EE3CD7">
      <w:pPr>
        <w:widowControl/>
        <w:spacing w:after="240"/>
        <w:ind w:left="567" w:hanging="567"/>
        <w:rPr>
          <w:b/>
          <w:i/>
          <w:color w:val="000000"/>
        </w:rPr>
      </w:pPr>
      <w:r w:rsidRPr="00605B8D">
        <w:rPr>
          <w:color w:val="000000"/>
        </w:rPr>
        <w:t>5.</w:t>
      </w:r>
      <w:r w:rsidRPr="00605B8D">
        <w:rPr>
          <w:b/>
          <w:i/>
          <w:color w:val="000000"/>
        </w:rPr>
        <w:tab/>
      </w:r>
      <w:r w:rsidRPr="00605B8D">
        <w:rPr>
          <w:color w:val="000000"/>
        </w:rPr>
        <w:t xml:space="preserve">võtab teadmiseks, et parlamendiliikmete assisteerimiskulude hüvitiseks ette nähtud summa eelarvestamisel võetakse aluseks varasemate aastate suundumused; rõhutab, et mingil juhul ei tohi juhtuda, et parlamendiliikmed ei saa hüvitist täissummas eeskirjakohaselt ära kasutada vaid seetõttu, et eelarverea summa on ära kasutatud; palub peasekretäril olukorda tähelepanelikult </w:t>
      </w:r>
      <w:r w:rsidR="00931EDD" w:rsidRPr="00605B8D">
        <w:rPr>
          <w:color w:val="000000"/>
        </w:rPr>
        <w:t>seirata</w:t>
      </w:r>
      <w:r w:rsidRPr="00605B8D">
        <w:rPr>
          <w:color w:val="000000"/>
        </w:rPr>
        <w:t>, teavitada eelarvekomisjoni eelarverea summade kasutamisest ja võtta asjakohaseid meetmeid, kui on oht, et rahalised vahendid ei ole piisavad;</w:t>
      </w:r>
    </w:p>
    <w:p w14:paraId="42EF11F0" w14:textId="7C055BE3" w:rsidR="00EE3CD7" w:rsidRPr="00605B8D" w:rsidRDefault="00EE3CD7" w:rsidP="00EE3CD7">
      <w:pPr>
        <w:widowControl/>
        <w:spacing w:after="240"/>
        <w:ind w:left="567" w:hanging="567"/>
        <w:rPr>
          <w:color w:val="000000"/>
        </w:rPr>
      </w:pPr>
      <w:r w:rsidRPr="00605B8D">
        <w:rPr>
          <w:color w:val="000000"/>
        </w:rPr>
        <w:t>6.</w:t>
      </w:r>
      <w:r w:rsidRPr="00605B8D">
        <w:rPr>
          <w:color w:val="000000"/>
        </w:rPr>
        <w:tab/>
        <w:t>märgib, et 2027. aasta on neljas järjestikune aasta, milleks Euroopa Parlament ametikohti juurde ei taotle;</w:t>
      </w:r>
    </w:p>
    <w:p w14:paraId="688FFED9" w14:textId="4D4A3DEC" w:rsidR="00EE3CD7" w:rsidRPr="00605B8D" w:rsidRDefault="00EE3CD7" w:rsidP="00EE3CD7">
      <w:pPr>
        <w:widowControl/>
        <w:spacing w:after="240"/>
        <w:ind w:left="567" w:hanging="567"/>
        <w:rPr>
          <w:color w:val="000000"/>
        </w:rPr>
      </w:pPr>
      <w:r w:rsidRPr="00605B8D">
        <w:rPr>
          <w:color w:val="000000"/>
        </w:rPr>
        <w:t>7.</w:t>
      </w:r>
      <w:r w:rsidRPr="00605B8D">
        <w:rPr>
          <w:color w:val="000000"/>
        </w:rPr>
        <w:tab/>
        <w:t>märgib, et mittekohustuslikud kulud suurenevad 2027. aastal 2026. aastaga võrreldes 2 %;</w:t>
      </w:r>
    </w:p>
    <w:p w14:paraId="7730C2CA" w14:textId="77777777" w:rsidR="00EE3CD7" w:rsidRPr="00605B8D" w:rsidRDefault="00EE3CD7" w:rsidP="00EE3CD7">
      <w:pPr>
        <w:widowControl/>
        <w:spacing w:after="240"/>
        <w:ind w:left="567" w:hanging="567"/>
      </w:pPr>
      <w:r w:rsidRPr="00605B8D">
        <w:rPr>
          <w:color w:val="000000"/>
        </w:rPr>
        <w:t>8.</w:t>
      </w:r>
      <w:r w:rsidRPr="00605B8D">
        <w:rPr>
          <w:color w:val="000000"/>
        </w:rPr>
        <w:tab/>
        <w:t>väljendab heameelt peasekretäri käimasoleva töö üle kooskõlas president Metsola 16. juunil 2025 kavandatud reformidega halduskoostöö, planeerimise ja lihtsustamise valdkonnas, mille eesmärk on suurendada tõhusust, kasutada ressursse tõhusalt ja saavutada võimaluse korral kokkuhoid; nõuab tugevamaid aruandlusmehhanisme, et suurendada läbipaistvust ja vastutust; palub peasekretäril anda eelarvekomisjonile korrapäraselt ajakohastatud teavet halduskorra lihtsustamise tegevuskava rakendamise ning selle mõju kohta eelarvele ja personalile;</w:t>
      </w:r>
    </w:p>
    <w:p w14:paraId="24ADB82B" w14:textId="74A320DA" w:rsidR="00EE3CD7" w:rsidRPr="00605B8D" w:rsidRDefault="00EE3CD7" w:rsidP="00EE3CD7">
      <w:pPr>
        <w:pStyle w:val="action0"/>
        <w:ind w:left="0" w:firstLine="0"/>
        <w:rPr>
          <w:b/>
          <w:i/>
        </w:rPr>
      </w:pPr>
      <w:r w:rsidRPr="00605B8D">
        <w:rPr>
          <w:b/>
          <w:i/>
        </w:rPr>
        <w:t xml:space="preserve">Keskendumine </w:t>
      </w:r>
      <w:r w:rsidR="00931EDD" w:rsidRPr="00605B8D">
        <w:rPr>
          <w:b/>
          <w:i/>
        </w:rPr>
        <w:t>Euroopa P</w:t>
      </w:r>
      <w:r w:rsidRPr="00605B8D">
        <w:rPr>
          <w:b/>
          <w:i/>
        </w:rPr>
        <w:t>arlamendi põhiülesannetele</w:t>
      </w:r>
    </w:p>
    <w:p w14:paraId="377F1BF8" w14:textId="77777777" w:rsidR="00EE3CD7" w:rsidRPr="00605B8D" w:rsidRDefault="00EE3CD7" w:rsidP="00EE3CD7">
      <w:pPr>
        <w:widowControl/>
        <w:spacing w:after="240"/>
        <w:ind w:left="567" w:hanging="567"/>
        <w:rPr>
          <w:color w:val="000000"/>
        </w:rPr>
      </w:pPr>
      <w:r w:rsidRPr="00605B8D">
        <w:t>9.</w:t>
      </w:r>
      <w:r w:rsidRPr="00605B8D">
        <w:tab/>
        <w:t>võtab teadmiseks neli uut temaatilist peadirektoraati, mis tegutsevad alates 2025. aasta jaanuarist ning vastutavad õigusloome-, eelarve- ja kontrollitegevuse eest, et tõhustada Euroopa Parlamendi toimimist kaasseadusandja, ühe eelarvepädeva institutsiooni ja eelarve täitmisele heakskiidu andmise eest vastutava institutsioonina;</w:t>
      </w:r>
    </w:p>
    <w:p w14:paraId="2260C479" w14:textId="3130507E" w:rsidR="00EE3CD7" w:rsidRPr="00605B8D" w:rsidRDefault="00EE3CD7" w:rsidP="00EE3CD7">
      <w:pPr>
        <w:widowControl/>
        <w:spacing w:after="240"/>
        <w:ind w:left="567" w:hanging="567"/>
      </w:pPr>
      <w:r w:rsidRPr="00605B8D">
        <w:lastRenderedPageBreak/>
        <w:t>10.</w:t>
      </w:r>
      <w:r w:rsidRPr="00605B8D">
        <w:tab/>
        <w:t xml:space="preserve">võtab teadmiseks siseressursside ümberpaigutamise seoses eraldatud ametikohtade arvuga (+15 % aastatel 2024–2026), koosseisuväliste töötajate eelarvega (eelarvepunkt 1400, 3,2 miljonilt eurolt 2024. aastal 8 miljonile eurole 2027. aastal) ja välisekspertide eelarvega (eelarvepunkt 3200, 3,2 miljonilt eurolt 2024. aastal 7,7 miljonile eurole 2027. aastal), et pakkuda parlamendiliikmetele rohkem eksperditeadmisi; rõhutab vajadust tagada, et need suurendamised oleksid jätkuvalt põhjendatud, proportsionaalsed ja annaksid selget lisaväärtust; palub peasekretäril anda asjaomase nelja peadirektoraadi ressursside muutuste ja kasutamise kohta eelarvekomisjonile korrapäraselt ajakohastatud teavet; toonitab, et tuleb tagada oluline eesmärk suurendada Euroopa Parlamendi suutlikkust toetada parlamendiliikmete tööd; rõhutab samuti fraktsioonide olulist rolli </w:t>
      </w:r>
      <w:bookmarkStart w:id="8" w:name="_Hlk227243597"/>
      <w:r w:rsidRPr="00605B8D">
        <w:t xml:space="preserve">eksperditeadmiste ja poliitilise toe pakkumisel </w:t>
      </w:r>
      <w:bookmarkEnd w:id="8"/>
      <w:r w:rsidRPr="00605B8D">
        <w:t>parlamendiliikmetele nende õigusloomealases ja parlamentaarses töös;</w:t>
      </w:r>
    </w:p>
    <w:p w14:paraId="0D4C14D5" w14:textId="6264528D" w:rsidR="00B64002" w:rsidRPr="00605B8D" w:rsidRDefault="00A87308" w:rsidP="00EE3CD7">
      <w:pPr>
        <w:widowControl/>
        <w:spacing w:after="240"/>
        <w:ind w:left="567" w:hanging="567"/>
      </w:pPr>
      <w:r w:rsidRPr="00605B8D">
        <w:t>11.</w:t>
      </w:r>
      <w:r w:rsidR="00B64002" w:rsidRPr="00605B8D">
        <w:tab/>
        <w:t xml:space="preserve">tuletab meelde, et kohustus kaitsta liidu finantshuve kehtib võrdselt kõigile liidu rahaliste vahendite saajatele, sealhulgas Euroopa Parlamendis tegutsevatele fraktsioonidele; märgib, et uurimised ja sissenõudmismeetmed, mis puudutavad liidu vahendite oletatavat väärkasutamist endise fraktsiooni Identiteet ja Demokraatia poolt, mis tänaseks on ümber kujundatud Euroopa Patriootide fraktsiooniks, rõhutavad tugeva sisekontrolli, toimiva järelkontrolli ja kiirete sissenõudmismehhanismide tähtsust Euroopa Parlamendi administratsioonis; kutsub Euroopa Parlamendi administratsiooni üles viima kõik pooleliolevad sissenõudmismenetlused viivitamata lõpule ning edastama kõik tõendid põhjendamatute kulutuste kohta </w:t>
      </w:r>
      <w:proofErr w:type="spellStart"/>
      <w:r w:rsidR="00B64002" w:rsidRPr="00605B8D">
        <w:t>OLAFile</w:t>
      </w:r>
      <w:proofErr w:type="spellEnd"/>
      <w:r w:rsidR="00B64002" w:rsidRPr="00605B8D">
        <w:t xml:space="preserve"> ja EPPO-</w:t>
      </w:r>
      <w:proofErr w:type="spellStart"/>
      <w:r w:rsidR="00B64002" w:rsidRPr="00605B8D">
        <w:t>le</w:t>
      </w:r>
      <w:proofErr w:type="spellEnd"/>
      <w:r w:rsidR="00B64002" w:rsidRPr="00605B8D">
        <w:t xml:space="preserve">; rõhutab, et ELi </w:t>
      </w:r>
      <w:proofErr w:type="spellStart"/>
      <w:r w:rsidR="00B64002" w:rsidRPr="00605B8D">
        <w:t>pettustevastase</w:t>
      </w:r>
      <w:proofErr w:type="spellEnd"/>
      <w:r w:rsidR="00B64002" w:rsidRPr="00605B8D">
        <w:t xml:space="preserve"> võitluse struktuuri usaldusväärsus sõltub selle järjepidevast kohaldamisest kõigi toetusesaajate, sealhulgas Euroopa Parlamendi sees toetusesaajate suhtes;</w:t>
      </w:r>
    </w:p>
    <w:p w14:paraId="755E2574" w14:textId="258CD102" w:rsidR="00EE3CD7" w:rsidRPr="00605B8D" w:rsidRDefault="00EE3CD7" w:rsidP="00EE3CD7">
      <w:pPr>
        <w:spacing w:after="240"/>
        <w:rPr>
          <w:b/>
          <w:i/>
          <w:color w:val="000000"/>
        </w:rPr>
      </w:pPr>
      <w:r w:rsidRPr="00605B8D">
        <w:rPr>
          <w:b/>
          <w:i/>
          <w:color w:val="000000"/>
        </w:rPr>
        <w:t>Digiüleminek</w:t>
      </w:r>
    </w:p>
    <w:p w14:paraId="37CFC8A1" w14:textId="263B0E66" w:rsidR="00EE3CD7" w:rsidRPr="00605B8D" w:rsidRDefault="00A87308" w:rsidP="00EE3CD7">
      <w:pPr>
        <w:pStyle w:val="action0"/>
        <w:ind w:left="567" w:hanging="567"/>
      </w:pPr>
      <w:r w:rsidRPr="00605B8D">
        <w:t>12</w:t>
      </w:r>
      <w:r w:rsidR="00EE3CD7" w:rsidRPr="00605B8D">
        <w:t>.</w:t>
      </w:r>
      <w:r w:rsidR="00EE3CD7" w:rsidRPr="00605B8D">
        <w:tab/>
      </w:r>
      <w:r w:rsidR="00EE3CD7" w:rsidRPr="00605B8D">
        <w:rPr>
          <w:color w:val="000000"/>
        </w:rPr>
        <w:t>märgib, et IT-eelarve tervikuna moodustab 2027. aasta eelarvestuses 7,6 % kogueelarvest ja on 202,4 miljonit eurot; rõhutab usaldusväärse küberturvalisuse taristu tähtsust geopoliitiliselt rahutul ajal; tuletab meelde, et küberturvalisuse valdkonna finantsassigneeringuid kavatsetakse järk-järgult suurendada 10 %</w:t>
      </w:r>
      <w:r w:rsidR="007046E8" w:rsidRPr="00605B8D">
        <w:rPr>
          <w:color w:val="000000"/>
        </w:rPr>
        <w:t>-</w:t>
      </w:r>
      <w:r w:rsidR="00EE3CD7" w:rsidRPr="00605B8D">
        <w:rPr>
          <w:color w:val="000000"/>
        </w:rPr>
        <w:t>ni Euroopa Parlamendi IKT-eelarvest;</w:t>
      </w:r>
      <w:r w:rsidR="00EE3CD7" w:rsidRPr="00605B8D">
        <w:t xml:space="preserve"> märgib, et selline kavandatud suurendamine tuleks ellu viia võimalikult kiiresti;</w:t>
      </w:r>
    </w:p>
    <w:p w14:paraId="39509B23" w14:textId="42A41C45" w:rsidR="00EE3CD7" w:rsidRPr="00605B8D" w:rsidRDefault="00A87308" w:rsidP="00EE3CD7">
      <w:pPr>
        <w:pStyle w:val="action0"/>
        <w:ind w:left="567" w:hanging="567"/>
      </w:pPr>
      <w:r w:rsidRPr="00605B8D">
        <w:t>13</w:t>
      </w:r>
      <w:r w:rsidR="00EE3CD7" w:rsidRPr="00605B8D">
        <w:t>.</w:t>
      </w:r>
      <w:r w:rsidR="00EE3CD7" w:rsidRPr="00605B8D">
        <w:tab/>
        <w:t>toonitab, et Euroopa Parlamendi küberturvalisus on geopoliitilise ebakindluse ajal keskse tähtsusega prioriteet; märgib, et küberturvalisuse jaoks eraldatud kogusumma on 16,9 miljonit eurot, mis hõlmab küberturvalisuse tsentraliseeritud eelarverea 54 % suurendamist võrreldes 2026. aastaga; tuletab meelde, et investeeringud küberturvalisusesse on Euroopa Parlamendi ja liidu demokraatlike seisukohtade kaitsmisel ning Euroopa Parlamendi nõuetekohase toimimise tagamisel keskse tähtsusega;</w:t>
      </w:r>
    </w:p>
    <w:p w14:paraId="645C4E9A" w14:textId="458F4771" w:rsidR="00EE3CD7" w:rsidRPr="00605B8D" w:rsidRDefault="00A87308" w:rsidP="00EE3CD7">
      <w:pPr>
        <w:pStyle w:val="action0"/>
        <w:ind w:left="567" w:hanging="567"/>
      </w:pPr>
      <w:r w:rsidRPr="00605B8D">
        <w:t>14</w:t>
      </w:r>
      <w:r w:rsidR="00EE3CD7" w:rsidRPr="00605B8D">
        <w:t>.</w:t>
      </w:r>
      <w:r w:rsidR="00EE3CD7" w:rsidRPr="00605B8D">
        <w:tab/>
        <w:t xml:space="preserve">rõhutab, et Euroopa Parlament peab olema digitaalsemate töömeetodite kasutuselevõtul esirinnas; tunneb heameelt tehisintellektiga seotud investeeringute üle, mille maht on üks miljon eurot; nõuab tehisintellekti suuremat kasutamist, et parandada tõhusust ja tugevdada suveräänsust selles valdkonnas, võttes samal ajal arvesse seonduvaid riske, sealhulgas eetikat ja andmekaitset; rõhutab, et tehisintellekti kasutuselevõtul tuleb innovatsiooni tasakaalustada vajalike kaitsemeetmetega; rõhutab tehisintellekti potentsiaali haldusprotsesside ühtlustamisel; innustab töötama välja selgeid suuniseid ja kaitsemeetmeid, mille abil tagada tehisintellekti vastutustundlik ja läbipaistev rakendamine, edendades innovatsiooni, kaitstes samal ajal põhiõigusi, julgeolekut ja </w:t>
      </w:r>
      <w:r w:rsidR="00EE3CD7" w:rsidRPr="00605B8D">
        <w:lastRenderedPageBreak/>
        <w:t xml:space="preserve">vastutuse võtmist; märgib, et tehisintellekti arendamist </w:t>
      </w:r>
      <w:r w:rsidR="00931EDD" w:rsidRPr="00605B8D">
        <w:t xml:space="preserve">seiratakse </w:t>
      </w:r>
      <w:r w:rsidR="00EE3CD7" w:rsidRPr="00605B8D">
        <w:t>tähelepanelikult kooskõlas juhatuse kehtestatud põhimõtetega; rõhutab, et tehisintellektiga seotud investeeringud ei peaks keskenduma mitte ainult haldustõhususele, vaid ka demokraatliku läbipaistvuse ja kodanike kaasatuse suurendamisele;</w:t>
      </w:r>
    </w:p>
    <w:p w14:paraId="722FF3C6" w14:textId="09F2AAB6" w:rsidR="00EE3CD7" w:rsidRPr="00605B8D" w:rsidRDefault="00A87308" w:rsidP="00D808AF">
      <w:pPr>
        <w:pStyle w:val="action0"/>
        <w:ind w:left="567" w:hanging="567"/>
        <w:rPr>
          <w:b/>
          <w:i/>
        </w:rPr>
      </w:pPr>
      <w:r w:rsidRPr="00605B8D">
        <w:t>15</w:t>
      </w:r>
      <w:r w:rsidR="00EE3CD7" w:rsidRPr="00605B8D">
        <w:t>.</w:t>
      </w:r>
      <w:r w:rsidR="00EE3CD7" w:rsidRPr="00605B8D">
        <w:tab/>
        <w:t xml:space="preserve">rõhutab, et arvestades geopoliitilist konteksti ja investeeringuid, mida Euroopa Liit peab oma strateegilise autonoomia tagamiseks tegema, peab Euroopa Parlament näitama eeskuju; võtab teadmiseks ettevalmistused konsolideeritud tegevuskava koostamiseks, mille eesmärk on tugevdada Euroopa Parlamendi seisukohta digisuveräänsuse küsimuses; jääb ootama korrapäraselt ajakohastatud teavet tehtud edusammude kohta; rõhutab, kui oluline on tagada Euroopa Parlamendi digitaristus küberturvalisuse, andmekaitse ja </w:t>
      </w:r>
      <w:r w:rsidR="00EE3CD7" w:rsidRPr="00D808AF">
        <w:rPr>
          <w:color w:val="000000"/>
        </w:rPr>
        <w:t>vastupidavuse</w:t>
      </w:r>
      <w:r w:rsidR="00EE3CD7" w:rsidRPr="00605B8D">
        <w:t xml:space="preserve"> kõrge tase; rõhutab vajadust hinnata hoolikalt riske, mis on seotud sõltuvusega Euroopa-välistest teenuseosutajatest, sealhulgas riskihindamiste kaudu; rõhutab, kui oluline on säilitada turvalised, konkurentsivõimelised ja usaldusväärsed lahendused, sealhulgas seades võimaluse korral esikohale Euroopa teenuseosutajad; nõuab Euroopa Parlamendi sidekanalite ja digivahendite korrapärast hindamist turvalisuse ja ELi õiguse järgimise alusel kooskõlastatult teiste ELi institutsioonidega, et tagada Euroopa Parlamendi andmete kaitse ja usaldusväärne teabevahetus;</w:t>
      </w:r>
    </w:p>
    <w:p w14:paraId="34A7DDDA" w14:textId="77777777" w:rsidR="00EE3CD7" w:rsidRPr="00605B8D" w:rsidRDefault="00EE3CD7" w:rsidP="00EE3CD7">
      <w:pPr>
        <w:pStyle w:val="action0"/>
        <w:ind w:left="0" w:firstLine="0"/>
        <w:rPr>
          <w:b/>
          <w:i/>
        </w:rPr>
      </w:pPr>
      <w:r w:rsidRPr="00605B8D">
        <w:rPr>
          <w:b/>
          <w:i/>
        </w:rPr>
        <w:t>Taristu</w:t>
      </w:r>
    </w:p>
    <w:p w14:paraId="26F6D5D4" w14:textId="3E6985B3" w:rsidR="00EE3CD7" w:rsidRPr="00605B8D" w:rsidRDefault="00A87308" w:rsidP="00EE3CD7">
      <w:pPr>
        <w:pStyle w:val="action0"/>
        <w:ind w:left="567" w:hanging="567"/>
        <w:rPr>
          <w:color w:val="000000"/>
        </w:rPr>
      </w:pPr>
      <w:r w:rsidRPr="00605B8D">
        <w:rPr>
          <w:color w:val="000000"/>
        </w:rPr>
        <w:t>16</w:t>
      </w:r>
      <w:r w:rsidR="00EE3CD7" w:rsidRPr="00605B8D">
        <w:rPr>
          <w:color w:val="000000"/>
        </w:rPr>
        <w:t>.</w:t>
      </w:r>
      <w:r w:rsidR="00EE3CD7" w:rsidRPr="00605B8D">
        <w:rPr>
          <w:color w:val="000000"/>
        </w:rPr>
        <w:tab/>
        <w:t>võtab teadmiseks hoonetega seotud uue käsitluse, mille puhul mindi uute hoonete omandamise asemel üle konsolideerimise etappi, võttes arvesse kestlikkust, juurdepääsetavust ning parlamendiliikmete, töötajate ja külastajate liikuvust;</w:t>
      </w:r>
    </w:p>
    <w:p w14:paraId="6675F37D" w14:textId="7E18EB9A" w:rsidR="00EE3CD7" w:rsidRPr="00605B8D" w:rsidRDefault="00A87308" w:rsidP="00EE3CD7">
      <w:pPr>
        <w:pStyle w:val="action0"/>
        <w:ind w:left="567" w:hanging="567"/>
        <w:rPr>
          <w:color w:val="000000"/>
        </w:rPr>
      </w:pPr>
      <w:r w:rsidRPr="00605B8D">
        <w:rPr>
          <w:color w:val="000000"/>
        </w:rPr>
        <w:t>17</w:t>
      </w:r>
      <w:r w:rsidR="00EE3CD7" w:rsidRPr="00605B8D">
        <w:rPr>
          <w:color w:val="000000"/>
        </w:rPr>
        <w:t>.</w:t>
      </w:r>
      <w:r w:rsidR="00EE3CD7" w:rsidRPr="00605B8D">
        <w:rPr>
          <w:color w:val="000000"/>
        </w:rPr>
        <w:tab/>
        <w:t xml:space="preserve">võtab teadmiseks, et SPAAKi hoone renoveerimine algab 2027. aastal; võtab teadmiseks, et renoveerimise kogueelarve on 455 miljonit eurot ja 2027. aastaks on ette nähtud 77,67 miljonit eurot; rõhutab, et need kulud ei ole 2027. aasta eelarvesse kantud; </w:t>
      </w:r>
      <w:bookmarkStart w:id="9" w:name="_Hlk227680019"/>
      <w:r w:rsidR="00EE3CD7" w:rsidRPr="00605B8D">
        <w:rPr>
          <w:color w:val="000000"/>
        </w:rPr>
        <w:t>rõhutab vajadust tagada range kulude kontroll, läbipaistvus ja kavandatud eelarve järgimine;</w:t>
      </w:r>
      <w:bookmarkEnd w:id="9"/>
    </w:p>
    <w:p w14:paraId="560AFB91" w14:textId="30A1028A" w:rsidR="00EE3CD7" w:rsidRPr="00605B8D" w:rsidRDefault="00A87308" w:rsidP="00EE3CD7">
      <w:pPr>
        <w:pStyle w:val="action0"/>
        <w:ind w:left="567" w:hanging="567"/>
        <w:rPr>
          <w:color w:val="000000"/>
        </w:rPr>
      </w:pPr>
      <w:r w:rsidRPr="00605B8D">
        <w:rPr>
          <w:color w:val="000000"/>
        </w:rPr>
        <w:t>18</w:t>
      </w:r>
      <w:r w:rsidR="00EE3CD7" w:rsidRPr="00605B8D">
        <w:rPr>
          <w:color w:val="000000"/>
        </w:rPr>
        <w:t>.</w:t>
      </w:r>
      <w:r w:rsidR="00EE3CD7" w:rsidRPr="00605B8D">
        <w:rPr>
          <w:color w:val="000000"/>
        </w:rPr>
        <w:tab/>
        <w:t>võtab teadmiseks, et Euroopa Parlament kavatseb SPAAKi hoone renoveerimisprojekti rahastamiseks sõlmida laenulepingud, sealhulgas Euroopa Investeerimispangaga; võtab teadmiseks, et 2027. aasta eelarvesse on kantud intressikulud (3,17 miljonit eurot) ja kapitali tagasimaksmisega seotud kulud (0,65 miljonit eurot); nõuab tungivalt, et asjakohasel juhul tuleks kulud, mis ei ole otseselt seotud renoveerimistöödega, samuti selgelt loetleda ja eelarvesse kanda; palub administratsioonil hoida eelarvekomisjoni tihedalt kursis laenude suhtes kohaldatavate intressimääradega ja põhisumma tagasimaksmise pikaajalise planeerimisega; rõhutab vajadust tagada usaldusväärne võlahaldus;</w:t>
      </w:r>
    </w:p>
    <w:p w14:paraId="7E61DEDC" w14:textId="2BEB32D6" w:rsidR="00EE3CD7" w:rsidRPr="00605B8D" w:rsidRDefault="00A87308" w:rsidP="00EE3CD7">
      <w:pPr>
        <w:pStyle w:val="action0"/>
        <w:ind w:left="567" w:hanging="567"/>
        <w:rPr>
          <w:b/>
          <w:bCs/>
          <w:i/>
          <w:iCs/>
          <w:color w:val="000000"/>
        </w:rPr>
      </w:pPr>
      <w:r w:rsidRPr="00605B8D">
        <w:rPr>
          <w:color w:val="000000"/>
        </w:rPr>
        <w:t>19</w:t>
      </w:r>
      <w:r w:rsidR="00EE3CD7" w:rsidRPr="00605B8D">
        <w:rPr>
          <w:color w:val="000000"/>
        </w:rPr>
        <w:t>.</w:t>
      </w:r>
      <w:r w:rsidR="00EE3CD7" w:rsidRPr="00605B8D">
        <w:rPr>
          <w:color w:val="000000"/>
        </w:rPr>
        <w:tab/>
        <w:t xml:space="preserve">peab kahetsusväärseks, et kõigisse liikmesriikidesse Euroopa Elamuskeskuste loomisel esineb viivitusi; tunneb heameelt uue kontseptsiooni üle, mille juhatus 31. märtsil 2025 heaks kiitis ja mille eesmärk on optimeerida Euroopa Elamuskeskuste ruumide kasutamist, võttes arvesse liikmesriikide erinevat olukorda; rõhutab, kui oluline on tagada, et Euroopa Elamuskeskus pakuks kodanike ligimeelitamiseks kaasahaaravat külastuskogemust; nõuab Euroopa Elamuskeskuste loomist nii, et esmatähtsale kohale seataks kolmest töökohast kõige kaugemal asuvad liikmesriigid, tagades samal ajal, et nende keskuste arendamine ja toimimine on endiselt kulutõhus; tuletab meelde, et Euroopa Elamuskeskuste abil peaksid kõik kodanikud saama liidu institutsioonide toimimisest ja meie ühistest väärtustest parema ülevaate; rõhutab vajadust kasutada </w:t>
      </w:r>
      <w:r w:rsidR="00EE3CD7" w:rsidRPr="00605B8D">
        <w:rPr>
          <w:color w:val="000000"/>
        </w:rPr>
        <w:lastRenderedPageBreak/>
        <w:t xml:space="preserve">nendele keskustele eraldatud eelarveassigneeringuid tõhusalt tagamaks, et nende kommunikatsioonil oleks suur mõju ning nende tegevus ulatuks eelkõige noorteni ja </w:t>
      </w:r>
      <w:r w:rsidR="007046E8" w:rsidRPr="00605B8D">
        <w:rPr>
          <w:color w:val="000000"/>
        </w:rPr>
        <w:t>vähekaitstud</w:t>
      </w:r>
      <w:r w:rsidR="00EE3CD7" w:rsidRPr="00605B8D">
        <w:rPr>
          <w:color w:val="000000"/>
        </w:rPr>
        <w:t xml:space="preserve"> rühmadeni; toonitab, et rahastamisel tuleks seada prioriteediks ELi poliitika kohaliku mõju kohta faktilise ja ligipääsetava teabe levitamine, mis on kulutõhus vahend liidu demokraatliku terviklikkuse kaitsmiseks desinformatsiooni eest;</w:t>
      </w:r>
    </w:p>
    <w:p w14:paraId="0BAFA16D" w14:textId="790A1940" w:rsidR="00EE3CD7" w:rsidRPr="00605B8D" w:rsidRDefault="00A87308" w:rsidP="00EE3CD7">
      <w:pPr>
        <w:pStyle w:val="action0"/>
        <w:ind w:left="567" w:hanging="567"/>
        <w:rPr>
          <w:bCs/>
          <w:iCs/>
          <w:color w:val="000000"/>
        </w:rPr>
      </w:pPr>
      <w:r w:rsidRPr="00605B8D">
        <w:rPr>
          <w:color w:val="000000"/>
        </w:rPr>
        <w:t>20</w:t>
      </w:r>
      <w:r w:rsidR="00EE3CD7" w:rsidRPr="00605B8D">
        <w:rPr>
          <w:color w:val="000000"/>
        </w:rPr>
        <w:t>.</w:t>
      </w:r>
      <w:r w:rsidR="00EE3CD7" w:rsidRPr="00605B8D">
        <w:rPr>
          <w:color w:val="000000"/>
        </w:rPr>
        <w:tab/>
        <w:t>tuletab meelde, kui oluline on Euroopa Parlamendi partnerkooli programm noorte eurooplaste aktiivse osalemise edendamiseks ja David Sassoli auks loodud temanimeline noortele ajakirjanikele suunatud koolitusprogramm selleks, et parandada ajakirjanike seas arusaamist liidust ja selle toimimisest, mis on parim desinformatsiooni vastu võitlemise vahend, võttes arvesse hiljutisi suundumusi, mis näitavad meediavabaduse ja -sõltumatuse murettekitavat vähenemist kogu liidus;</w:t>
      </w:r>
    </w:p>
    <w:p w14:paraId="6BD07DAE" w14:textId="1377A078" w:rsidR="00EE3CD7" w:rsidRPr="00605B8D" w:rsidRDefault="00A87308" w:rsidP="00EE3CD7">
      <w:pPr>
        <w:pStyle w:val="action0"/>
        <w:ind w:left="567" w:hanging="567"/>
        <w:rPr>
          <w:bCs/>
          <w:iCs/>
          <w:color w:val="000000"/>
        </w:rPr>
      </w:pPr>
      <w:r w:rsidRPr="00605B8D">
        <w:rPr>
          <w:color w:val="000000"/>
        </w:rPr>
        <w:t>21</w:t>
      </w:r>
      <w:r w:rsidR="00EE3CD7" w:rsidRPr="00605B8D">
        <w:rPr>
          <w:color w:val="000000"/>
        </w:rPr>
        <w:t>.</w:t>
      </w:r>
      <w:r w:rsidR="00EE3CD7" w:rsidRPr="00605B8D">
        <w:rPr>
          <w:color w:val="000000"/>
        </w:rPr>
        <w:tab/>
        <w:t>kordab oma toetust 20. sajandi totalitaarsete režiimide ohvritele pühendatud üleeuroopalise mälestusmärgi rajamisele Brüsselis; mälestusmärk kajastaks ajalooliste kogemuste mitmekesisust; kutsub juhatust üles seda küsimust kaaluma, et võtta vastu sellekohane otsus, võttes igakülgselt arvesse praeguse mitmeaastase finantsraamistiku viimaste aastate eelarvepiiranguid ja Euroopa kodanike ees seisvaid majanduslikke raskusi;</w:t>
      </w:r>
    </w:p>
    <w:p w14:paraId="3872670F" w14:textId="7BA94950" w:rsidR="00EE3CD7" w:rsidRPr="00605B8D" w:rsidRDefault="00A87308" w:rsidP="00EE3CD7">
      <w:pPr>
        <w:pStyle w:val="action0"/>
        <w:ind w:left="567" w:hanging="567"/>
        <w:rPr>
          <w:bCs/>
          <w:iCs/>
          <w:color w:val="000000"/>
        </w:rPr>
      </w:pPr>
      <w:r w:rsidRPr="00605B8D">
        <w:rPr>
          <w:color w:val="000000"/>
        </w:rPr>
        <w:t>22</w:t>
      </w:r>
      <w:r w:rsidR="00EE3CD7" w:rsidRPr="00605B8D">
        <w:rPr>
          <w:color w:val="000000"/>
        </w:rPr>
        <w:t>.</w:t>
      </w:r>
      <w:r w:rsidR="00EE3CD7" w:rsidRPr="00605B8D">
        <w:rPr>
          <w:color w:val="000000"/>
        </w:rPr>
        <w:tab/>
        <w:t>rõhutab asjaolu, et kui Euroopa Parlamendil oleks üks asukoht, vähendaks see finants- ja keskkonnakulusid; tuletab meelde, et E</w:t>
      </w:r>
      <w:r w:rsidR="007046E8" w:rsidRPr="00605B8D">
        <w:rPr>
          <w:color w:val="000000"/>
        </w:rPr>
        <w:t xml:space="preserve">uroopa </w:t>
      </w:r>
      <w:r w:rsidR="00EE3CD7" w:rsidRPr="00605B8D">
        <w:rPr>
          <w:color w:val="000000"/>
        </w:rPr>
        <w:t>L</w:t>
      </w:r>
      <w:r w:rsidR="007046E8" w:rsidRPr="00605B8D">
        <w:rPr>
          <w:color w:val="000000"/>
        </w:rPr>
        <w:t>iidu</w:t>
      </w:r>
      <w:r w:rsidR="00EE3CD7" w:rsidRPr="00605B8D">
        <w:rPr>
          <w:color w:val="000000"/>
        </w:rPr>
        <w:t xml:space="preserve"> lepingu kohaselt peab Euroopa Parlamendi asukoht olema Strasbourgis; märgib, et püsivate muudatuste tegemine nõuaks aluslepingu muutmist, mille jaoks on tarvis ühehäälset otsust;</w:t>
      </w:r>
    </w:p>
    <w:p w14:paraId="17E88531" w14:textId="286E8377" w:rsidR="00EE3CD7" w:rsidRPr="00605B8D" w:rsidRDefault="00EE3CD7" w:rsidP="00EE3CD7">
      <w:pPr>
        <w:pStyle w:val="action0"/>
        <w:ind w:left="0" w:firstLine="0"/>
        <w:rPr>
          <w:b/>
          <w:i/>
          <w:color w:val="000000"/>
        </w:rPr>
      </w:pPr>
      <w:r w:rsidRPr="00605B8D">
        <w:rPr>
          <w:b/>
          <w:i/>
          <w:color w:val="000000"/>
        </w:rPr>
        <w:t xml:space="preserve">Keskkonnahoidlik </w:t>
      </w:r>
      <w:r w:rsidR="00931EDD" w:rsidRPr="00605B8D">
        <w:rPr>
          <w:b/>
          <w:i/>
          <w:color w:val="000000"/>
        </w:rPr>
        <w:t>Euroopa P</w:t>
      </w:r>
      <w:r w:rsidRPr="00605B8D">
        <w:rPr>
          <w:b/>
          <w:i/>
          <w:color w:val="000000"/>
        </w:rPr>
        <w:t xml:space="preserve">arlament </w:t>
      </w:r>
    </w:p>
    <w:p w14:paraId="4E4A5B01" w14:textId="32B63A62" w:rsidR="00EE3CD7" w:rsidRPr="00605B8D" w:rsidRDefault="00A87308" w:rsidP="00EE3CD7">
      <w:pPr>
        <w:widowControl/>
        <w:spacing w:after="240"/>
        <w:ind w:left="567" w:hanging="567"/>
        <w:rPr>
          <w:color w:val="000000"/>
        </w:rPr>
      </w:pPr>
      <w:r w:rsidRPr="00605B8D">
        <w:rPr>
          <w:color w:val="000000"/>
        </w:rPr>
        <w:t>23</w:t>
      </w:r>
      <w:r w:rsidR="00EE3CD7" w:rsidRPr="00605B8D">
        <w:rPr>
          <w:color w:val="000000"/>
        </w:rPr>
        <w:t>.</w:t>
      </w:r>
      <w:r w:rsidR="00EE3CD7" w:rsidRPr="00605B8D">
        <w:rPr>
          <w:color w:val="000000"/>
        </w:rPr>
        <w:tab/>
        <w:t>väljendab heameelt Euroopa Parlamendi keskkonnajuhtimissüsteemi (EMAS) 2025.–2029. aasta eesmärkide üle; väljendab heameelt taristusse tehtavate investeeringute üle, mis on osa 2025.–2029. aastaks kavandatud energiatõhususe ja keskkonnahoidliku renoveerimise meetmetest ning mis on hea meetod kulutõhususe saavutamiseks; võtab teadmiseks 2027. aasta eelarvestuses esitatud 8,97 miljoni euro suuruse eelarve, mis on ette nähtud investeeringuteks energiatõhususse ja keskkonda, et veelgi parandada oma hoonete keskkonnatoimet; märgib, et see vastab 6,1 % suurusele kasvule võrreldes 2026. aasta eelarvega; väljendab heameelt seoses asjaoluga, et Euroopa Parlament on paigaldanud ja paigaldab ka edaspidi fotoelektrilisi päikesepaneele, et kohapeal toodetava taastuvenergia osakaal oleks veel suurem; rõhutab vajadust tagada, et sellised investeeringud suurendaksid mõõdetavalt tõhusust, võttes arvesse ka geopoliitilist konteksti, ja tooksid kaasa pikaajalise kulude kokkuhoiu;</w:t>
      </w:r>
    </w:p>
    <w:p w14:paraId="159203AB" w14:textId="13EA8664" w:rsidR="00EE3CD7" w:rsidRPr="00605B8D" w:rsidRDefault="00A87308" w:rsidP="00EE3CD7">
      <w:pPr>
        <w:widowControl/>
        <w:spacing w:after="240"/>
        <w:ind w:left="567" w:hanging="567"/>
        <w:rPr>
          <w:bCs/>
          <w:iCs/>
          <w:color w:val="000000"/>
        </w:rPr>
      </w:pPr>
      <w:r w:rsidRPr="00605B8D">
        <w:rPr>
          <w:color w:val="000000"/>
        </w:rPr>
        <w:t>24</w:t>
      </w:r>
      <w:r w:rsidR="00EE3CD7" w:rsidRPr="00605B8D">
        <w:rPr>
          <w:color w:val="000000"/>
        </w:rPr>
        <w:t>.</w:t>
      </w:r>
      <w:r w:rsidR="00EE3CD7" w:rsidRPr="00605B8D">
        <w:rPr>
          <w:color w:val="000000"/>
        </w:rPr>
        <w:tab/>
        <w:t>tuletab meelde, et peaaegu kaks kolmandikku Euroopa Parlamendi süsinikujalajäljest tuleneb inimeste transpordist; võtab teadmiseks, et märkimisväärne osa Euroopa Parlamendi eelarvest (mis on 162,1 miljonit eurot 2027. aastal) kulutatakse parlamendiliikmete ja töötajate lähetuskulude katmiseks; nõuab, et Euroopa Parlamendi organid analüüsiksid lähetuspraktikat väljaspoole Euroopa Parlamendi kolme töökohta ning et vaadataks läbi lähetuseeskirjad ja -tavad üldise eesmärgiga vähendada lähetuste arvu ning nendega seotud finants- ja keskkonnakulusid; ergutab parlamendiliikmeid kasutama vähese süsinikuheitega transpordialternatiive ja soodsamaid lennuvõimalusi;</w:t>
      </w:r>
    </w:p>
    <w:p w14:paraId="1DA3637B" w14:textId="50CFCA52" w:rsidR="00EE3CD7" w:rsidRPr="00605B8D" w:rsidRDefault="00A87308" w:rsidP="00EE3CD7">
      <w:pPr>
        <w:widowControl/>
        <w:spacing w:after="240"/>
        <w:ind w:left="567" w:hanging="567"/>
        <w:rPr>
          <w:bCs/>
          <w:iCs/>
          <w:color w:val="000000"/>
        </w:rPr>
      </w:pPr>
      <w:r w:rsidRPr="00605B8D">
        <w:rPr>
          <w:color w:val="000000"/>
        </w:rPr>
        <w:t>25</w:t>
      </w:r>
      <w:r w:rsidR="00EE3CD7" w:rsidRPr="00605B8D">
        <w:rPr>
          <w:color w:val="000000"/>
        </w:rPr>
        <w:t>.</w:t>
      </w:r>
      <w:r w:rsidR="00EE3CD7" w:rsidRPr="00605B8D">
        <w:rPr>
          <w:color w:val="000000"/>
        </w:rPr>
        <w:tab/>
        <w:t xml:space="preserve">väljendab heameelt ühistranspordi laialdasema kasutamise üle pendelrändeks ja võtab samal ajal teadmiseks suurenenud nõudluse ühistranspordi perioodipiletite rahalise toetamise süsteemi järele, eelkõige Brüsselis, mis toob kaasa assigneeringute </w:t>
      </w:r>
      <w:r w:rsidR="00EE3CD7" w:rsidRPr="00605B8D">
        <w:rPr>
          <w:color w:val="000000"/>
        </w:rPr>
        <w:lastRenderedPageBreak/>
        <w:t xml:space="preserve">suurenemise; on seisukohal, et </w:t>
      </w:r>
      <w:r w:rsidR="00931EDD" w:rsidRPr="00605B8D">
        <w:rPr>
          <w:color w:val="000000"/>
        </w:rPr>
        <w:t>Euroopa P</w:t>
      </w:r>
      <w:r w:rsidR="00EE3CD7" w:rsidRPr="00605B8D">
        <w:rPr>
          <w:color w:val="000000"/>
        </w:rPr>
        <w:t>arlament peab olema eeskujuks, julgustades võimalikke meetmeid ressursside tõhusa kasutamise tagamiseks, edendades säästvaid transpordiliike pendelrändeks ja luues täiendavaid stiimuleid jalgrattaga töölkäimiseks;</w:t>
      </w:r>
    </w:p>
    <w:p w14:paraId="202C2D8B" w14:textId="774367E8" w:rsidR="00EE3CD7" w:rsidRPr="00605B8D" w:rsidRDefault="00A87308" w:rsidP="00EE3CD7">
      <w:pPr>
        <w:widowControl/>
        <w:spacing w:after="240"/>
        <w:ind w:left="567" w:hanging="567"/>
        <w:rPr>
          <w:color w:val="000000"/>
        </w:rPr>
      </w:pPr>
      <w:r w:rsidRPr="00605B8D">
        <w:rPr>
          <w:color w:val="000000"/>
        </w:rPr>
        <w:t>26</w:t>
      </w:r>
      <w:r w:rsidR="00EE3CD7" w:rsidRPr="00605B8D">
        <w:rPr>
          <w:color w:val="000000"/>
        </w:rPr>
        <w:t>.</w:t>
      </w:r>
      <w:r w:rsidR="00EE3CD7" w:rsidRPr="00605B8D">
        <w:rPr>
          <w:color w:val="000000"/>
        </w:rPr>
        <w:tab/>
        <w:t xml:space="preserve">võtab teadmiseks, et süsiniku arvestusühikute hind on märkimisväärselt tõusnud ja selle tagajärjel oleks praeguse heitetaseme juures 2027. aastaks vaja hinnanguliselt 950 000 eurot; kutsub administratsiooni üles seadma süsiniku arvestusühikute ostmise asemel prioriteediks </w:t>
      </w:r>
      <w:r w:rsidR="00931EDD" w:rsidRPr="00605B8D">
        <w:rPr>
          <w:color w:val="000000"/>
        </w:rPr>
        <w:t>Euroopa P</w:t>
      </w:r>
      <w:r w:rsidR="00EE3CD7" w:rsidRPr="00605B8D">
        <w:rPr>
          <w:color w:val="000000"/>
        </w:rPr>
        <w:t>arlamendi heitkoguste vähendamise, sealhulgas suurendades investeeringuid puhastesse kütte-, ventilatsiooni- ja kliimaseadmetesse, eelkõige soojuspumpadesse Brüsselis, ning, kui see on mõistlik, ka muudesse proportsionaalsetesse ja kulutõhusatesse meetmetesse heitkoguste vähendamiseks; tunneb heameelt selle üle, et alates 2025. aasta juunist on laiendatud võimalusi minna lähetuste raames Strasbourgi rongiga, kuna see on positiivne samm CO</w:t>
      </w:r>
      <w:r w:rsidR="00EE3CD7" w:rsidRPr="00605B8D">
        <w:rPr>
          <w:color w:val="000000"/>
          <w:vertAlign w:val="subscript"/>
        </w:rPr>
        <w:t>2</w:t>
      </w:r>
      <w:r w:rsidR="00EE3CD7" w:rsidRPr="00605B8D">
        <w:rPr>
          <w:color w:val="000000"/>
        </w:rPr>
        <w:t xml:space="preserve"> heite vähendamise suunas;</w:t>
      </w:r>
    </w:p>
    <w:p w14:paraId="59DBE863" w14:textId="77777777" w:rsidR="00EE3CD7" w:rsidRPr="00605B8D" w:rsidRDefault="00EE3CD7" w:rsidP="00EE3CD7">
      <w:pPr>
        <w:pStyle w:val="action0"/>
        <w:ind w:left="0" w:firstLine="0"/>
        <w:rPr>
          <w:b/>
          <w:i/>
          <w:color w:val="000000"/>
        </w:rPr>
      </w:pPr>
      <w:r w:rsidRPr="00605B8D">
        <w:rPr>
          <w:b/>
          <w:i/>
          <w:color w:val="000000"/>
        </w:rPr>
        <w:t>Muu</w:t>
      </w:r>
    </w:p>
    <w:p w14:paraId="646F1553" w14:textId="4F71FD48" w:rsidR="00EE3CD7" w:rsidRPr="00605B8D" w:rsidRDefault="00A87308" w:rsidP="00EE3CD7">
      <w:pPr>
        <w:pStyle w:val="action0"/>
        <w:ind w:left="567" w:hanging="567"/>
        <w:rPr>
          <w:bCs/>
          <w:iCs/>
          <w:color w:val="000000"/>
        </w:rPr>
      </w:pPr>
      <w:r w:rsidRPr="00605B8D">
        <w:rPr>
          <w:color w:val="000000"/>
        </w:rPr>
        <w:t>27</w:t>
      </w:r>
      <w:r w:rsidR="00EE3CD7" w:rsidRPr="00605B8D">
        <w:rPr>
          <w:color w:val="000000"/>
        </w:rPr>
        <w:t>.</w:t>
      </w:r>
      <w:r w:rsidR="00EE3CD7" w:rsidRPr="00605B8D">
        <w:rPr>
          <w:color w:val="000000"/>
        </w:rPr>
        <w:tab/>
        <w:t xml:space="preserve">kutsub esimeeste konverentsi üles langetama viivitamata otsuse sise-eeskirjade asjakohaste artiklite kohta, mis puudutavad registreeritud assistentide poolt parlamendiliikmete saatmist ametlikel lähetustel ja delegatsioonides väljaspool Euroopa Parlamendi kolme töökohta, kui </w:t>
      </w:r>
      <w:r w:rsidR="00931EDD" w:rsidRPr="00605B8D">
        <w:rPr>
          <w:color w:val="000000"/>
        </w:rPr>
        <w:t>Euroopa P</w:t>
      </w:r>
      <w:r w:rsidR="00EE3CD7" w:rsidRPr="00605B8D">
        <w:rPr>
          <w:color w:val="000000"/>
        </w:rPr>
        <w:t>arlamendi sekretariaadile ei ole ühestki lähetusel esindatud fraktsiooni töötajast ametlikult teatatud;</w:t>
      </w:r>
    </w:p>
    <w:p w14:paraId="1491F88E" w14:textId="326B065A" w:rsidR="00EE3CD7" w:rsidRPr="00605B8D" w:rsidRDefault="00A87308" w:rsidP="00EE3CD7">
      <w:pPr>
        <w:spacing w:after="240"/>
        <w:ind w:left="567" w:hanging="567"/>
        <w:rPr>
          <w:b/>
          <w:i/>
          <w:color w:val="000000"/>
        </w:rPr>
      </w:pPr>
      <w:r w:rsidRPr="00605B8D">
        <w:rPr>
          <w:color w:val="000000"/>
        </w:rPr>
        <w:t>28</w:t>
      </w:r>
      <w:r w:rsidR="00EE3CD7" w:rsidRPr="00605B8D">
        <w:rPr>
          <w:color w:val="000000"/>
        </w:rPr>
        <w:t>.</w:t>
      </w:r>
      <w:r w:rsidR="00EE3CD7" w:rsidRPr="00605B8D">
        <w:rPr>
          <w:color w:val="000000"/>
        </w:rPr>
        <w:tab/>
        <w:t xml:space="preserve">on veendunud, et Euroopa Parlament peaks olema eeskujuks puuetega inimeste õiguste valdkonnas nii tööandja kui ka avaliku institutsioonina; väljendab heameelt Euroopa Parlamendi poliitika üle, mille eesmärk on tagada, et puuetega inimesed saavad Euroopa Parlamendi hoonetes täiesti iseseisvalt toime tulla, ning toetab sellega seoses vajalikke lisameetmeid ja -kohandusi; märgib, et eelarves on selleks ette nähtud 2,07 miljonit eurot </w:t>
      </w:r>
      <w:r w:rsidR="00931EDD" w:rsidRPr="00605B8D">
        <w:rPr>
          <w:color w:val="000000"/>
        </w:rPr>
        <w:t>Euroopa P</w:t>
      </w:r>
      <w:r w:rsidR="00EE3CD7" w:rsidRPr="00605B8D">
        <w:rPr>
          <w:color w:val="000000"/>
        </w:rPr>
        <w:t>arlamendi Strasbourgi hoonete jaoks; rõhutab, et ligipääsetavus peaks olema SPAAKi hoone renoveerimise ja kõigi digiplatvormide arendamise põhikriteerium;</w:t>
      </w:r>
    </w:p>
    <w:p w14:paraId="75EBC143" w14:textId="6C34D83F" w:rsidR="008A464F" w:rsidRPr="00605B8D" w:rsidRDefault="008A464F" w:rsidP="00EE3CD7">
      <w:pPr>
        <w:spacing w:after="240"/>
        <w:ind w:left="567" w:hanging="567"/>
        <w:rPr>
          <w:bCs/>
          <w:iCs/>
          <w:color w:val="000000"/>
        </w:rPr>
      </w:pPr>
      <w:r w:rsidRPr="00605B8D">
        <w:rPr>
          <w:color w:val="000000"/>
        </w:rPr>
        <w:t>29</w:t>
      </w:r>
      <w:r w:rsidRPr="00605B8D">
        <w:rPr>
          <w:bCs/>
          <w:iCs/>
          <w:color w:val="000000"/>
        </w:rPr>
        <w:t>.</w:t>
      </w:r>
      <w:r w:rsidRPr="00605B8D">
        <w:rPr>
          <w:b/>
          <w:i/>
          <w:color w:val="000000"/>
        </w:rPr>
        <w:tab/>
      </w:r>
      <w:r w:rsidRPr="00605B8D">
        <w:rPr>
          <w:bCs/>
          <w:iCs/>
          <w:color w:val="000000"/>
        </w:rPr>
        <w:t>väljendab heameelt hiljutiste algatuste üle, mille esimeeste konverents ja juhatus on heaks kiitnud, et võimaldada parlamendiliikmetel raseduse ajal hääletada volitatud esindaja kaudu, tunnistades seda positiivse sammuna suurema kaasatuse suunas Euroopa Parlamendi töös, ning kutsub kõiki osapooli üles seda meedet kiiresti rakendama; rõhutab siiski, et meede ei vasta Euroopa Parlamendi korduvatele üleskutsetele tagada hääleõigus mitte ainult parlamendiliikmeteleraseduse ajal, vaid ka parlamendiliikmetele, kes on vanema- või isapuhkusel või kellel on tõendatud pikaajaline haigus;</w:t>
      </w:r>
    </w:p>
    <w:p w14:paraId="3EF92C8A" w14:textId="01A96CD7" w:rsidR="00EE3CD7" w:rsidRPr="00605B8D" w:rsidRDefault="008A464F" w:rsidP="00EE3CD7">
      <w:pPr>
        <w:spacing w:after="240"/>
        <w:ind w:left="567" w:hanging="567"/>
        <w:rPr>
          <w:bCs/>
          <w:iCs/>
          <w:color w:val="000000"/>
        </w:rPr>
      </w:pPr>
      <w:r w:rsidRPr="00605B8D">
        <w:rPr>
          <w:color w:val="000000"/>
        </w:rPr>
        <w:t>30</w:t>
      </w:r>
      <w:r w:rsidR="00EE3CD7" w:rsidRPr="00605B8D">
        <w:rPr>
          <w:color w:val="000000"/>
        </w:rPr>
        <w:t>.</w:t>
      </w:r>
      <w:r w:rsidR="00EE3CD7" w:rsidRPr="00605B8D">
        <w:rPr>
          <w:color w:val="000000"/>
        </w:rPr>
        <w:tab/>
      </w:r>
      <w:r w:rsidR="00A34043" w:rsidRPr="00605B8D">
        <w:rPr>
          <w:bCs/>
          <w:iCs/>
        </w:rPr>
        <w:t xml:space="preserve">väljendab muret selle pärast, et Euroopa Parlamendi </w:t>
      </w:r>
      <w:proofErr w:type="spellStart"/>
      <w:r w:rsidR="00A34043" w:rsidRPr="00605B8D">
        <w:rPr>
          <w:bCs/>
          <w:iCs/>
        </w:rPr>
        <w:t>Wayenbergi</w:t>
      </w:r>
      <w:proofErr w:type="spellEnd"/>
      <w:r w:rsidR="00A34043" w:rsidRPr="00605B8D">
        <w:rPr>
          <w:bCs/>
          <w:iCs/>
        </w:rPr>
        <w:t xml:space="preserve"> </w:t>
      </w:r>
      <w:proofErr w:type="spellStart"/>
      <w:r w:rsidR="00A34043" w:rsidRPr="00605B8D">
        <w:rPr>
          <w:bCs/>
          <w:iCs/>
        </w:rPr>
        <w:t>lastehoiuasutuse</w:t>
      </w:r>
      <w:proofErr w:type="spellEnd"/>
      <w:r w:rsidR="00A34043" w:rsidRPr="00605B8D">
        <w:rPr>
          <w:bCs/>
          <w:iCs/>
        </w:rPr>
        <w:t xml:space="preserve"> pakutavate teenuste kvaliteeti ja järjepidevust on mõjutanud teenuseosutajate sage vahetumine alates 2020. aastast koos probleemidega, mis on seotud töötajate nappuse, sagedaste puudumiste ja tööjõu voolavusega selles </w:t>
      </w:r>
      <w:proofErr w:type="spellStart"/>
      <w:r w:rsidR="00A34043" w:rsidRPr="00605B8D">
        <w:rPr>
          <w:bCs/>
          <w:iCs/>
        </w:rPr>
        <w:t>lastehoiuasutuses</w:t>
      </w:r>
      <w:proofErr w:type="spellEnd"/>
      <w:r w:rsidR="00A34043" w:rsidRPr="00605B8D">
        <w:rPr>
          <w:bCs/>
          <w:iCs/>
        </w:rPr>
        <w:t xml:space="preserve">; </w:t>
      </w:r>
      <w:r w:rsidR="00EE3CD7" w:rsidRPr="00605B8D">
        <w:rPr>
          <w:bCs/>
          <w:iCs/>
          <w:color w:val="000000"/>
        </w:rPr>
        <w:t>võtab teadmiseks</w:t>
      </w:r>
      <w:r w:rsidR="00A34043" w:rsidRPr="00605B8D">
        <w:rPr>
          <w:bCs/>
          <w:iCs/>
          <w:color w:val="000000"/>
        </w:rPr>
        <w:t xml:space="preserve"> asjaolu</w:t>
      </w:r>
      <w:r w:rsidR="00EE3CD7" w:rsidRPr="00605B8D">
        <w:rPr>
          <w:bCs/>
          <w:iCs/>
          <w:color w:val="000000"/>
        </w:rPr>
        <w:t xml:space="preserve">, et </w:t>
      </w:r>
      <w:r w:rsidR="00A34043" w:rsidRPr="00605B8D">
        <w:rPr>
          <w:bCs/>
          <w:iCs/>
          <w:color w:val="000000"/>
        </w:rPr>
        <w:t xml:space="preserve">Euroopa Parlamendi </w:t>
      </w:r>
      <w:r w:rsidR="00A34043" w:rsidRPr="00605B8D">
        <w:rPr>
          <w:bCs/>
          <w:iCs/>
        </w:rPr>
        <w:t xml:space="preserve">lastehoiuteenuste praegu kehtiv leping Brüsselis sõlmiti uue ettevõttega, mis loodi kohe pärast pakkumuse avaldamist ja mis on väidetavalt seotud endise teenuseosutaja </w:t>
      </w:r>
      <w:proofErr w:type="spellStart"/>
      <w:r w:rsidR="00A34043" w:rsidRPr="00605B8D">
        <w:rPr>
          <w:bCs/>
          <w:iCs/>
        </w:rPr>
        <w:t>Esedraga</w:t>
      </w:r>
      <w:proofErr w:type="spellEnd"/>
      <w:r w:rsidR="00A34043" w:rsidRPr="00605B8D">
        <w:rPr>
          <w:bCs/>
          <w:iCs/>
        </w:rPr>
        <w:t>; tuletab meelde, et Euroopa Parlamendi</w:t>
      </w:r>
      <w:r w:rsidR="00A34043" w:rsidRPr="00605B8D">
        <w:rPr>
          <w:bCs/>
          <w:iCs/>
          <w:color w:val="000000"/>
        </w:rPr>
        <w:t xml:space="preserve"> </w:t>
      </w:r>
      <w:r w:rsidR="00EE3CD7" w:rsidRPr="00605B8D">
        <w:rPr>
          <w:bCs/>
          <w:iCs/>
          <w:color w:val="000000"/>
        </w:rPr>
        <w:t xml:space="preserve">leping </w:t>
      </w:r>
      <w:proofErr w:type="spellStart"/>
      <w:r w:rsidR="00EE3CD7" w:rsidRPr="00605B8D">
        <w:rPr>
          <w:bCs/>
          <w:iCs/>
          <w:color w:val="000000"/>
        </w:rPr>
        <w:t>Wayenbergi</w:t>
      </w:r>
      <w:proofErr w:type="spellEnd"/>
      <w:r w:rsidR="00EE3CD7" w:rsidRPr="00605B8D">
        <w:rPr>
          <w:bCs/>
          <w:iCs/>
          <w:color w:val="000000"/>
        </w:rPr>
        <w:t xml:space="preserve"> </w:t>
      </w:r>
      <w:proofErr w:type="spellStart"/>
      <w:r w:rsidR="00EE3CD7" w:rsidRPr="00605B8D">
        <w:rPr>
          <w:bCs/>
          <w:iCs/>
          <w:color w:val="000000"/>
        </w:rPr>
        <w:t>lastehoiuasutuse</w:t>
      </w:r>
      <w:proofErr w:type="spellEnd"/>
      <w:r w:rsidR="00EE3CD7" w:rsidRPr="00605B8D">
        <w:rPr>
          <w:bCs/>
          <w:iCs/>
          <w:color w:val="000000"/>
        </w:rPr>
        <w:t xml:space="preserve"> eelmise teenuseosutaja</w:t>
      </w:r>
      <w:r w:rsidR="00C051F8" w:rsidRPr="00605B8D">
        <w:rPr>
          <w:bCs/>
          <w:iCs/>
          <w:color w:val="000000"/>
        </w:rPr>
        <w:t>,</w:t>
      </w:r>
      <w:r w:rsidR="00A34043" w:rsidRPr="00605B8D">
        <w:rPr>
          <w:bCs/>
          <w:iCs/>
          <w:color w:val="000000"/>
        </w:rPr>
        <w:t xml:space="preserve"> </w:t>
      </w:r>
      <w:proofErr w:type="spellStart"/>
      <w:r w:rsidR="00A34043" w:rsidRPr="00605B8D">
        <w:rPr>
          <w:bCs/>
          <w:iCs/>
          <w:color w:val="000000"/>
        </w:rPr>
        <w:t>Esedraga</w:t>
      </w:r>
      <w:proofErr w:type="spellEnd"/>
      <w:r w:rsidR="00EE3CD7" w:rsidRPr="00605B8D">
        <w:rPr>
          <w:bCs/>
          <w:iCs/>
          <w:color w:val="000000"/>
        </w:rPr>
        <w:t xml:space="preserve"> lõpetati ennetähtaegselt pärast </w:t>
      </w:r>
      <w:r w:rsidR="00A34043" w:rsidRPr="00605B8D">
        <w:rPr>
          <w:bCs/>
          <w:iCs/>
          <w:color w:val="000000"/>
        </w:rPr>
        <w:t xml:space="preserve">töövõtja </w:t>
      </w:r>
      <w:r w:rsidR="00EE3CD7" w:rsidRPr="00605B8D">
        <w:rPr>
          <w:bCs/>
          <w:iCs/>
          <w:color w:val="000000"/>
        </w:rPr>
        <w:t>vastu esitatud mitut tõsist süüdistust; kordab, et koosseisuväliste töötajate inimväärsed töötingimused</w:t>
      </w:r>
      <w:r w:rsidR="00A34043" w:rsidRPr="00605B8D">
        <w:rPr>
          <w:bCs/>
          <w:iCs/>
          <w:color w:val="000000"/>
        </w:rPr>
        <w:t xml:space="preserve"> ja piisav tasustamine</w:t>
      </w:r>
      <w:r w:rsidR="00EE3CD7" w:rsidRPr="00605B8D">
        <w:rPr>
          <w:bCs/>
          <w:iCs/>
          <w:color w:val="000000"/>
        </w:rPr>
        <w:t xml:space="preserve">, </w:t>
      </w:r>
      <w:r w:rsidR="00A34043" w:rsidRPr="00605B8D">
        <w:rPr>
          <w:bCs/>
          <w:iCs/>
          <w:color w:val="000000"/>
        </w:rPr>
        <w:t xml:space="preserve">sealhulgas </w:t>
      </w:r>
      <w:r w:rsidR="00EE3CD7" w:rsidRPr="00605B8D">
        <w:rPr>
          <w:bCs/>
          <w:iCs/>
          <w:color w:val="000000"/>
        </w:rPr>
        <w:t>koolitus</w:t>
      </w:r>
      <w:r w:rsidR="00C051F8" w:rsidRPr="00605B8D">
        <w:rPr>
          <w:bCs/>
          <w:iCs/>
          <w:color w:val="000000"/>
        </w:rPr>
        <w:t>ed</w:t>
      </w:r>
      <w:r w:rsidR="00EE3CD7" w:rsidRPr="00605B8D">
        <w:rPr>
          <w:bCs/>
          <w:iCs/>
          <w:color w:val="000000"/>
        </w:rPr>
        <w:t>, oskuste arendamine</w:t>
      </w:r>
      <w:r w:rsidR="00A34043" w:rsidRPr="00605B8D">
        <w:rPr>
          <w:bCs/>
          <w:iCs/>
          <w:color w:val="000000"/>
        </w:rPr>
        <w:t>, vägivalla ja ahistamise</w:t>
      </w:r>
      <w:r w:rsidR="00C051F8" w:rsidRPr="00605B8D">
        <w:rPr>
          <w:bCs/>
          <w:iCs/>
          <w:color w:val="000000"/>
        </w:rPr>
        <w:t xml:space="preserve"> vastased meetmed, sisuline sotsiaaldialoog</w:t>
      </w:r>
      <w:r w:rsidR="00EE3CD7" w:rsidRPr="00605B8D">
        <w:rPr>
          <w:bCs/>
          <w:iCs/>
          <w:color w:val="000000"/>
        </w:rPr>
        <w:t xml:space="preserve"> </w:t>
      </w:r>
      <w:r w:rsidR="00EE3CD7" w:rsidRPr="00605B8D">
        <w:rPr>
          <w:bCs/>
          <w:iCs/>
          <w:color w:val="000000"/>
        </w:rPr>
        <w:lastRenderedPageBreak/>
        <w:t xml:space="preserve">ja investeerimine töötajate heaolusse, peaksid asjakohasel juhul olema </w:t>
      </w:r>
      <w:r w:rsidR="00931EDD" w:rsidRPr="00605B8D">
        <w:rPr>
          <w:bCs/>
          <w:iCs/>
          <w:color w:val="000000"/>
        </w:rPr>
        <w:t>Euroopa P</w:t>
      </w:r>
      <w:r w:rsidR="00EE3CD7" w:rsidRPr="00605B8D">
        <w:rPr>
          <w:bCs/>
          <w:iCs/>
          <w:color w:val="000000"/>
        </w:rPr>
        <w:t>arlamendi avalike hangete puhul põhimõtteliselt prioriteet;</w:t>
      </w:r>
      <w:r w:rsidR="00C051F8" w:rsidRPr="00605B8D">
        <w:rPr>
          <w:bCs/>
          <w:iCs/>
          <w:color w:val="000000"/>
        </w:rPr>
        <w:t xml:space="preserve"> </w:t>
      </w:r>
      <w:r w:rsidR="00C051F8" w:rsidRPr="00605B8D">
        <w:rPr>
          <w:bCs/>
          <w:iCs/>
        </w:rPr>
        <w:t xml:space="preserve">nõuab hankemenetluse ja kehtiva lepingu rakendamise sõltumatut </w:t>
      </w:r>
      <w:proofErr w:type="spellStart"/>
      <w:r w:rsidR="00C051F8" w:rsidRPr="00605B8D">
        <w:rPr>
          <w:bCs/>
          <w:iCs/>
        </w:rPr>
        <w:t>välisauditit</w:t>
      </w:r>
      <w:proofErr w:type="spellEnd"/>
      <w:r w:rsidR="00C051F8" w:rsidRPr="00605B8D">
        <w:rPr>
          <w:bCs/>
          <w:iCs/>
        </w:rPr>
        <w:t>, sealhulgas töötingimuste ja töötajate heaolu sõltumatut hindamist;</w:t>
      </w:r>
    </w:p>
    <w:p w14:paraId="782E7283" w14:textId="1A8E8286" w:rsidR="00EE3CD7" w:rsidRPr="00605B8D" w:rsidRDefault="00A87308" w:rsidP="00EE3CD7">
      <w:pPr>
        <w:spacing w:after="240"/>
        <w:ind w:left="567" w:hanging="567"/>
        <w:rPr>
          <w:bCs/>
          <w:iCs/>
          <w:color w:val="000000"/>
        </w:rPr>
      </w:pPr>
      <w:r w:rsidRPr="00605B8D">
        <w:rPr>
          <w:color w:val="000000"/>
        </w:rPr>
        <w:t>3</w:t>
      </w:r>
      <w:r w:rsidR="008A464F" w:rsidRPr="00605B8D">
        <w:rPr>
          <w:color w:val="000000"/>
        </w:rPr>
        <w:t>1</w:t>
      </w:r>
      <w:r w:rsidR="00EE3CD7" w:rsidRPr="00605B8D">
        <w:rPr>
          <w:color w:val="000000"/>
        </w:rPr>
        <w:t>.</w:t>
      </w:r>
      <w:r w:rsidR="00EE3CD7" w:rsidRPr="00605B8D">
        <w:rPr>
          <w:color w:val="000000"/>
        </w:rPr>
        <w:tab/>
        <w:t>väljendab heameelt Strasbourgis asuva peretoa üle, mis on väärtuslik tugi väikelastega parlamendiliikmetele ja töötajatele nende parlamentaarses tegevuses; märgib siiski, et selle mahutavus on piiratud 30 lapsega; märgib, et Euroopa Parlamendi liikmete ja töötajate keskmine vanus on viimastel aastatel vähenenud, mis on suurendanud noorte perede arvu ja nõudlust lastehoiuteenuste järele; kutsub juhatust ja peasekretäri üles leidma ja rakendama lahendusi lastehoiu edasiseks tõhustamiseks Strasbourgis;</w:t>
      </w:r>
    </w:p>
    <w:p w14:paraId="28EBF743" w14:textId="51149A10" w:rsidR="00EE3CD7" w:rsidRPr="00605B8D" w:rsidRDefault="00A87308" w:rsidP="00EE3CD7">
      <w:pPr>
        <w:spacing w:after="240"/>
        <w:ind w:left="567" w:hanging="567"/>
        <w:rPr>
          <w:color w:val="000000"/>
        </w:rPr>
      </w:pPr>
      <w:r w:rsidRPr="00605B8D">
        <w:rPr>
          <w:color w:val="000000"/>
        </w:rPr>
        <w:t>3</w:t>
      </w:r>
      <w:r w:rsidR="008A464F" w:rsidRPr="00605B8D">
        <w:rPr>
          <w:color w:val="000000"/>
        </w:rPr>
        <w:t>2</w:t>
      </w:r>
      <w:r w:rsidR="00EE3CD7" w:rsidRPr="00605B8D">
        <w:rPr>
          <w:color w:val="000000"/>
        </w:rPr>
        <w:t>.</w:t>
      </w:r>
      <w:r w:rsidR="00EE3CD7" w:rsidRPr="00605B8D">
        <w:rPr>
          <w:color w:val="000000"/>
        </w:rPr>
        <w:tab/>
        <w:t>kordab oma nõudmist, et peasekretär rõhutaks aluspõhimõtet, mille kohaselt peaks kõikide ametikohtade täitmine põhinema pädevusel, tagades samal ajal geograafilise tasakaalu kõigi liikmesriikide vahel igal töötajate tasandil; rõhutab, et tõelise Euroopa avaliku teenistuse edendamiseks on oluline saavutada õiglane geograafiline esindatus kõigil haldustasanditel, võttes arvesse ka vanust ja sugu; märgib, et Euroopa Parlament on selle eesmärgi toetamiseks meetmeid võtnud, sealhulgas korraldanud kodakondsuspõhiseid konkursse; rõhutab vajadust kiirendada konkursside protsesse, tuginedes samal ajal jätkuvalt rangele tulemuspõhisele valikule;</w:t>
      </w:r>
    </w:p>
    <w:p w14:paraId="7F799FED" w14:textId="3D39D9D9" w:rsidR="00EE3CD7" w:rsidRPr="00605B8D" w:rsidRDefault="00A87308" w:rsidP="00EE3CD7">
      <w:pPr>
        <w:spacing w:after="240"/>
        <w:ind w:left="567" w:hanging="567"/>
        <w:rPr>
          <w:color w:val="000000"/>
        </w:rPr>
      </w:pPr>
      <w:r w:rsidRPr="00605B8D">
        <w:rPr>
          <w:color w:val="000000"/>
        </w:rPr>
        <w:t>3</w:t>
      </w:r>
      <w:r w:rsidR="008A464F" w:rsidRPr="00605B8D">
        <w:rPr>
          <w:color w:val="000000"/>
        </w:rPr>
        <w:t>3</w:t>
      </w:r>
      <w:r w:rsidR="00EE3CD7" w:rsidRPr="00605B8D">
        <w:rPr>
          <w:color w:val="000000"/>
        </w:rPr>
        <w:t>.</w:t>
      </w:r>
      <w:r w:rsidR="00EE3CD7" w:rsidRPr="00605B8D">
        <w:rPr>
          <w:color w:val="000000"/>
        </w:rPr>
        <w:tab/>
        <w:t>rõhutab, et mitmekeelsus on Euroopa Parlamendi töö aluspõhimõte; palub, et Euroopa Parlament kasutaks asjakohasel juhul ära mitmekeelsusega seotud teenuste olulist tehnoloogilist arengut, kaasa arvatud tehisintellekti arendamine ja kasutamine;</w:t>
      </w:r>
    </w:p>
    <w:p w14:paraId="77F93816" w14:textId="66D40C88" w:rsidR="00EE3CD7" w:rsidRPr="00605B8D" w:rsidRDefault="00A87308" w:rsidP="00EE3CD7">
      <w:pPr>
        <w:spacing w:after="240"/>
        <w:ind w:left="567" w:hanging="567"/>
        <w:rPr>
          <w:bCs/>
          <w:iCs/>
          <w:color w:val="000000"/>
        </w:rPr>
      </w:pPr>
      <w:r w:rsidRPr="00605B8D">
        <w:rPr>
          <w:color w:val="000000"/>
        </w:rPr>
        <w:t>3</w:t>
      </w:r>
      <w:r w:rsidR="008A464F" w:rsidRPr="00605B8D">
        <w:rPr>
          <w:color w:val="000000"/>
        </w:rPr>
        <w:t>4</w:t>
      </w:r>
      <w:r w:rsidR="00EE3CD7" w:rsidRPr="00605B8D">
        <w:rPr>
          <w:color w:val="000000"/>
        </w:rPr>
        <w:t>.</w:t>
      </w:r>
      <w:r w:rsidR="00EE3CD7" w:rsidRPr="00605B8D">
        <w:rPr>
          <w:color w:val="000000"/>
        </w:rPr>
        <w:tab/>
        <w:t>võtab teadmiseks Euroopa Liidu Üldkohtu 17. detsembri 2025. aasta otsuse, milles kinnitatakse juhatuse poolt 2023. aastal vastu võetud ja parlamendiliikmete vabatahtlikku pensionifondi käsitlevate meetmete õiguspärasust</w:t>
      </w:r>
      <w:r w:rsidR="00EE3CD7" w:rsidRPr="00605B8D">
        <w:rPr>
          <w:rStyle w:val="FootnoteReference"/>
          <w:bCs/>
          <w:iCs/>
          <w:color w:val="000000"/>
        </w:rPr>
        <w:footnoteReference w:id="13"/>
      </w:r>
      <w:r w:rsidR="00EE3CD7" w:rsidRPr="00605B8D">
        <w:rPr>
          <w:color w:val="000000"/>
        </w:rPr>
        <w:t>; rõhutab, et kuigi nende meetmetega vähendati hüvitiste maksmise kohustust 63 %, on fondi finantsseisund endiselt väga ebakindel; loodab saada vabatahtliku pensioniskeemiga seotud edasise arengu kohta ajakohastatud teavet;</w:t>
      </w:r>
    </w:p>
    <w:p w14:paraId="2EE9A0E6" w14:textId="25467AE7" w:rsidR="00EE3CD7" w:rsidRPr="00605B8D" w:rsidRDefault="00A87308" w:rsidP="00EE3CD7">
      <w:pPr>
        <w:spacing w:after="240"/>
        <w:ind w:left="567" w:hanging="567"/>
        <w:rPr>
          <w:bCs/>
          <w:iCs/>
          <w:color w:val="000000"/>
        </w:rPr>
      </w:pPr>
      <w:r w:rsidRPr="00605B8D">
        <w:rPr>
          <w:color w:val="000000"/>
        </w:rPr>
        <w:t>3</w:t>
      </w:r>
      <w:r w:rsidR="008A464F" w:rsidRPr="00605B8D">
        <w:rPr>
          <w:color w:val="000000"/>
        </w:rPr>
        <w:t>5</w:t>
      </w:r>
      <w:r w:rsidR="00EE3CD7" w:rsidRPr="00605B8D">
        <w:rPr>
          <w:color w:val="000000"/>
        </w:rPr>
        <w:t>.</w:t>
      </w:r>
      <w:r w:rsidR="00EE3CD7" w:rsidRPr="00605B8D">
        <w:rPr>
          <w:color w:val="000000"/>
        </w:rPr>
        <w:tab/>
        <w:t>rõhutab, et täiskogul läbi hääletatud taotlused viiakse ellu esmajärjekorras;</w:t>
      </w:r>
    </w:p>
    <w:p w14:paraId="53CE699A" w14:textId="54E51DEA" w:rsidR="00EE3CD7" w:rsidRPr="00605B8D" w:rsidRDefault="00A87308" w:rsidP="00EE3CD7">
      <w:pPr>
        <w:spacing w:after="240"/>
        <w:ind w:left="567" w:hanging="567"/>
      </w:pPr>
      <w:r w:rsidRPr="00605B8D">
        <w:t>3</w:t>
      </w:r>
      <w:r w:rsidR="008A464F" w:rsidRPr="00605B8D">
        <w:t>6</w:t>
      </w:r>
      <w:r w:rsidR="00EE3CD7" w:rsidRPr="00605B8D">
        <w:t>.</w:t>
      </w:r>
      <w:r w:rsidR="00EE3CD7" w:rsidRPr="00605B8D">
        <w:tab/>
      </w:r>
      <w:r w:rsidR="00EE3CD7" w:rsidRPr="00605B8D">
        <w:rPr>
          <w:color w:val="000000"/>
        </w:rPr>
        <w:t>võtab vastu</w:t>
      </w:r>
      <w:r w:rsidR="00EE3CD7" w:rsidRPr="00605B8D">
        <w:t xml:space="preserve"> 2027. aasta eelarvestuse;</w:t>
      </w:r>
    </w:p>
    <w:p w14:paraId="608C6265" w14:textId="088FE9AA" w:rsidR="00E365E1" w:rsidRPr="00605B8D" w:rsidRDefault="00A87308" w:rsidP="007046E8">
      <w:pPr>
        <w:spacing w:after="240"/>
        <w:ind w:left="567" w:hanging="567"/>
        <w:jc w:val="both"/>
      </w:pPr>
      <w:r w:rsidRPr="00605B8D">
        <w:t>3</w:t>
      </w:r>
      <w:r w:rsidR="008A464F" w:rsidRPr="00605B8D">
        <w:t>7</w:t>
      </w:r>
      <w:r w:rsidR="00EE3CD7" w:rsidRPr="00605B8D">
        <w:t>.</w:t>
      </w:r>
      <w:r w:rsidR="00EE3CD7" w:rsidRPr="00605B8D">
        <w:tab/>
      </w:r>
      <w:r w:rsidR="00EE3CD7" w:rsidRPr="00605B8D">
        <w:rPr>
          <w:color w:val="000000"/>
        </w:rPr>
        <w:t>teeb presidendile ülesandeks</w:t>
      </w:r>
      <w:r w:rsidR="00EE3CD7" w:rsidRPr="00605B8D">
        <w:t xml:space="preserve"> edastada käesolev resolutsioon ning eelarvestus nõukogule ja komisjonile.</w:t>
      </w:r>
    </w:p>
    <w:sectPr w:rsidR="00E365E1" w:rsidRPr="00605B8D" w:rsidSect="00931EDD">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9F314" w14:textId="77777777" w:rsidR="00486D4B" w:rsidRPr="00685AD1" w:rsidRDefault="00486D4B">
      <w:r w:rsidRPr="00685AD1">
        <w:separator/>
      </w:r>
    </w:p>
  </w:endnote>
  <w:endnote w:type="continuationSeparator" w:id="0">
    <w:p w14:paraId="13091C01" w14:textId="77777777" w:rsidR="00486D4B" w:rsidRPr="00685AD1" w:rsidRDefault="00486D4B">
      <w:r w:rsidRPr="00685A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052FB" w14:textId="77777777" w:rsidR="00486D4B" w:rsidRPr="00685AD1" w:rsidRDefault="00486D4B">
      <w:r w:rsidRPr="00685AD1">
        <w:separator/>
      </w:r>
    </w:p>
  </w:footnote>
  <w:footnote w:type="continuationSeparator" w:id="0">
    <w:p w14:paraId="06AD7C2C" w14:textId="77777777" w:rsidR="00486D4B" w:rsidRPr="00685AD1" w:rsidRDefault="00486D4B">
      <w:r w:rsidRPr="00685AD1">
        <w:continuationSeparator/>
      </w:r>
    </w:p>
  </w:footnote>
  <w:footnote w:id="1">
    <w:p w14:paraId="3E024AB3" w14:textId="24B3A9C4"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 xml:space="preserve">ELT L, 2024/2509, 26.9.2024, ELI: </w:t>
      </w:r>
      <w:hyperlink r:id="rId1" w:history="1">
        <w:r w:rsidRPr="00685AD1">
          <w:rPr>
            <w:rStyle w:val="Hyperlink"/>
          </w:rPr>
          <w:t>http://data.europa.eu/eli/reg/2024/2509/oj</w:t>
        </w:r>
      </w:hyperlink>
      <w:r w:rsidRPr="00685AD1">
        <w:rPr>
          <w:color w:val="337AB7"/>
          <w:u w:val="single"/>
        </w:rPr>
        <w:t>.</w:t>
      </w:r>
    </w:p>
  </w:footnote>
  <w:footnote w:id="2">
    <w:p w14:paraId="78F890A9" w14:textId="1B848BE9"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 xml:space="preserve">ELT L 433 I, 22.12.2020, lk 11, ELI: </w:t>
      </w:r>
      <w:hyperlink r:id="rId2" w:history="1">
        <w:r w:rsidRPr="00685AD1">
          <w:rPr>
            <w:rStyle w:val="Hyperlink"/>
          </w:rPr>
          <w:t>http://data.europa.eu/eli/reg/2020/2093/oj</w:t>
        </w:r>
      </w:hyperlink>
      <w:r w:rsidRPr="00685AD1">
        <w:rPr>
          <w:color w:val="000000"/>
        </w:rPr>
        <w:t>.</w:t>
      </w:r>
    </w:p>
  </w:footnote>
  <w:footnote w:id="3">
    <w:p w14:paraId="72D2A937" w14:textId="46F83CF7"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ELT C 444 I, 22.12.2020, lk 4.</w:t>
      </w:r>
    </w:p>
  </w:footnote>
  <w:footnote w:id="4">
    <w:p w14:paraId="16B28CB5" w14:textId="3C47A8F8"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ELT C 445, 29.10.2021, lk 252.</w:t>
      </w:r>
    </w:p>
  </w:footnote>
  <w:footnote w:id="5">
    <w:p w14:paraId="5ACCBA9E" w14:textId="242A18BF" w:rsidR="00EE3CD7" w:rsidRPr="00685AD1" w:rsidRDefault="00EE3CD7" w:rsidP="00685AD1">
      <w:pPr>
        <w:ind w:left="567" w:hanging="567"/>
      </w:pPr>
      <w:r w:rsidRPr="00685AD1">
        <w:rPr>
          <w:rStyle w:val="FootnoteReference"/>
          <w:rFonts w:eastAsiaTheme="majorEastAsia"/>
        </w:rPr>
        <w:footnoteRef/>
      </w:r>
      <w:r w:rsidR="00685AD1" w:rsidRPr="00685AD1">
        <w:tab/>
      </w:r>
      <w:r w:rsidRPr="00685AD1">
        <w:t xml:space="preserve">ELT L 325, 20.12.2022, lk 11, ELI: </w:t>
      </w:r>
      <w:hyperlink r:id="rId3" w:history="1">
        <w:r w:rsidRPr="00685AD1">
          <w:rPr>
            <w:rStyle w:val="Hyperlink"/>
          </w:rPr>
          <w:t>http://data.europa.eu/eli/reg/2022/2496/oj</w:t>
        </w:r>
      </w:hyperlink>
      <w:r w:rsidRPr="00685AD1">
        <w:t>.</w:t>
      </w:r>
    </w:p>
  </w:footnote>
  <w:footnote w:id="6">
    <w:p w14:paraId="7B202872" w14:textId="7E042B61" w:rsidR="00EE3CD7" w:rsidRPr="00685AD1" w:rsidRDefault="00EE3CD7" w:rsidP="00685AD1">
      <w:pPr>
        <w:ind w:left="567" w:hanging="567"/>
      </w:pPr>
      <w:r w:rsidRPr="00685AD1">
        <w:rPr>
          <w:rStyle w:val="FootnoteReference"/>
        </w:rPr>
        <w:footnoteRef/>
      </w:r>
      <w:r w:rsidR="00685AD1" w:rsidRPr="00685AD1">
        <w:tab/>
      </w:r>
      <w:r w:rsidRPr="00685AD1">
        <w:t xml:space="preserve">ELT L, 2024/765, 29.2.2024, ELI: </w:t>
      </w:r>
      <w:hyperlink r:id="rId4" w:history="1">
        <w:r w:rsidRPr="00685AD1">
          <w:rPr>
            <w:rStyle w:val="Hyperlink"/>
          </w:rPr>
          <w:t>http://data.europa.eu/eli/reg/2024/765/oj</w:t>
        </w:r>
      </w:hyperlink>
      <w:r w:rsidRPr="00685AD1">
        <w:t>.</w:t>
      </w:r>
    </w:p>
  </w:footnote>
  <w:footnote w:id="7">
    <w:p w14:paraId="1BBC9095" w14:textId="74D4D60B"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 xml:space="preserve">ELT L 433 I, 22.12.2020, lk 28, ELI: </w:t>
      </w:r>
      <w:hyperlink r:id="rId5" w:history="1">
        <w:r w:rsidRPr="00685AD1">
          <w:rPr>
            <w:rStyle w:val="Hyperlink"/>
          </w:rPr>
          <w:t>http://data.europa.eu/eli/agree_interinstit/2020/1222/oj</w:t>
        </w:r>
      </w:hyperlink>
      <w:r w:rsidRPr="00685AD1">
        <w:rPr>
          <w:color w:val="000000"/>
        </w:rPr>
        <w:t>.</w:t>
      </w:r>
    </w:p>
  </w:footnote>
  <w:footnote w:id="8">
    <w:p w14:paraId="2C035EA6" w14:textId="76173EE5"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ELT C 445, 29.10.2021, lk 240.</w:t>
      </w:r>
    </w:p>
  </w:footnote>
  <w:footnote w:id="9">
    <w:p w14:paraId="1852DAD4" w14:textId="49484F4E"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ELT C 177, 17.5.2023, lk 115.</w:t>
      </w:r>
    </w:p>
  </w:footnote>
  <w:footnote w:id="10">
    <w:p w14:paraId="3DA1A64C" w14:textId="0786611D"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 xml:space="preserve">ELT C, C/2024/1195, 23.2.2024, ELI: </w:t>
      </w:r>
      <w:hyperlink r:id="rId6" w:history="1">
        <w:r w:rsidRPr="00685AD1">
          <w:rPr>
            <w:rStyle w:val="Hyperlink"/>
          </w:rPr>
          <w:t>http://data.europa.eu/eli/C/2024/1195/oj</w:t>
        </w:r>
      </w:hyperlink>
      <w:r w:rsidRPr="00685AD1">
        <w:rPr>
          <w:color w:val="000000"/>
        </w:rPr>
        <w:t>.</w:t>
      </w:r>
    </w:p>
  </w:footnote>
  <w:footnote w:id="11">
    <w:p w14:paraId="7D757CAF" w14:textId="7F58AA33"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 xml:space="preserve">ELT C, C/2024/6751, 26.11.2024, ELI: </w:t>
      </w:r>
      <w:hyperlink r:id="rId7" w:history="1">
        <w:r w:rsidRPr="00685AD1">
          <w:rPr>
            <w:rStyle w:val="Hyperlink"/>
          </w:rPr>
          <w:t>http://data.europa.eu/eli/C/2024/6751/oj</w:t>
        </w:r>
      </w:hyperlink>
      <w:r w:rsidRPr="00685AD1">
        <w:rPr>
          <w:color w:val="000000"/>
        </w:rPr>
        <w:t>.</w:t>
      </w:r>
    </w:p>
  </w:footnote>
  <w:footnote w:id="12">
    <w:p w14:paraId="1F3D45EE" w14:textId="63BDB1BE" w:rsidR="00EE3CD7" w:rsidRPr="00685AD1" w:rsidRDefault="00EE3CD7" w:rsidP="00685AD1">
      <w:pPr>
        <w:ind w:left="567" w:hanging="567"/>
        <w:rPr>
          <w:color w:val="000000"/>
        </w:rPr>
      </w:pPr>
      <w:r w:rsidRPr="00685AD1">
        <w:rPr>
          <w:rStyle w:val="FootnoteReference"/>
        </w:rPr>
        <w:footnoteRef/>
      </w:r>
      <w:r w:rsidR="00685AD1" w:rsidRPr="00685AD1">
        <w:rPr>
          <w:color w:val="000000"/>
        </w:rPr>
        <w:tab/>
      </w:r>
      <w:r w:rsidRPr="00685AD1">
        <w:rPr>
          <w:color w:val="000000"/>
        </w:rPr>
        <w:t xml:space="preserve">ELT L, 2026/72, 26.2.2026, ELI: </w:t>
      </w:r>
      <w:hyperlink r:id="rId8" w:history="1">
        <w:r w:rsidRPr="00685AD1">
          <w:rPr>
            <w:rStyle w:val="Hyperlink"/>
          </w:rPr>
          <w:t>http://data.europa.eu/eli/budget/2026/72/oj</w:t>
        </w:r>
      </w:hyperlink>
      <w:r w:rsidRPr="00685AD1">
        <w:rPr>
          <w:color w:val="000000"/>
        </w:rPr>
        <w:t xml:space="preserve">. </w:t>
      </w:r>
    </w:p>
  </w:footnote>
  <w:footnote w:id="13">
    <w:p w14:paraId="0CB074C9" w14:textId="2A30F9CA" w:rsidR="00EE3CD7" w:rsidRPr="00685AD1" w:rsidRDefault="00EE3CD7" w:rsidP="00685AD1">
      <w:pPr>
        <w:pStyle w:val="FootnoteText"/>
        <w:ind w:left="567" w:hanging="567"/>
        <w:rPr>
          <w:sz w:val="24"/>
          <w:lang w:val="et-EE"/>
        </w:rPr>
      </w:pPr>
      <w:r w:rsidRPr="00685AD1">
        <w:rPr>
          <w:rStyle w:val="FootnoteReference"/>
          <w:sz w:val="24"/>
          <w:lang w:val="et-EE"/>
        </w:rPr>
        <w:footnoteRef/>
      </w:r>
      <w:r w:rsidR="00685AD1" w:rsidRPr="00685AD1">
        <w:rPr>
          <w:sz w:val="24"/>
          <w:lang w:val="et-EE"/>
        </w:rPr>
        <w:tab/>
      </w:r>
      <w:proofErr w:type="spellStart"/>
      <w:r w:rsidR="000A05F4">
        <w:rPr>
          <w:sz w:val="24"/>
          <w:lang w:val="et-EE"/>
        </w:rPr>
        <w:t>Üldkoh</w:t>
      </w:r>
      <w:r w:rsidR="00F1212F">
        <w:rPr>
          <w:sz w:val="24"/>
          <w:lang w:val="et-EE"/>
        </w:rPr>
        <w:t>t</w:t>
      </w:r>
      <w:r w:rsidR="000A05F4">
        <w:rPr>
          <w:sz w:val="24"/>
          <w:lang w:val="et-EE"/>
        </w:rPr>
        <w:t>u</w:t>
      </w:r>
      <w:proofErr w:type="spellEnd"/>
      <w:r w:rsidRPr="00685AD1">
        <w:rPr>
          <w:sz w:val="24"/>
          <w:lang w:val="et-EE"/>
        </w:rPr>
        <w:t xml:space="preserve"> 17. detsembri 2025. aasta kohtuotsus, FE</w:t>
      </w:r>
      <w:r w:rsidRPr="00605B8D">
        <w:rPr>
          <w:i/>
          <w:iCs/>
          <w:sz w:val="24"/>
          <w:lang w:val="et-EE"/>
        </w:rPr>
        <w:t xml:space="preserve"> versus</w:t>
      </w:r>
      <w:r w:rsidRPr="00685AD1">
        <w:rPr>
          <w:sz w:val="24"/>
          <w:lang w:val="et-EE"/>
        </w:rPr>
        <w:t xml:space="preserve"> </w:t>
      </w:r>
      <w:r w:rsidR="008A464F">
        <w:rPr>
          <w:sz w:val="24"/>
          <w:lang w:val="et-EE"/>
        </w:rPr>
        <w:t>Euroopa P</w:t>
      </w:r>
      <w:r w:rsidRPr="00685AD1">
        <w:rPr>
          <w:sz w:val="24"/>
          <w:lang w:val="et-EE"/>
        </w:rPr>
        <w:t>arlament, T</w:t>
      </w:r>
      <w:r w:rsidRPr="00685AD1">
        <w:rPr>
          <w:sz w:val="24"/>
          <w:lang w:val="et-EE"/>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3E8"/>
    <w:multiLevelType w:val="multilevel"/>
    <w:tmpl w:val="3B9ACA00"/>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1" w15:restartNumberingAfterBreak="0">
    <w:nsid w:val="000003F2"/>
    <w:multiLevelType w:val="singleLevel"/>
    <w:tmpl w:val="4190AB00"/>
    <w:name w:val="Tiret 0"/>
    <w:lvl w:ilvl="0">
      <w:start w:val="1"/>
      <w:numFmt w:val="bullet"/>
      <w:lvlRestart w:val="0"/>
      <w:lvlText w:val="–"/>
      <w:lvlJc w:val="left"/>
      <w:pPr>
        <w:tabs>
          <w:tab w:val="num" w:pos="850"/>
        </w:tabs>
        <w:ind w:left="850" w:hanging="850"/>
      </w:pPr>
    </w:lvl>
  </w:abstractNum>
  <w:abstractNum w:abstractNumId="2" w15:restartNumberingAfterBreak="0">
    <w:nsid w:val="000003F3"/>
    <w:multiLevelType w:val="singleLevel"/>
    <w:tmpl w:val="4190AB01"/>
    <w:name w:val="Tiret 1"/>
    <w:lvl w:ilvl="0">
      <w:start w:val="1"/>
      <w:numFmt w:val="bullet"/>
      <w:lvlRestart w:val="0"/>
      <w:lvlText w:val="–"/>
      <w:lvlJc w:val="left"/>
      <w:pPr>
        <w:tabs>
          <w:tab w:val="num" w:pos="1417"/>
        </w:tabs>
        <w:ind w:left="1417" w:hanging="567"/>
      </w:pPr>
    </w:lvl>
  </w:abstractNum>
  <w:abstractNum w:abstractNumId="3" w15:restartNumberingAfterBreak="0">
    <w:nsid w:val="000003F4"/>
    <w:multiLevelType w:val="singleLevel"/>
    <w:tmpl w:val="4190AB02"/>
    <w:name w:val="Tiret 2"/>
    <w:lvl w:ilvl="0">
      <w:start w:val="1"/>
      <w:numFmt w:val="bullet"/>
      <w:lvlRestart w:val="0"/>
      <w:lvlText w:val="–"/>
      <w:lvlJc w:val="left"/>
      <w:pPr>
        <w:tabs>
          <w:tab w:val="num" w:pos="1984"/>
        </w:tabs>
        <w:ind w:left="1984" w:hanging="567"/>
      </w:pPr>
    </w:lvl>
  </w:abstractNum>
  <w:abstractNum w:abstractNumId="4" w15:restartNumberingAfterBreak="0">
    <w:nsid w:val="000003F5"/>
    <w:multiLevelType w:val="singleLevel"/>
    <w:tmpl w:val="4190AB03"/>
    <w:name w:val="Tiret 3"/>
    <w:lvl w:ilvl="0">
      <w:start w:val="1"/>
      <w:numFmt w:val="bullet"/>
      <w:lvlRestart w:val="0"/>
      <w:lvlText w:val="–"/>
      <w:lvlJc w:val="left"/>
      <w:pPr>
        <w:tabs>
          <w:tab w:val="num" w:pos="2551"/>
        </w:tabs>
        <w:ind w:left="2551" w:hanging="567"/>
      </w:pPr>
    </w:lvl>
  </w:abstractNum>
  <w:abstractNum w:abstractNumId="5" w15:restartNumberingAfterBreak="0">
    <w:nsid w:val="000003F6"/>
    <w:multiLevelType w:val="singleLevel"/>
    <w:tmpl w:val="4190AB04"/>
    <w:name w:val="Tiret 4"/>
    <w:lvl w:ilvl="0">
      <w:start w:val="1"/>
      <w:numFmt w:val="bullet"/>
      <w:lvlRestart w:val="0"/>
      <w:lvlText w:val="–"/>
      <w:lvlJc w:val="left"/>
      <w:pPr>
        <w:tabs>
          <w:tab w:val="num" w:pos="3118"/>
        </w:tabs>
        <w:ind w:left="3118" w:hanging="567"/>
      </w:pPr>
    </w:lvl>
  </w:abstractNum>
  <w:abstractNum w:abstractNumId="6"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7998272">
    <w:abstractNumId w:val="6"/>
  </w:num>
  <w:num w:numId="2" w16cid:durableId="1759060426">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ET"/>
    <w:docVar w:name="dvnumam" w:val="0"/>
    <w:docVar w:name="dvpe" w:val="785.303"/>
    <w:docVar w:name="dvrapporteur" w:val="Raportöör: "/>
    <w:docVar w:name="dvtitre" w:val="Euroopa Parlamendi .... 2026. aasta seadusandlik resolutsioon Euroopa Parlamendi 2027. aasta tulude ja kulude eelarvestuse kohta(2025/2247(BUI))"/>
  </w:docVars>
  <w:rsids>
    <w:rsidRoot w:val="00486D4B"/>
    <w:rsid w:val="00002272"/>
    <w:rsid w:val="00064002"/>
    <w:rsid w:val="000677B9"/>
    <w:rsid w:val="000831BA"/>
    <w:rsid w:val="000A05F4"/>
    <w:rsid w:val="000A42CC"/>
    <w:rsid w:val="000E3FF4"/>
    <w:rsid w:val="000E7DD9"/>
    <w:rsid w:val="0010095E"/>
    <w:rsid w:val="00125B37"/>
    <w:rsid w:val="00155716"/>
    <w:rsid w:val="00187494"/>
    <w:rsid w:val="001F32AE"/>
    <w:rsid w:val="002767FF"/>
    <w:rsid w:val="002B18FE"/>
    <w:rsid w:val="002B5493"/>
    <w:rsid w:val="00343214"/>
    <w:rsid w:val="00361C00"/>
    <w:rsid w:val="00395FA1"/>
    <w:rsid w:val="003E15D4"/>
    <w:rsid w:val="00411CCE"/>
    <w:rsid w:val="0041666E"/>
    <w:rsid w:val="00421060"/>
    <w:rsid w:val="00427DEA"/>
    <w:rsid w:val="00471C19"/>
    <w:rsid w:val="004867E3"/>
    <w:rsid w:val="00486D4B"/>
    <w:rsid w:val="00494A28"/>
    <w:rsid w:val="004C0004"/>
    <w:rsid w:val="004C5D52"/>
    <w:rsid w:val="0050519A"/>
    <w:rsid w:val="005072A1"/>
    <w:rsid w:val="00514517"/>
    <w:rsid w:val="00545827"/>
    <w:rsid w:val="00560270"/>
    <w:rsid w:val="005C2568"/>
    <w:rsid w:val="005F1B17"/>
    <w:rsid w:val="006037C0"/>
    <w:rsid w:val="00605B8D"/>
    <w:rsid w:val="00623297"/>
    <w:rsid w:val="006631B6"/>
    <w:rsid w:val="00680577"/>
    <w:rsid w:val="00685AD1"/>
    <w:rsid w:val="006F74FA"/>
    <w:rsid w:val="007046E8"/>
    <w:rsid w:val="00731ADD"/>
    <w:rsid w:val="00731E12"/>
    <w:rsid w:val="00734777"/>
    <w:rsid w:val="00747932"/>
    <w:rsid w:val="00751A4A"/>
    <w:rsid w:val="00756632"/>
    <w:rsid w:val="00762C74"/>
    <w:rsid w:val="00774A37"/>
    <w:rsid w:val="00786EC0"/>
    <w:rsid w:val="007D1690"/>
    <w:rsid w:val="007E22AD"/>
    <w:rsid w:val="008034D6"/>
    <w:rsid w:val="00817416"/>
    <w:rsid w:val="00842779"/>
    <w:rsid w:val="00865F67"/>
    <w:rsid w:val="00881A7B"/>
    <w:rsid w:val="008840E5"/>
    <w:rsid w:val="00887B3E"/>
    <w:rsid w:val="008A464F"/>
    <w:rsid w:val="008C2AC6"/>
    <w:rsid w:val="00930C23"/>
    <w:rsid w:val="0093193B"/>
    <w:rsid w:val="00931EDD"/>
    <w:rsid w:val="009509D8"/>
    <w:rsid w:val="00950B64"/>
    <w:rsid w:val="00981893"/>
    <w:rsid w:val="00A1687D"/>
    <w:rsid w:val="00A34043"/>
    <w:rsid w:val="00A43E52"/>
    <w:rsid w:val="00A4678D"/>
    <w:rsid w:val="00A778C7"/>
    <w:rsid w:val="00A87308"/>
    <w:rsid w:val="00AB441E"/>
    <w:rsid w:val="00AB6293"/>
    <w:rsid w:val="00AE0928"/>
    <w:rsid w:val="00AE259C"/>
    <w:rsid w:val="00AF3B82"/>
    <w:rsid w:val="00AF5A66"/>
    <w:rsid w:val="00B12E95"/>
    <w:rsid w:val="00B22876"/>
    <w:rsid w:val="00B558F0"/>
    <w:rsid w:val="00B56865"/>
    <w:rsid w:val="00B64002"/>
    <w:rsid w:val="00BD48FE"/>
    <w:rsid w:val="00BD7BD8"/>
    <w:rsid w:val="00BE6048"/>
    <w:rsid w:val="00BE6ADC"/>
    <w:rsid w:val="00C051F8"/>
    <w:rsid w:val="00C05BFE"/>
    <w:rsid w:val="00C23CD4"/>
    <w:rsid w:val="00C61C0C"/>
    <w:rsid w:val="00C941CB"/>
    <w:rsid w:val="00CC2357"/>
    <w:rsid w:val="00CF071A"/>
    <w:rsid w:val="00D058B8"/>
    <w:rsid w:val="00D56C11"/>
    <w:rsid w:val="00D808AF"/>
    <w:rsid w:val="00D834A0"/>
    <w:rsid w:val="00D872DF"/>
    <w:rsid w:val="00D91E21"/>
    <w:rsid w:val="00DA7FCD"/>
    <w:rsid w:val="00E365E1"/>
    <w:rsid w:val="00E368CF"/>
    <w:rsid w:val="00E63820"/>
    <w:rsid w:val="00E820A4"/>
    <w:rsid w:val="00EB006A"/>
    <w:rsid w:val="00EB4772"/>
    <w:rsid w:val="00ED169E"/>
    <w:rsid w:val="00ED4235"/>
    <w:rsid w:val="00EE3CD7"/>
    <w:rsid w:val="00F04346"/>
    <w:rsid w:val="00F075DC"/>
    <w:rsid w:val="00F1212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06A2C"/>
  <w15:chartTrackingRefBased/>
  <w15:docId w15:val="{03542ADA-AF63-4756-AD37-6F0823753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9"/>
    <w:qFormat/>
    <w:pPr>
      <w:spacing w:before="240" w:after="60"/>
      <w:outlineLvl w:val="5"/>
    </w:pPr>
    <w:rPr>
      <w:i/>
      <w:sz w:val="22"/>
    </w:rPr>
  </w:style>
  <w:style w:type="paragraph" w:styleId="Heading7">
    <w:name w:val="heading 7"/>
    <w:basedOn w:val="Normal"/>
    <w:next w:val="Normal"/>
    <w:link w:val="Heading7Char"/>
    <w:uiPriority w:val="9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E3CD7"/>
    <w:rPr>
      <w:b/>
      <w:kern w:val="28"/>
      <w:sz w:val="28"/>
      <w:lang w:val="fr-FR" w:eastAsia="fr-FR"/>
    </w:rPr>
  </w:style>
  <w:style w:type="character" w:customStyle="1" w:styleId="Heading2Char">
    <w:name w:val="Heading 2 Char"/>
    <w:basedOn w:val="DefaultParagraphFont"/>
    <w:link w:val="Heading2"/>
    <w:uiPriority w:val="99"/>
    <w:rsid w:val="00EE3CD7"/>
    <w:rPr>
      <w:sz w:val="24"/>
      <w:lang w:val="fr-FR" w:eastAsia="fr-FR"/>
    </w:rPr>
  </w:style>
  <w:style w:type="character" w:customStyle="1" w:styleId="Heading3Char">
    <w:name w:val="Heading 3 Char"/>
    <w:basedOn w:val="DefaultParagraphFont"/>
    <w:link w:val="Heading3"/>
    <w:uiPriority w:val="99"/>
    <w:rsid w:val="00EE3CD7"/>
    <w:rPr>
      <w:rFonts w:ascii="Arial" w:hAnsi="Arial"/>
      <w:sz w:val="24"/>
      <w:lang w:val="fr-FR" w:eastAsia="fr-FR"/>
    </w:rPr>
  </w:style>
  <w:style w:type="character" w:customStyle="1" w:styleId="Heading4Char">
    <w:name w:val="Heading 4 Char"/>
    <w:basedOn w:val="DefaultParagraphFont"/>
    <w:link w:val="Heading4"/>
    <w:uiPriority w:val="99"/>
    <w:rsid w:val="00EE3CD7"/>
    <w:rPr>
      <w:sz w:val="24"/>
      <w:lang w:val="en-US" w:eastAsia="fr-FR"/>
    </w:rPr>
  </w:style>
  <w:style w:type="character" w:customStyle="1" w:styleId="Heading5Char">
    <w:name w:val="Heading 5 Char"/>
    <w:basedOn w:val="DefaultParagraphFont"/>
    <w:link w:val="Heading5"/>
    <w:uiPriority w:val="99"/>
    <w:rsid w:val="00EE3CD7"/>
    <w:rPr>
      <w:sz w:val="24"/>
      <w:lang w:val="en-US" w:eastAsia="fr-FR"/>
    </w:rPr>
  </w:style>
  <w:style w:type="character" w:customStyle="1" w:styleId="Heading6Char">
    <w:name w:val="Heading 6 Char"/>
    <w:basedOn w:val="DefaultParagraphFont"/>
    <w:link w:val="Heading6"/>
    <w:uiPriority w:val="99"/>
    <w:rsid w:val="00EE3CD7"/>
    <w:rPr>
      <w:i/>
      <w:sz w:val="22"/>
      <w:lang w:val="et-EE"/>
    </w:rPr>
  </w:style>
  <w:style w:type="character" w:customStyle="1" w:styleId="Heading7Char">
    <w:name w:val="Heading 7 Char"/>
    <w:basedOn w:val="DefaultParagraphFont"/>
    <w:link w:val="Heading7"/>
    <w:uiPriority w:val="99"/>
    <w:rsid w:val="00EE3CD7"/>
    <w:rPr>
      <w:rFonts w:ascii="Arial" w:hAnsi="Arial"/>
      <w:sz w:val="24"/>
      <w:lang w:val="et-EE"/>
    </w:rPr>
  </w:style>
  <w:style w:type="character" w:customStyle="1" w:styleId="Heading8Char">
    <w:name w:val="Heading 8 Char"/>
    <w:basedOn w:val="DefaultParagraphFont"/>
    <w:link w:val="Heading8"/>
    <w:uiPriority w:val="99"/>
    <w:rsid w:val="00EE3CD7"/>
    <w:rPr>
      <w:rFonts w:ascii="Arial" w:hAnsi="Arial"/>
      <w:i/>
      <w:sz w:val="24"/>
      <w:lang w:val="et-EE"/>
    </w:rPr>
  </w:style>
  <w:style w:type="character" w:customStyle="1" w:styleId="Heading9Char">
    <w:name w:val="Heading 9 Char"/>
    <w:basedOn w:val="DefaultParagraphFont"/>
    <w:link w:val="Heading9"/>
    <w:uiPriority w:val="99"/>
    <w:rsid w:val="00EE3CD7"/>
    <w:rPr>
      <w:rFonts w:ascii="Arial" w:hAnsi="Arial"/>
      <w:b/>
      <w:i/>
      <w:sz w:val="18"/>
      <w:lang w:val="et-EE"/>
    </w:rPr>
  </w:style>
  <w:style w:type="paragraph" w:styleId="TOCHeading">
    <w:name w:val="TOC Heading"/>
    <w:basedOn w:val="Normal"/>
    <w:next w:val="Normal"/>
    <w:uiPriority w:val="39"/>
    <w:unhideWhenUsed/>
    <w:qFormat/>
    <w:rsid w:val="00EE3CD7"/>
    <w:pPr>
      <w:widowControl/>
      <w:spacing w:after="240"/>
    </w:pPr>
    <w:rPr>
      <w:lang w:val="en-GB"/>
    </w:rPr>
  </w:style>
  <w:style w:type="paragraph" w:customStyle="1" w:styleId="EPFooter2">
    <w:name w:val="EPFooter2"/>
    <w:basedOn w:val="Normal"/>
    <w:next w:val="Normal"/>
    <w:rsid w:val="00EE3CD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E3CD7"/>
    <w:pPr>
      <w:spacing w:after="240"/>
    </w:pPr>
  </w:style>
  <w:style w:type="paragraph" w:customStyle="1" w:styleId="TOCPage">
    <w:name w:val="TOC Page"/>
    <w:basedOn w:val="Normal"/>
    <w:next w:val="TOC1"/>
    <w:rsid w:val="00EE3CD7"/>
    <w:pPr>
      <w:keepNext/>
      <w:spacing w:after="240"/>
      <w:jc w:val="right"/>
    </w:pPr>
    <w:rPr>
      <w:rFonts w:ascii="Arial" w:hAnsi="Arial"/>
      <w:b/>
    </w:rPr>
  </w:style>
  <w:style w:type="paragraph" w:customStyle="1" w:styleId="PageHeading">
    <w:name w:val="PageHeading"/>
    <w:basedOn w:val="Normal"/>
    <w:rsid w:val="00EE3CD7"/>
    <w:pPr>
      <w:keepNext/>
      <w:spacing w:after="480"/>
      <w:jc w:val="center"/>
    </w:pPr>
    <w:rPr>
      <w:rFonts w:ascii="Arial" w:hAnsi="Arial" w:cs="Arial"/>
      <w:b/>
    </w:rPr>
  </w:style>
  <w:style w:type="paragraph" w:customStyle="1" w:styleId="NormalBold">
    <w:name w:val="NormalBold"/>
    <w:basedOn w:val="Normal"/>
    <w:rsid w:val="00EE3CD7"/>
    <w:rPr>
      <w:b/>
    </w:rPr>
  </w:style>
  <w:style w:type="paragraph" w:customStyle="1" w:styleId="NormalHanging12a">
    <w:name w:val="NormalHanging12a"/>
    <w:basedOn w:val="Normal"/>
    <w:rsid w:val="00EE3CD7"/>
    <w:pPr>
      <w:spacing w:after="240"/>
      <w:ind w:left="567" w:hanging="567"/>
    </w:pPr>
  </w:style>
  <w:style w:type="paragraph" w:customStyle="1" w:styleId="CoverNormal24a">
    <w:name w:val="CoverNormal24a"/>
    <w:basedOn w:val="Normal"/>
    <w:rsid w:val="00EE3CD7"/>
    <w:pPr>
      <w:spacing w:after="480"/>
      <w:ind w:left="1417"/>
    </w:pPr>
  </w:style>
  <w:style w:type="paragraph" w:customStyle="1" w:styleId="CoverNormal">
    <w:name w:val="CoverNormal"/>
    <w:basedOn w:val="Normal"/>
    <w:rsid w:val="00EE3CD7"/>
    <w:pPr>
      <w:ind w:left="1418"/>
    </w:pPr>
  </w:style>
  <w:style w:type="paragraph" w:customStyle="1" w:styleId="CoverReference">
    <w:name w:val="CoverReference"/>
    <w:basedOn w:val="Normal"/>
    <w:rsid w:val="00EE3CD7"/>
    <w:pPr>
      <w:spacing w:before="1080"/>
      <w:jc w:val="right"/>
    </w:pPr>
    <w:rPr>
      <w:rFonts w:ascii="Arial" w:hAnsi="Arial" w:cs="Arial"/>
      <w:b/>
    </w:rPr>
  </w:style>
  <w:style w:type="paragraph" w:customStyle="1" w:styleId="CoverDocType24a">
    <w:name w:val="CoverDocType24a"/>
    <w:basedOn w:val="Normal"/>
    <w:rsid w:val="00EE3CD7"/>
    <w:pPr>
      <w:spacing w:after="480"/>
      <w:ind w:left="1418"/>
    </w:pPr>
    <w:rPr>
      <w:rFonts w:ascii="Arial" w:hAnsi="Arial"/>
      <w:b/>
      <w:sz w:val="48"/>
    </w:rPr>
  </w:style>
  <w:style w:type="paragraph" w:customStyle="1" w:styleId="CoverDate">
    <w:name w:val="CoverDate"/>
    <w:basedOn w:val="Normal"/>
    <w:rsid w:val="00EE3CD7"/>
    <w:pPr>
      <w:spacing w:before="240" w:after="1200"/>
    </w:pPr>
  </w:style>
  <w:style w:type="paragraph" w:customStyle="1" w:styleId="EPBody">
    <w:name w:val="EPBody"/>
    <w:basedOn w:val="Normal"/>
    <w:rsid w:val="00EE3CD7"/>
    <w:pPr>
      <w:jc w:val="center"/>
    </w:pPr>
    <w:rPr>
      <w:rFonts w:ascii="Arial" w:hAnsi="Arial" w:cs="Arial"/>
      <w:i/>
      <w:sz w:val="22"/>
      <w:szCs w:val="22"/>
    </w:rPr>
  </w:style>
  <w:style w:type="paragraph" w:customStyle="1" w:styleId="EPFooter">
    <w:name w:val="EPFooter"/>
    <w:basedOn w:val="Normal"/>
    <w:rsid w:val="00EE3CD7"/>
    <w:pPr>
      <w:tabs>
        <w:tab w:val="center" w:pos="4535"/>
        <w:tab w:val="right" w:pos="9071"/>
      </w:tabs>
      <w:spacing w:before="240" w:after="240"/>
    </w:pPr>
    <w:rPr>
      <w:color w:val="010000"/>
      <w:sz w:val="22"/>
    </w:rPr>
  </w:style>
  <w:style w:type="paragraph" w:styleId="Header">
    <w:name w:val="header"/>
    <w:basedOn w:val="Normal"/>
    <w:link w:val="HeaderChar"/>
    <w:uiPriority w:val="99"/>
    <w:rsid w:val="00EE3CD7"/>
    <w:pPr>
      <w:tabs>
        <w:tab w:val="center" w:pos="4513"/>
        <w:tab w:val="right" w:pos="9026"/>
      </w:tabs>
    </w:pPr>
  </w:style>
  <w:style w:type="character" w:customStyle="1" w:styleId="HeaderChar">
    <w:name w:val="Header Char"/>
    <w:basedOn w:val="DefaultParagraphFont"/>
    <w:link w:val="Header"/>
    <w:uiPriority w:val="99"/>
    <w:rsid w:val="00EE3CD7"/>
    <w:rPr>
      <w:sz w:val="24"/>
      <w:lang w:val="et-EE"/>
    </w:rPr>
  </w:style>
  <w:style w:type="paragraph" w:customStyle="1" w:styleId="EPComma">
    <w:name w:val="EPComma"/>
    <w:basedOn w:val="Normal"/>
    <w:rsid w:val="00EE3CD7"/>
    <w:pPr>
      <w:spacing w:before="480" w:after="240"/>
    </w:pPr>
  </w:style>
  <w:style w:type="character" w:styleId="Hyperlink">
    <w:name w:val="Hyperlink"/>
    <w:basedOn w:val="DefaultParagraphFont"/>
    <w:uiPriority w:val="99"/>
    <w:rsid w:val="00EE3CD7"/>
    <w:rPr>
      <w:color w:val="0563C1" w:themeColor="hyperlink"/>
      <w:u w:val="single"/>
    </w:rPr>
  </w:style>
  <w:style w:type="character" w:styleId="UnresolvedMention">
    <w:name w:val="Unresolved Mention"/>
    <w:basedOn w:val="DefaultParagraphFont"/>
    <w:uiPriority w:val="99"/>
    <w:semiHidden/>
    <w:unhideWhenUsed/>
    <w:rsid w:val="00EE3CD7"/>
    <w:rPr>
      <w:color w:val="605E5C"/>
      <w:shd w:val="clear" w:color="auto" w:fill="E1DFDD"/>
    </w:rPr>
  </w:style>
  <w:style w:type="paragraph" w:customStyle="1" w:styleId="Action">
    <w:name w:val="Action"/>
    <w:basedOn w:val="Normal"/>
    <w:rsid w:val="00EE3CD7"/>
    <w:pPr>
      <w:tabs>
        <w:tab w:val="left" w:pos="357"/>
      </w:tabs>
      <w:spacing w:after="240"/>
      <w:ind w:left="357" w:hanging="357"/>
    </w:pPr>
    <w:rPr>
      <w:lang w:eastAsia="en-US"/>
    </w:rPr>
  </w:style>
  <w:style w:type="paragraph" w:customStyle="1" w:styleId="action0">
    <w:name w:val="action"/>
    <w:basedOn w:val="Normal"/>
    <w:rsid w:val="00EE3CD7"/>
    <w:pPr>
      <w:widowControl/>
      <w:spacing w:after="240"/>
      <w:ind w:left="357" w:hanging="357"/>
    </w:pPr>
    <w:rPr>
      <w:rFonts w:eastAsiaTheme="minorHAnsi"/>
      <w:szCs w:val="24"/>
    </w:rPr>
  </w:style>
  <w:style w:type="paragraph" w:customStyle="1" w:styleId="Institutionquiagit">
    <w:name w:val="Institution qui agit"/>
    <w:basedOn w:val="Normal"/>
    <w:next w:val="Normal"/>
    <w:rsid w:val="00EE3CD7"/>
    <w:pPr>
      <w:keepNext/>
      <w:snapToGrid w:val="0"/>
      <w:spacing w:after="240"/>
    </w:pPr>
    <w:rPr>
      <w:i/>
      <w:lang w:eastAsia="en-US"/>
    </w:rPr>
  </w:style>
  <w:style w:type="paragraph" w:customStyle="1" w:styleId="FootnoteReference1">
    <w:name w:val="Footnote Reference1"/>
    <w:basedOn w:val="Normal"/>
    <w:link w:val="FootnoteReference"/>
    <w:rsid w:val="00EE3CD7"/>
    <w:pPr>
      <w:widowControl/>
      <w:spacing w:after="160" w:line="240" w:lineRule="exact"/>
    </w:pPr>
    <w:rPr>
      <w:sz w:val="20"/>
      <w:vertAlign w:val="superscript"/>
      <w:lang w:val="en-GB"/>
    </w:rPr>
  </w:style>
  <w:style w:type="paragraph" w:styleId="Revision">
    <w:name w:val="Revision"/>
    <w:hidden/>
    <w:uiPriority w:val="99"/>
    <w:semiHidden/>
    <w:rsid w:val="00EE3CD7"/>
    <w:rPr>
      <w:sz w:val="24"/>
    </w:rPr>
  </w:style>
  <w:style w:type="paragraph" w:styleId="Footer">
    <w:name w:val="footer"/>
    <w:basedOn w:val="Normal"/>
    <w:link w:val="FooterChar"/>
    <w:uiPriority w:val="99"/>
    <w:rsid w:val="00EE3CD7"/>
    <w:pPr>
      <w:tabs>
        <w:tab w:val="center" w:pos="4513"/>
        <w:tab w:val="right" w:pos="9026"/>
      </w:tabs>
    </w:pPr>
  </w:style>
  <w:style w:type="character" w:customStyle="1" w:styleId="FooterChar">
    <w:name w:val="Footer Char"/>
    <w:basedOn w:val="DefaultParagraphFont"/>
    <w:link w:val="Footer"/>
    <w:uiPriority w:val="99"/>
    <w:rsid w:val="00EE3CD7"/>
    <w:rPr>
      <w:sz w:val="24"/>
      <w:lang w:val="et-EE"/>
    </w:rPr>
  </w:style>
  <w:style w:type="character" w:styleId="CommentReference">
    <w:name w:val="annotation reference"/>
    <w:basedOn w:val="DefaultParagraphFont"/>
    <w:uiPriority w:val="99"/>
    <w:rsid w:val="00EE3CD7"/>
    <w:rPr>
      <w:sz w:val="16"/>
      <w:szCs w:val="16"/>
    </w:rPr>
  </w:style>
  <w:style w:type="paragraph" w:styleId="CommentText">
    <w:name w:val="annotation text"/>
    <w:basedOn w:val="Normal"/>
    <w:link w:val="CommentTextChar"/>
    <w:uiPriority w:val="99"/>
    <w:rsid w:val="00EE3CD7"/>
    <w:rPr>
      <w:sz w:val="20"/>
    </w:rPr>
  </w:style>
  <w:style w:type="character" w:customStyle="1" w:styleId="CommentTextChar">
    <w:name w:val="Comment Text Char"/>
    <w:basedOn w:val="DefaultParagraphFont"/>
    <w:link w:val="CommentText"/>
    <w:uiPriority w:val="99"/>
    <w:rsid w:val="00EE3CD7"/>
    <w:rPr>
      <w:lang w:val="et-EE"/>
    </w:rPr>
  </w:style>
  <w:style w:type="paragraph" w:styleId="CommentSubject">
    <w:name w:val="annotation subject"/>
    <w:basedOn w:val="CommentText"/>
    <w:next w:val="CommentText"/>
    <w:link w:val="CommentSubjectChar"/>
    <w:uiPriority w:val="99"/>
    <w:unhideWhenUsed/>
    <w:rsid w:val="00EE3CD7"/>
    <w:rPr>
      <w:b/>
      <w:bCs/>
    </w:rPr>
  </w:style>
  <w:style w:type="character" w:customStyle="1" w:styleId="CommentSubjectChar">
    <w:name w:val="Comment Subject Char"/>
    <w:basedOn w:val="CommentTextChar"/>
    <w:link w:val="CommentSubject"/>
    <w:uiPriority w:val="99"/>
    <w:rsid w:val="00EE3CD7"/>
    <w:rPr>
      <w:b/>
      <w:bCs/>
      <w:lang w:val="et-EE"/>
    </w:rPr>
  </w:style>
  <w:style w:type="paragraph" w:styleId="ListParagraph">
    <w:name w:val="List Paragraph"/>
    <w:basedOn w:val="Normal"/>
    <w:uiPriority w:val="34"/>
    <w:qFormat/>
    <w:rsid w:val="00EE3CD7"/>
    <w:pPr>
      <w:ind w:left="720"/>
      <w:contextualSpacing/>
    </w:pPr>
  </w:style>
  <w:style w:type="paragraph" w:customStyle="1" w:styleId="Normal24a">
    <w:name w:val="Normal24a"/>
    <w:basedOn w:val="Normal"/>
    <w:rsid w:val="00EE3CD7"/>
    <w:pPr>
      <w:spacing w:after="480"/>
    </w:pPr>
  </w:style>
  <w:style w:type="paragraph" w:customStyle="1" w:styleId="NormalBoldCenter">
    <w:name w:val="NormalBoldCenter"/>
    <w:basedOn w:val="Normal"/>
    <w:rsid w:val="00EE3CD7"/>
    <w:pPr>
      <w:jc w:val="center"/>
    </w:pPr>
    <w:rPr>
      <w:b/>
    </w:rPr>
  </w:style>
  <w:style w:type="paragraph" w:customStyle="1" w:styleId="Footprint12b">
    <w:name w:val="Footprint12b"/>
    <w:basedOn w:val="Normal"/>
    <w:rsid w:val="00EE3CD7"/>
    <w:pPr>
      <w:spacing w:before="240"/>
    </w:pPr>
    <w:rPr>
      <w:szCs w:val="24"/>
    </w:rPr>
  </w:style>
  <w:style w:type="paragraph" w:customStyle="1" w:styleId="NormalSingle">
    <w:name w:val="NormalSingle"/>
    <w:basedOn w:val="Normal"/>
    <w:qFormat/>
    <w:rsid w:val="00EE3CD7"/>
    <w:rPr>
      <w:szCs w:val="24"/>
    </w:rPr>
  </w:style>
  <w:style w:type="paragraph" w:styleId="Title">
    <w:name w:val="Title"/>
    <w:basedOn w:val="Normal"/>
    <w:next w:val="Normal"/>
    <w:link w:val="TitleChar"/>
    <w:uiPriority w:val="10"/>
    <w:qFormat/>
    <w:rsid w:val="00EE3CD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E3CD7"/>
    <w:rPr>
      <w:rFonts w:ascii="Arial" w:eastAsiaTheme="majorEastAsia" w:hAnsi="Arial" w:cs="Arial"/>
      <w:b/>
      <w:bCs/>
      <w:kern w:val="28"/>
      <w:sz w:val="32"/>
      <w:szCs w:val="32"/>
      <w:lang w:val="et-EE" w:eastAsia="en-US"/>
    </w:rPr>
  </w:style>
  <w:style w:type="paragraph" w:styleId="Subtitle">
    <w:name w:val="Subtitle"/>
    <w:basedOn w:val="Normal"/>
    <w:next w:val="Normal"/>
    <w:link w:val="SubtitleChar"/>
    <w:uiPriority w:val="11"/>
    <w:qFormat/>
    <w:rsid w:val="00EE3CD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E3CD7"/>
    <w:rPr>
      <w:rFonts w:ascii="Arial" w:eastAsiaTheme="majorEastAsia" w:hAnsi="Arial" w:cs="Arial"/>
      <w:sz w:val="24"/>
      <w:szCs w:val="24"/>
      <w:lang w:val="et-EE" w:eastAsia="en-US"/>
    </w:rPr>
  </w:style>
  <w:style w:type="character" w:styleId="Strong">
    <w:name w:val="Strong"/>
    <w:basedOn w:val="DefaultParagraphFont"/>
    <w:uiPriority w:val="22"/>
    <w:qFormat/>
    <w:rsid w:val="00EE3CD7"/>
    <w:rPr>
      <w:b/>
      <w:bCs/>
    </w:rPr>
  </w:style>
  <w:style w:type="character" w:styleId="Emphasis">
    <w:name w:val="Emphasis"/>
    <w:basedOn w:val="DefaultParagraphFont"/>
    <w:uiPriority w:val="20"/>
    <w:qFormat/>
    <w:rsid w:val="00EE3CD7"/>
    <w:rPr>
      <w:rFonts w:asciiTheme="minorHAnsi" w:hAnsiTheme="minorHAnsi"/>
      <w:b/>
      <w:i/>
      <w:iCs/>
    </w:rPr>
  </w:style>
  <w:style w:type="paragraph" w:styleId="NoSpacing">
    <w:name w:val="No Spacing"/>
    <w:basedOn w:val="Normal"/>
    <w:uiPriority w:val="1"/>
    <w:qFormat/>
    <w:rsid w:val="00EE3CD7"/>
    <w:pPr>
      <w:widowControl/>
      <w:jc w:val="both"/>
    </w:pPr>
    <w:rPr>
      <w:rFonts w:eastAsiaTheme="minorHAnsi"/>
      <w:szCs w:val="32"/>
      <w:lang w:eastAsia="en-US"/>
    </w:rPr>
  </w:style>
  <w:style w:type="paragraph" w:styleId="Quote">
    <w:name w:val="Quote"/>
    <w:basedOn w:val="Normal"/>
    <w:next w:val="Normal"/>
    <w:link w:val="QuoteChar"/>
    <w:uiPriority w:val="29"/>
    <w:qFormat/>
    <w:rsid w:val="00EE3CD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E3CD7"/>
    <w:rPr>
      <w:rFonts w:eastAsiaTheme="minorHAnsi"/>
      <w:i/>
      <w:sz w:val="24"/>
      <w:szCs w:val="24"/>
      <w:lang w:val="et-EE" w:eastAsia="en-US"/>
    </w:rPr>
  </w:style>
  <w:style w:type="paragraph" w:styleId="IntenseQuote">
    <w:name w:val="Intense Quote"/>
    <w:basedOn w:val="Normal"/>
    <w:next w:val="Normal"/>
    <w:link w:val="IntenseQuoteChar"/>
    <w:uiPriority w:val="30"/>
    <w:qFormat/>
    <w:rsid w:val="00EE3CD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E3CD7"/>
    <w:rPr>
      <w:rFonts w:eastAsiaTheme="minorHAnsi"/>
      <w:b/>
      <w:i/>
      <w:sz w:val="24"/>
      <w:szCs w:val="22"/>
      <w:lang w:val="et-EE" w:eastAsia="en-US"/>
    </w:rPr>
  </w:style>
  <w:style w:type="character" w:styleId="SubtleEmphasis">
    <w:name w:val="Subtle Emphasis"/>
    <w:uiPriority w:val="19"/>
    <w:qFormat/>
    <w:rsid w:val="00EE3CD7"/>
    <w:rPr>
      <w:i/>
      <w:color w:val="5A5A5A" w:themeColor="text1" w:themeTint="A5"/>
    </w:rPr>
  </w:style>
  <w:style w:type="character" w:styleId="IntenseEmphasis">
    <w:name w:val="Intense Emphasis"/>
    <w:basedOn w:val="DefaultParagraphFont"/>
    <w:uiPriority w:val="21"/>
    <w:qFormat/>
    <w:rsid w:val="00EE3CD7"/>
    <w:rPr>
      <w:b/>
      <w:i/>
      <w:sz w:val="24"/>
      <w:szCs w:val="24"/>
      <w:u w:val="single"/>
    </w:rPr>
  </w:style>
  <w:style w:type="character" w:styleId="SubtleReference">
    <w:name w:val="Subtle Reference"/>
    <w:basedOn w:val="DefaultParagraphFont"/>
    <w:uiPriority w:val="31"/>
    <w:qFormat/>
    <w:rsid w:val="00EE3CD7"/>
    <w:rPr>
      <w:sz w:val="24"/>
      <w:szCs w:val="24"/>
      <w:u w:val="single"/>
    </w:rPr>
  </w:style>
  <w:style w:type="character" w:styleId="IntenseReference">
    <w:name w:val="Intense Reference"/>
    <w:basedOn w:val="DefaultParagraphFont"/>
    <w:uiPriority w:val="32"/>
    <w:qFormat/>
    <w:rsid w:val="00EE3CD7"/>
    <w:rPr>
      <w:b/>
      <w:sz w:val="24"/>
      <w:u w:val="single"/>
    </w:rPr>
  </w:style>
  <w:style w:type="character" w:styleId="BookTitle">
    <w:name w:val="Book Title"/>
    <w:basedOn w:val="DefaultParagraphFont"/>
    <w:uiPriority w:val="33"/>
    <w:qFormat/>
    <w:rsid w:val="00EE3CD7"/>
    <w:rPr>
      <w:rFonts w:asciiTheme="majorHAnsi" w:eastAsiaTheme="majorEastAsia" w:hAnsiTheme="majorHAnsi"/>
      <w:b/>
      <w:i/>
      <w:sz w:val="24"/>
      <w:szCs w:val="24"/>
    </w:rPr>
  </w:style>
  <w:style w:type="paragraph" w:customStyle="1" w:styleId="TableTitle">
    <w:name w:val="Table Title"/>
    <w:basedOn w:val="Normal"/>
    <w:uiPriority w:val="99"/>
    <w:rsid w:val="00EE3CD7"/>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EE3CD7"/>
    <w:pPr>
      <w:keepNext/>
      <w:widowControl/>
    </w:pPr>
    <w:rPr>
      <w:rFonts w:eastAsiaTheme="minorEastAsia"/>
      <w:sz w:val="18"/>
      <w:szCs w:val="18"/>
    </w:rPr>
  </w:style>
  <w:style w:type="paragraph" w:customStyle="1" w:styleId="NormalRight">
    <w:name w:val="Normal Right"/>
    <w:basedOn w:val="Normal"/>
    <w:next w:val="Normal"/>
    <w:uiPriority w:val="99"/>
    <w:rsid w:val="00EE3CD7"/>
    <w:pPr>
      <w:widowControl/>
      <w:spacing w:before="120" w:after="120"/>
      <w:jc w:val="right"/>
    </w:pPr>
    <w:rPr>
      <w:rFonts w:eastAsiaTheme="minorEastAsia"/>
      <w:szCs w:val="24"/>
    </w:rPr>
  </w:style>
  <w:style w:type="paragraph" w:customStyle="1" w:styleId="ReusedInfo">
    <w:name w:val="ReusedInfo"/>
    <w:next w:val="Normal"/>
    <w:uiPriority w:val="99"/>
    <w:rsid w:val="00EE3CD7"/>
    <w:pPr>
      <w:shd w:val="clear" w:color="auto" w:fill="C0C0C0"/>
      <w:spacing w:before="60" w:after="60"/>
    </w:pPr>
    <w:rPr>
      <w:rFonts w:eastAsiaTheme="minorEastAsia"/>
    </w:rPr>
  </w:style>
  <w:style w:type="paragraph" w:customStyle="1" w:styleId="Section">
    <w:name w:val="Section"/>
    <w:basedOn w:val="Normal"/>
    <w:next w:val="Normal"/>
    <w:uiPriority w:val="99"/>
    <w:rsid w:val="00EE3CD7"/>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EE3CD7"/>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EE3CD7"/>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EE3CD7"/>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EE3CD7"/>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EE3CD7"/>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EE3CD7"/>
    <w:pPr>
      <w:keepNext/>
      <w:widowControl/>
      <w:spacing w:before="480" w:after="120"/>
    </w:pPr>
    <w:rPr>
      <w:rFonts w:eastAsiaTheme="minorEastAsia"/>
      <w:b/>
      <w:bCs/>
      <w:i/>
      <w:iCs/>
      <w:szCs w:val="24"/>
    </w:rPr>
  </w:style>
  <w:style w:type="paragraph" w:customStyle="1" w:styleId="Item">
    <w:name w:val="Item"/>
    <w:basedOn w:val="Normal"/>
    <w:next w:val="Normal"/>
    <w:uiPriority w:val="99"/>
    <w:rsid w:val="00EE3CD7"/>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EE3CD7"/>
    <w:pPr>
      <w:keepNext/>
      <w:widowControl/>
      <w:spacing w:before="480" w:after="120"/>
    </w:pPr>
    <w:rPr>
      <w:rFonts w:eastAsiaTheme="minorEastAsia"/>
      <w:sz w:val="20"/>
    </w:rPr>
  </w:style>
  <w:style w:type="paragraph" w:customStyle="1" w:styleId="Annex">
    <w:name w:val="Annex"/>
    <w:basedOn w:val="Normal"/>
    <w:next w:val="Normal"/>
    <w:uiPriority w:val="99"/>
    <w:rsid w:val="00EE3CD7"/>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EE3CD7"/>
    <w:pPr>
      <w:widowControl/>
      <w:spacing w:before="120" w:after="120"/>
    </w:pPr>
    <w:rPr>
      <w:rFonts w:eastAsiaTheme="minorEastAsia"/>
      <w:i/>
      <w:iCs/>
      <w:sz w:val="20"/>
    </w:rPr>
  </w:style>
  <w:style w:type="paragraph" w:customStyle="1" w:styleId="Objective">
    <w:name w:val="Objective"/>
    <w:basedOn w:val="Normal"/>
    <w:next w:val="Normal"/>
    <w:uiPriority w:val="99"/>
    <w:rsid w:val="00EE3CD7"/>
    <w:pPr>
      <w:keepNext/>
      <w:widowControl/>
      <w:spacing w:before="120" w:after="120"/>
    </w:pPr>
    <w:rPr>
      <w:rFonts w:eastAsiaTheme="minorEastAsia"/>
      <w:i/>
      <w:iCs/>
      <w:sz w:val="20"/>
    </w:rPr>
  </w:style>
  <w:style w:type="paragraph" w:customStyle="1" w:styleId="Figures">
    <w:name w:val="Figures"/>
    <w:basedOn w:val="Normal"/>
    <w:next w:val="Normal"/>
    <w:uiPriority w:val="99"/>
    <w:rsid w:val="00EE3CD7"/>
    <w:pPr>
      <w:keepNext/>
      <w:widowControl/>
      <w:spacing w:before="120" w:after="120"/>
    </w:pPr>
    <w:rPr>
      <w:rFonts w:eastAsiaTheme="minorEastAsia"/>
      <w:i/>
      <w:iCs/>
      <w:sz w:val="20"/>
    </w:rPr>
  </w:style>
  <w:style w:type="paragraph" w:customStyle="1" w:styleId="Remarks">
    <w:name w:val="Remarks"/>
    <w:basedOn w:val="Normal"/>
    <w:next w:val="Normal"/>
    <w:uiPriority w:val="99"/>
    <w:rsid w:val="00EE3CD7"/>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EE3CD7"/>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EE3CD7"/>
    <w:pPr>
      <w:keepNext/>
      <w:widowControl/>
      <w:spacing w:before="120" w:after="120"/>
    </w:pPr>
    <w:rPr>
      <w:rFonts w:eastAsiaTheme="minorEastAsia"/>
      <w:i/>
      <w:iCs/>
      <w:sz w:val="20"/>
    </w:rPr>
  </w:style>
  <w:style w:type="paragraph" w:customStyle="1" w:styleId="Reference">
    <w:name w:val="Reference"/>
    <w:basedOn w:val="Normal"/>
    <w:next w:val="Normal"/>
    <w:uiPriority w:val="99"/>
    <w:rsid w:val="00EE3CD7"/>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EE3CD7"/>
  </w:style>
  <w:style w:type="character" w:customStyle="1" w:styleId="tw4winInternal">
    <w:name w:val="tw4winInternal"/>
    <w:basedOn w:val="DefaultParagraphFont"/>
    <w:uiPriority w:val="99"/>
    <w:rsid w:val="00EE3CD7"/>
    <w:rPr>
      <w:sz w:val="16"/>
      <w:szCs w:val="16"/>
      <w:u w:val="dash"/>
      <w:shd w:val="clear" w:color="auto" w:fill="FFFF00"/>
    </w:rPr>
  </w:style>
  <w:style w:type="character" w:customStyle="1" w:styleId="ReusedInlineInfo">
    <w:name w:val="ReusedInlineInfo"/>
    <w:basedOn w:val="DefaultParagraphFont"/>
    <w:uiPriority w:val="99"/>
    <w:rsid w:val="00EE3CD7"/>
    <w:rPr>
      <w:sz w:val="16"/>
      <w:szCs w:val="16"/>
      <w:u w:val="dash"/>
      <w:shd w:val="clear" w:color="auto" w:fill="FFFF00"/>
    </w:rPr>
  </w:style>
  <w:style w:type="character" w:customStyle="1" w:styleId="Error">
    <w:name w:val="Error"/>
    <w:basedOn w:val="DefaultParagraphFont"/>
    <w:uiPriority w:val="99"/>
    <w:rsid w:val="00EE3CD7"/>
    <w:rPr>
      <w:shd w:val="clear" w:color="auto" w:fill="FF0000"/>
    </w:rPr>
  </w:style>
  <w:style w:type="paragraph" w:styleId="BalloonText">
    <w:name w:val="Balloon Text"/>
    <w:basedOn w:val="Normal"/>
    <w:link w:val="BalloonTextChar"/>
    <w:uiPriority w:val="99"/>
    <w:unhideWhenUsed/>
    <w:rsid w:val="00EE3CD7"/>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EE3CD7"/>
    <w:rPr>
      <w:rFonts w:ascii="Segoe UI" w:eastAsiaTheme="minorHAnsi" w:hAnsi="Segoe UI" w:cs="Segoe UI"/>
      <w:sz w:val="18"/>
      <w:szCs w:val="18"/>
      <w:lang w:val="et-EE" w:eastAsia="en-US"/>
    </w:rPr>
  </w:style>
  <w:style w:type="numbering" w:customStyle="1" w:styleId="NoList1">
    <w:name w:val="No List1"/>
    <w:next w:val="NoList"/>
    <w:uiPriority w:val="99"/>
    <w:semiHidden/>
    <w:unhideWhenUsed/>
    <w:rsid w:val="00EE3CD7"/>
  </w:style>
  <w:style w:type="numbering" w:customStyle="1" w:styleId="NoList2">
    <w:name w:val="No List2"/>
    <w:next w:val="NoList"/>
    <w:uiPriority w:val="99"/>
    <w:semiHidden/>
    <w:unhideWhenUsed/>
    <w:rsid w:val="00EE3CD7"/>
  </w:style>
  <w:style w:type="paragraph" w:customStyle="1" w:styleId="RollCallVotes">
    <w:name w:val="RollCallVotes"/>
    <w:basedOn w:val="Normal"/>
    <w:rsid w:val="00EE3CD7"/>
    <w:pPr>
      <w:spacing w:before="120" w:after="120"/>
      <w:jc w:val="center"/>
    </w:pPr>
    <w:rPr>
      <w:b/>
      <w:bCs/>
      <w:snapToGrid w:val="0"/>
      <w:sz w:val="16"/>
      <w:lang w:eastAsia="en-US"/>
    </w:rPr>
  </w:style>
  <w:style w:type="paragraph" w:customStyle="1" w:styleId="RollCallTabs">
    <w:name w:val="RollCallTabs"/>
    <w:basedOn w:val="Normal"/>
    <w:qFormat/>
    <w:rsid w:val="00EE3CD7"/>
    <w:pPr>
      <w:tabs>
        <w:tab w:val="center" w:pos="284"/>
        <w:tab w:val="left" w:pos="426"/>
      </w:tabs>
    </w:pPr>
    <w:rPr>
      <w:snapToGrid w:val="0"/>
      <w:lang w:eastAsia="en-US"/>
    </w:rPr>
  </w:style>
  <w:style w:type="paragraph" w:customStyle="1" w:styleId="RollCallSymbols14pt">
    <w:name w:val="RollCallSymbols14pt"/>
    <w:basedOn w:val="Normal"/>
    <w:rsid w:val="00EE3CD7"/>
    <w:pPr>
      <w:spacing w:before="120" w:after="120"/>
      <w:jc w:val="center"/>
    </w:pPr>
    <w:rPr>
      <w:rFonts w:ascii="Arial" w:hAnsi="Arial"/>
      <w:b/>
      <w:bCs/>
      <w:snapToGrid w:val="0"/>
      <w:sz w:val="28"/>
      <w:lang w:eastAsia="en-US"/>
    </w:rPr>
  </w:style>
  <w:style w:type="paragraph" w:customStyle="1" w:styleId="RollCallTable">
    <w:name w:val="RollCallTable"/>
    <w:basedOn w:val="Normal"/>
    <w:rsid w:val="00EE3CD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3207</Words>
  <Characters>24004</Characters>
  <Application>Microsoft Office Word</Application>
  <DocSecurity>0</DocSecurity>
  <Lines>200</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2026-05-06T07:49:00Z</dcterms:created>
  <dcterms:modified xsi:type="dcterms:W3CDTF">2026-05-06T07:49:00Z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P10_TA(2026)0155_</vt:lpwstr>
  </property>
  <property fmtid="{D5CDD505-2E9C-101B-9397-08002B2CF9AE}" pid="4" name="&lt;Type&gt;">
    <vt:lpwstr>RR</vt:lpwstr>
  </property>
</Properties>
</file>