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F32" w14:paraId="08A8A847" w14:textId="77777777" w:rsidTr="0010095E">
        <w:trPr>
          <w:trHeight w:hRule="exact" w:val="1418"/>
        </w:trPr>
        <w:tc>
          <w:tcPr>
            <w:tcW w:w="6804" w:type="dxa"/>
            <w:shd w:val="clear" w:color="auto" w:fill="auto"/>
            <w:vAlign w:val="center"/>
          </w:tcPr>
          <w:p w14:paraId="37D145BA" w14:textId="77777777" w:rsidR="00751A4A" w:rsidRPr="00BD1F32" w:rsidRDefault="00015225" w:rsidP="0010095E">
            <w:pPr>
              <w:pStyle w:val="EPName"/>
            </w:pPr>
            <w:r w:rsidRPr="00BD1F32">
              <w:t>Euroopan parlamentti</w:t>
            </w:r>
          </w:p>
          <w:p w14:paraId="726CB5E0" w14:textId="77777777" w:rsidR="00751A4A" w:rsidRPr="00BD1F32" w:rsidRDefault="005F1B17" w:rsidP="005F1B17">
            <w:pPr>
              <w:pStyle w:val="EPTerm"/>
              <w:rPr>
                <w:rStyle w:val="HideTWBExt"/>
                <w:noProof w:val="0"/>
                <w:vanish w:val="0"/>
                <w:color w:val="auto"/>
              </w:rPr>
            </w:pPr>
            <w:r w:rsidRPr="00BD1F32">
              <w:t>2024</w:t>
            </w:r>
            <w:r w:rsidR="00817416" w:rsidRPr="00BD1F32">
              <w:t>-202</w:t>
            </w:r>
            <w:r w:rsidRPr="00BD1F32">
              <w:t>9</w:t>
            </w:r>
          </w:p>
        </w:tc>
        <w:tc>
          <w:tcPr>
            <w:tcW w:w="2268" w:type="dxa"/>
            <w:shd w:val="clear" w:color="auto" w:fill="auto"/>
          </w:tcPr>
          <w:p w14:paraId="4F8A5340" w14:textId="77777777" w:rsidR="00751A4A" w:rsidRPr="00BD1F32" w:rsidRDefault="00187494" w:rsidP="0010095E">
            <w:pPr>
              <w:pStyle w:val="EPLogo"/>
            </w:pPr>
            <w:r w:rsidRPr="00BD1F32">
              <w:rPr>
                <w:noProof/>
                <w:lang w:eastAsia="ja-JP"/>
              </w:rPr>
              <w:drawing>
                <wp:inline distT="0" distB="0" distL="0" distR="0" wp14:anchorId="0C448162" wp14:editId="3B2455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4C6018" w14:textId="77777777" w:rsidR="00D058B8" w:rsidRPr="00BD1F32" w:rsidRDefault="00D058B8" w:rsidP="004C5D52">
      <w:pPr>
        <w:pStyle w:val="LineTop"/>
      </w:pPr>
    </w:p>
    <w:p w14:paraId="120F4A52" w14:textId="77777777" w:rsidR="00680577" w:rsidRPr="00BD1F32" w:rsidRDefault="00015225" w:rsidP="00680577">
      <w:pPr>
        <w:pStyle w:val="EPBodyTA1"/>
      </w:pPr>
      <w:r w:rsidRPr="00BD1F32">
        <w:t>HYVÄKSYTYT TEKSTIT</w:t>
      </w:r>
    </w:p>
    <w:p w14:paraId="6FA2D7D8" w14:textId="77777777" w:rsidR="00D058B8" w:rsidRPr="00BD1F32" w:rsidRDefault="00D058B8" w:rsidP="00D058B8">
      <w:pPr>
        <w:pStyle w:val="LineBottom"/>
      </w:pPr>
    </w:p>
    <w:p w14:paraId="553F722D" w14:textId="6C1F75C3" w:rsidR="00015225" w:rsidRPr="00BD1F32" w:rsidRDefault="00015225" w:rsidP="00015225">
      <w:pPr>
        <w:pStyle w:val="ATHeading1"/>
      </w:pPr>
      <w:bookmarkStart w:id="0" w:name="TANumber"/>
      <w:r w:rsidRPr="00BD1F32">
        <w:t>P10_TA(2026)0</w:t>
      </w:r>
      <w:r w:rsidR="00B2303C" w:rsidRPr="00BD1F32">
        <w:t>155</w:t>
      </w:r>
      <w:bookmarkEnd w:id="0"/>
    </w:p>
    <w:p w14:paraId="7E0C1A29" w14:textId="5FC8BD65" w:rsidR="00015225" w:rsidRPr="00BD1F32" w:rsidRDefault="00D273FE" w:rsidP="00015225">
      <w:pPr>
        <w:pStyle w:val="ATHeading2"/>
      </w:pPr>
      <w:bookmarkStart w:id="1" w:name="title"/>
      <w:r w:rsidRPr="00BD1F32">
        <w:rPr>
          <w:bCs/>
        </w:rPr>
        <w:t>Ennakkoarvio tuloista ja menoista varainhoitovuodeksi 2027 – pääluokka</w:t>
      </w:r>
      <w:r w:rsidR="009D23FB" w:rsidRPr="00BD1F32">
        <w:rPr>
          <w:bCs/>
        </w:rPr>
        <w:t> </w:t>
      </w:r>
      <w:r w:rsidRPr="00BD1F32">
        <w:rPr>
          <w:bCs/>
        </w:rPr>
        <w:t>I – Euroopan parlamentti</w:t>
      </w:r>
      <w:bookmarkEnd w:id="1"/>
    </w:p>
    <w:p w14:paraId="315493BA" w14:textId="77777777" w:rsidR="00015225" w:rsidRPr="00BD1F32" w:rsidRDefault="00015225" w:rsidP="00015225">
      <w:pPr>
        <w:rPr>
          <w:i/>
          <w:vanish/>
        </w:rPr>
      </w:pPr>
      <w:r w:rsidRPr="00BD1F32">
        <w:rPr>
          <w:i/>
        </w:rPr>
        <w:fldChar w:fldCharType="begin"/>
      </w:r>
      <w:r w:rsidRPr="00BD1F32">
        <w:rPr>
          <w:i/>
        </w:rPr>
        <w:instrText xml:space="preserve"> TC"(</w:instrText>
      </w:r>
      <w:bookmarkStart w:id="2" w:name="DocNumber"/>
      <w:r w:rsidRPr="00BD1F32">
        <w:rPr>
          <w:i/>
        </w:rPr>
        <w:instrText>A10-0124/2026</w:instrText>
      </w:r>
      <w:bookmarkEnd w:id="2"/>
      <w:r w:rsidRPr="00BD1F32">
        <w:rPr>
          <w:i/>
        </w:rPr>
        <w:instrText xml:space="preserve"> - Esittelijä: Michalis Hadjipantela)"\l3 \n&gt; \* MERGEFORMAT </w:instrText>
      </w:r>
      <w:r w:rsidRPr="00BD1F32">
        <w:rPr>
          <w:i/>
        </w:rPr>
        <w:fldChar w:fldCharType="end"/>
      </w:r>
    </w:p>
    <w:p w14:paraId="14B411BA" w14:textId="77777777" w:rsidR="00015225" w:rsidRPr="00BD1F32" w:rsidRDefault="00015225" w:rsidP="00015225">
      <w:pPr>
        <w:rPr>
          <w:vanish/>
        </w:rPr>
      </w:pPr>
      <w:bookmarkStart w:id="3" w:name="Commission"/>
      <w:r w:rsidRPr="00BD1F32">
        <w:rPr>
          <w:vanish/>
        </w:rPr>
        <w:t>Budjettivaliokunta</w:t>
      </w:r>
      <w:bookmarkEnd w:id="3"/>
    </w:p>
    <w:p w14:paraId="5B18C72A" w14:textId="77777777" w:rsidR="00015225" w:rsidRPr="00BD1F32" w:rsidRDefault="00015225" w:rsidP="00015225">
      <w:pPr>
        <w:rPr>
          <w:vanish/>
        </w:rPr>
      </w:pPr>
      <w:bookmarkStart w:id="4" w:name="PE"/>
      <w:r w:rsidRPr="00BD1F32">
        <w:rPr>
          <w:vanish/>
        </w:rPr>
        <w:t>PE785.303</w:t>
      </w:r>
      <w:bookmarkEnd w:id="4"/>
    </w:p>
    <w:p w14:paraId="609D71BE" w14:textId="77777777" w:rsidR="00015225" w:rsidRPr="00BD1F32" w:rsidRDefault="00015225" w:rsidP="00015225">
      <w:pPr>
        <w:pStyle w:val="ATHeading3"/>
      </w:pPr>
      <w:bookmarkStart w:id="5" w:name="Sujet"/>
      <w:r w:rsidRPr="00BD1F32">
        <w:t>Euroopan parlamentin päätöslauselma 30. huhtikuuta 2026 Euroopan parlamentin ennakkoarviosta tuloista ja menoista varainhoitovuodeksi 2027</w:t>
      </w:r>
      <w:bookmarkEnd w:id="5"/>
      <w:r w:rsidRPr="00BD1F32">
        <w:t xml:space="preserve"> </w:t>
      </w:r>
      <w:bookmarkStart w:id="6" w:name="References"/>
      <w:r w:rsidRPr="00BD1F32">
        <w:t>(2025/2247(BUI))</w:t>
      </w:r>
      <w:bookmarkEnd w:id="6"/>
    </w:p>
    <w:p w14:paraId="30A74F3F" w14:textId="77777777" w:rsidR="00207441" w:rsidRPr="00BD1F32" w:rsidRDefault="00207441" w:rsidP="00D273FE">
      <w:pPr>
        <w:pStyle w:val="Institutionquiagit"/>
        <w:widowControl/>
        <w:spacing w:before="480"/>
        <w:rPr>
          <w:i w:val="0"/>
        </w:rPr>
      </w:pPr>
      <w:bookmarkStart w:id="7" w:name="TextBodyBegin"/>
      <w:bookmarkEnd w:id="7"/>
      <w:r w:rsidRPr="00BD1F32">
        <w:t>Euroopan parlamentti, joka</w:t>
      </w:r>
    </w:p>
    <w:p w14:paraId="1D97E54D" w14:textId="12A9D530" w:rsidR="00207441" w:rsidRPr="00BD1F32" w:rsidRDefault="00207441" w:rsidP="00D273FE">
      <w:pPr>
        <w:pStyle w:val="Action"/>
        <w:widowControl/>
        <w:tabs>
          <w:tab w:val="clear" w:pos="357"/>
        </w:tabs>
        <w:spacing w:after="120"/>
        <w:ind w:left="567" w:hanging="567"/>
        <w:outlineLvl w:val="0"/>
      </w:pPr>
      <w:r w:rsidRPr="00BD1F32">
        <w:t>–</w:t>
      </w:r>
      <w:r w:rsidRPr="00BD1F32">
        <w:tab/>
        <w:t>ottaa huomioon Euroopan unionin toiminnasta tehdyn sopimuksen 314 artiklan,</w:t>
      </w:r>
    </w:p>
    <w:p w14:paraId="67448466" w14:textId="77777777" w:rsidR="00207441" w:rsidRPr="00BD1F32" w:rsidRDefault="00207441" w:rsidP="00D273FE">
      <w:pPr>
        <w:widowControl/>
        <w:spacing w:after="240"/>
        <w:ind w:left="567" w:hanging="567"/>
        <w:rPr>
          <w:color w:val="000000"/>
        </w:rPr>
      </w:pPr>
      <w:r w:rsidRPr="00BD1F32">
        <w:rPr>
          <w:color w:val="000000"/>
        </w:rPr>
        <w:t>–</w:t>
      </w:r>
      <w:r w:rsidRPr="00BD1F32">
        <w:rPr>
          <w:color w:val="000000"/>
        </w:rPr>
        <w:tab/>
        <w:t>ottaa huomioon unionin yleiseen talousarvioon sovellettavista varainhoitosäännöistä 23. syyskuuta 2024 annetun Euroopan parlamentin ja neuvoston asetuksen (EU, Euratom) 2024/2509</w:t>
      </w:r>
      <w:r w:rsidRPr="00BD1F32">
        <w:rPr>
          <w:color w:val="000000"/>
          <w:vertAlign w:val="superscript"/>
        </w:rPr>
        <w:footnoteReference w:id="1"/>
      </w:r>
      <w:r w:rsidRPr="00BD1F32">
        <w:rPr>
          <w:color w:val="000000"/>
        </w:rPr>
        <w:t xml:space="preserve"> (uudelleenlaadittu) (varainhoitoasetus),</w:t>
      </w:r>
    </w:p>
    <w:p w14:paraId="4A983D8E" w14:textId="77777777" w:rsidR="00207441" w:rsidRPr="00BD1F32" w:rsidRDefault="00207441" w:rsidP="00D273FE">
      <w:pPr>
        <w:widowControl/>
        <w:spacing w:after="240"/>
        <w:ind w:left="567" w:hanging="567"/>
        <w:rPr>
          <w:color w:val="000000"/>
        </w:rPr>
      </w:pPr>
      <w:r w:rsidRPr="00BD1F32">
        <w:rPr>
          <w:color w:val="000000"/>
        </w:rPr>
        <w:t>–</w:t>
      </w:r>
      <w:r w:rsidRPr="00BD1F32">
        <w:rPr>
          <w:color w:val="000000"/>
        </w:rPr>
        <w:tab/>
      </w:r>
      <w:r w:rsidRPr="00BD1F32">
        <w:t>ottaa huomioon vuosia 2021–2027 koskevan monivuotisen rahoituskehyksen vahvistamisesta 17. joulukuuta 2020 annetun neuvoston asetuksen (EU, Euratom) 2020/2093</w:t>
      </w:r>
      <w:r w:rsidRPr="00BD1F32">
        <w:rPr>
          <w:color w:val="000000"/>
          <w:vertAlign w:val="superscript"/>
        </w:rPr>
        <w:footnoteReference w:id="2"/>
      </w:r>
      <w:r w:rsidRPr="00BD1F32">
        <w:t xml:space="preserve"> ja parlamentin, neuvoston ja komission tässä yhteydessä hyväksymän yhteisen julistuksen</w:t>
      </w:r>
      <w:r w:rsidRPr="00BD1F32">
        <w:rPr>
          <w:color w:val="000000"/>
          <w:vertAlign w:val="superscript"/>
        </w:rPr>
        <w:footnoteReference w:id="3"/>
      </w:r>
      <w:r w:rsidRPr="00BD1F32">
        <w:t xml:space="preserve"> sekä asiaan liittyvät yksipuoliset julistukset</w:t>
      </w:r>
      <w:r w:rsidRPr="00BD1F32">
        <w:rPr>
          <w:color w:val="000000"/>
          <w:vertAlign w:val="superscript"/>
        </w:rPr>
        <w:footnoteReference w:id="4"/>
      </w:r>
      <w:r w:rsidRPr="00BD1F32">
        <w:t>,</w:t>
      </w:r>
    </w:p>
    <w:p w14:paraId="4D7E5E21" w14:textId="77777777" w:rsidR="00207441" w:rsidRPr="00BD1F32" w:rsidRDefault="00207441" w:rsidP="00D273FE">
      <w:pPr>
        <w:widowControl/>
        <w:spacing w:after="240"/>
        <w:ind w:left="567" w:hanging="567"/>
        <w:rPr>
          <w:color w:val="000000" w:themeColor="text1"/>
        </w:rPr>
      </w:pPr>
      <w:r w:rsidRPr="00BD1F32">
        <w:rPr>
          <w:color w:val="000000"/>
        </w:rPr>
        <w:t>–</w:t>
      </w:r>
      <w:r w:rsidRPr="00BD1F32">
        <w:rPr>
          <w:color w:val="000000"/>
        </w:rPr>
        <w:tab/>
        <w:t>ottaa huomioon vuosia 2021–2027 koskevan monivuotisen rahoituskehyksen vahvistamisesta annetun asetuksen (EU, Euratom) 2020/2093 muuttamisesta 15. joulukuuta 2022 annetun neuvoston asetuksen (EU, Euratom) 2022/2496</w:t>
      </w:r>
      <w:r w:rsidRPr="00BD1F32">
        <w:rPr>
          <w:color w:val="000000"/>
          <w:vertAlign w:val="superscript"/>
        </w:rPr>
        <w:footnoteReference w:id="5"/>
      </w:r>
      <w:r w:rsidRPr="00BD1F32">
        <w:rPr>
          <w:color w:val="000000"/>
        </w:rPr>
        <w:t>,</w:t>
      </w:r>
    </w:p>
    <w:p w14:paraId="03EE0743" w14:textId="77777777" w:rsidR="00207441" w:rsidRPr="00BD1F32" w:rsidRDefault="00207441" w:rsidP="00D273FE">
      <w:pPr>
        <w:widowControl/>
        <w:spacing w:after="240"/>
        <w:ind w:left="567" w:hanging="567"/>
      </w:pPr>
      <w:r w:rsidRPr="00BD1F32">
        <w:t>–</w:t>
      </w:r>
      <w:r w:rsidRPr="00BD1F32">
        <w:tab/>
      </w:r>
      <w:r w:rsidRPr="00BD1F32">
        <w:rPr>
          <w:color w:val="000000"/>
        </w:rPr>
        <w:t>ottaa huomioon vuosia 2021–2027 koskevan monivuotisen rahoituskehyksen vahvistamisesta annetun asetuksen (EU, Euratom) 2020/2093 muuttamisesta annetun neuvoston asetuksen (EU, Euratom) 2024/765</w:t>
      </w:r>
      <w:r w:rsidRPr="00BD1F32">
        <w:rPr>
          <w:rStyle w:val="FootnoteReference"/>
          <w:color w:val="000000"/>
        </w:rPr>
        <w:footnoteReference w:id="6"/>
      </w:r>
      <w:r w:rsidRPr="00BD1F32">
        <w:rPr>
          <w:color w:val="000000"/>
        </w:rPr>
        <w:t xml:space="preserve"> (monivuotisen rahoituskehyksen tarkistus),</w:t>
      </w:r>
    </w:p>
    <w:p w14:paraId="5D993EB3" w14:textId="77777777" w:rsidR="00207441" w:rsidRPr="00BD1F32" w:rsidRDefault="00207441" w:rsidP="00D273FE">
      <w:pPr>
        <w:widowControl/>
        <w:spacing w:after="240"/>
        <w:ind w:left="567" w:hanging="567"/>
        <w:rPr>
          <w:color w:val="000000"/>
        </w:rPr>
      </w:pPr>
      <w:r w:rsidRPr="00BD1F32">
        <w:rPr>
          <w:color w:val="000000"/>
        </w:rPr>
        <w:t>–</w:t>
      </w:r>
      <w:r w:rsidRPr="00BD1F32">
        <w:rPr>
          <w:color w:val="000000"/>
        </w:rPr>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BD1F32">
        <w:rPr>
          <w:color w:val="000000"/>
        </w:rPr>
        <w:lastRenderedPageBreak/>
        <w:t>tehdyn Euroopan parlamentin, Euroopan unionin neuvoston ja Euroopan komission välisen toimielinten sopimuksen</w:t>
      </w:r>
      <w:r w:rsidRPr="00BD1F32">
        <w:rPr>
          <w:color w:val="000000"/>
          <w:vertAlign w:val="superscript"/>
        </w:rPr>
        <w:footnoteReference w:id="7"/>
      </w:r>
      <w:r w:rsidRPr="00BD1F32">
        <w:rPr>
          <w:color w:val="000000"/>
        </w:rPr>
        <w:t>,</w:t>
      </w:r>
    </w:p>
    <w:p w14:paraId="5B073D0E" w14:textId="77777777" w:rsidR="00207441" w:rsidRPr="00BD1F32" w:rsidRDefault="00207441" w:rsidP="00D273FE">
      <w:pPr>
        <w:widowControl/>
        <w:spacing w:after="240"/>
        <w:ind w:left="567" w:hanging="567"/>
      </w:pPr>
      <w:r w:rsidRPr="00BD1F32">
        <w:t>–</w:t>
      </w:r>
      <w:r w:rsidRPr="00BD1F32">
        <w:tab/>
        <w:t>ottaa huomioon 16. joulukuuta 2020 antamansa lainsäädäntöpäätöslauselman esityksestä neuvoston asetukseksi vuosia 2021–2027 koskevan monivuotisen rahoituskehyksen vahvistamisesta</w:t>
      </w:r>
      <w:r w:rsidRPr="00BD1F32">
        <w:rPr>
          <w:vertAlign w:val="superscript"/>
        </w:rPr>
        <w:footnoteReference w:id="8"/>
      </w:r>
      <w:r w:rsidRPr="00BD1F32">
        <w:t>,</w:t>
      </w:r>
    </w:p>
    <w:p w14:paraId="3FBE2EBB" w14:textId="77777777" w:rsidR="00207441" w:rsidRPr="00BD1F32" w:rsidRDefault="00207441" w:rsidP="00D273FE">
      <w:pPr>
        <w:widowControl/>
        <w:spacing w:after="240"/>
        <w:ind w:left="567" w:hanging="567"/>
        <w:rPr>
          <w:color w:val="000000"/>
        </w:rPr>
      </w:pPr>
      <w:r w:rsidRPr="00BD1F32">
        <w:rPr>
          <w:color w:val="000000"/>
        </w:rPr>
        <w:t>–</w:t>
      </w:r>
      <w:r w:rsidRPr="00BD1F32">
        <w:rPr>
          <w:color w:val="000000"/>
        </w:rPr>
        <w:tab/>
        <w:t>ottaa huomioon 15. joulukuuta 2022 antamansa päätöslauselman monivuotisen rahoituskehyksen 2021–2027 vahvistamisesta: uusiin haasteisiin soveltuva sopeutumiskykyinen EU:n talousarvio</w:t>
      </w:r>
      <w:r w:rsidRPr="00BD1F32">
        <w:rPr>
          <w:color w:val="000000"/>
          <w:vertAlign w:val="superscript"/>
        </w:rPr>
        <w:footnoteReference w:id="9"/>
      </w:r>
      <w:r w:rsidRPr="00BD1F32">
        <w:rPr>
          <w:color w:val="000000"/>
        </w:rPr>
        <w:t>,</w:t>
      </w:r>
    </w:p>
    <w:p w14:paraId="7E13A44E" w14:textId="77777777" w:rsidR="00207441" w:rsidRPr="00BD1F32" w:rsidRDefault="00207441" w:rsidP="00D273FE">
      <w:pPr>
        <w:widowControl/>
        <w:spacing w:after="240"/>
        <w:ind w:left="567" w:hanging="567"/>
      </w:pPr>
      <w:r w:rsidRPr="00BD1F32">
        <w:t>–</w:t>
      </w:r>
      <w:r w:rsidRPr="00BD1F32">
        <w:tab/>
        <w:t>ottaa huomioon 3. lokakuuta 2023 antamansa päätöslauselman ehdotuksesta monivuotisen rahoituskehyksen 2021–2027 väliarvioinnista</w:t>
      </w:r>
      <w:r w:rsidRPr="00BD1F32">
        <w:rPr>
          <w:vertAlign w:val="superscript"/>
        </w:rPr>
        <w:footnoteReference w:id="10"/>
      </w:r>
      <w:r w:rsidRPr="00BD1F32">
        <w:t>,</w:t>
      </w:r>
    </w:p>
    <w:p w14:paraId="52934583" w14:textId="77777777" w:rsidR="00207441" w:rsidRPr="00BD1F32" w:rsidRDefault="00207441" w:rsidP="00D273FE">
      <w:pPr>
        <w:widowControl/>
        <w:spacing w:after="240"/>
        <w:ind w:left="567" w:hanging="567"/>
        <w:rPr>
          <w:color w:val="000000"/>
        </w:rPr>
      </w:pPr>
      <w:r w:rsidRPr="00BD1F32">
        <w:rPr>
          <w:color w:val="000000"/>
        </w:rPr>
        <w:t>–</w:t>
      </w:r>
      <w:r w:rsidRPr="00BD1F32">
        <w:rPr>
          <w:color w:val="000000"/>
        </w:rPr>
        <w:tab/>
        <w:t>ottaa huomioon 27. helmikuuta 2024 antamansa päätöslauselman esityksestä neuvoston asetukseksi vuosia 2021–2027 koskevan monivuotisen rahoituskehyksen vahvistamisesta annetun asetuksen (EU, Euratom) 2020/2093 muuttamisesta</w:t>
      </w:r>
      <w:r w:rsidRPr="00BD1F32">
        <w:rPr>
          <w:color w:val="000000"/>
          <w:vertAlign w:val="superscript"/>
        </w:rPr>
        <w:footnoteReference w:id="11"/>
      </w:r>
      <w:r w:rsidRPr="00BD1F32">
        <w:rPr>
          <w:color w:val="000000"/>
        </w:rPr>
        <w:t>,</w:t>
      </w:r>
    </w:p>
    <w:p w14:paraId="76DE921F" w14:textId="77777777" w:rsidR="00207441" w:rsidRPr="00BD1F32" w:rsidRDefault="00207441" w:rsidP="00D273FE">
      <w:pPr>
        <w:widowControl/>
        <w:spacing w:after="240"/>
        <w:ind w:left="567" w:hanging="567"/>
        <w:rPr>
          <w:color w:val="000000"/>
        </w:rPr>
      </w:pPr>
      <w:r w:rsidRPr="00BD1F32">
        <w:rPr>
          <w:color w:val="000000"/>
        </w:rPr>
        <w:t>–</w:t>
      </w:r>
      <w:r w:rsidRPr="00BD1F32">
        <w:rPr>
          <w:color w:val="000000"/>
        </w:rPr>
        <w:tab/>
      </w:r>
      <w:r w:rsidRPr="00BD1F32">
        <w:t>ottaa huomioon 26. marraskuuta 2025 lopullisesti vahvistetun Euroopan unionin yleisen talousarvion varainhoitovuodeksi 2026</w:t>
      </w:r>
      <w:r w:rsidRPr="00BD1F32">
        <w:rPr>
          <w:color w:val="000000"/>
          <w:vertAlign w:val="superscript"/>
        </w:rPr>
        <w:footnoteReference w:id="12"/>
      </w:r>
      <w:r w:rsidRPr="00BD1F32">
        <w:t xml:space="preserve"> sekä siihen liittyvät parlamentin, neuvoston ja komission yhteiset lausumat,</w:t>
      </w:r>
    </w:p>
    <w:p w14:paraId="53989FCE" w14:textId="77777777" w:rsidR="00207441" w:rsidRPr="00BD1F32" w:rsidRDefault="00207441" w:rsidP="00D273FE">
      <w:pPr>
        <w:pStyle w:val="Action"/>
        <w:widowControl/>
        <w:tabs>
          <w:tab w:val="clear" w:pos="357"/>
        </w:tabs>
        <w:spacing w:after="120"/>
        <w:ind w:left="567" w:hanging="567"/>
        <w:outlineLvl w:val="0"/>
      </w:pPr>
      <w:r w:rsidRPr="00BD1F32">
        <w:t>–</w:t>
      </w:r>
      <w:r w:rsidRPr="00BD1F32">
        <w:tab/>
        <w:t>ottaa huomioon pääsihteerin raportin puhemiehistölle parlamentin alustavasta ennakkoarvioesityksestä varainhoitovuodeksi 2027,</w:t>
      </w:r>
    </w:p>
    <w:p w14:paraId="21377515" w14:textId="77777777" w:rsidR="00207441" w:rsidRPr="00BD1F32" w:rsidRDefault="00207441" w:rsidP="00D273FE">
      <w:pPr>
        <w:pStyle w:val="Action"/>
        <w:widowControl/>
        <w:tabs>
          <w:tab w:val="clear" w:pos="357"/>
        </w:tabs>
        <w:spacing w:after="120"/>
        <w:ind w:left="567" w:hanging="567"/>
        <w:outlineLvl w:val="0"/>
      </w:pPr>
      <w:r w:rsidRPr="00BD1F32">
        <w:t>–</w:t>
      </w:r>
      <w:r w:rsidRPr="00BD1F32">
        <w:tab/>
        <w:t>ottaa huomioon puhemiehistön 9. maaliskuuta 2026 työjärjestyksen 25 artiklan 7 kohdan ja 104 artiklan 1 kohdan mukaisesti laatiman alustavan ennakkoarvioesityksen,</w:t>
      </w:r>
    </w:p>
    <w:p w14:paraId="679378E6" w14:textId="77777777" w:rsidR="00207441" w:rsidRPr="00BD1F32" w:rsidRDefault="00207441" w:rsidP="00D273FE">
      <w:pPr>
        <w:pStyle w:val="Action"/>
        <w:widowControl/>
        <w:tabs>
          <w:tab w:val="clear" w:pos="357"/>
        </w:tabs>
        <w:spacing w:after="120"/>
        <w:ind w:left="567" w:hanging="567"/>
        <w:outlineLvl w:val="0"/>
      </w:pPr>
      <w:r w:rsidRPr="00BD1F32">
        <w:t>–</w:t>
      </w:r>
      <w:r w:rsidRPr="00BD1F32">
        <w:tab/>
        <w:t>ottaa huomioon budjettivaliokunnan työjärjestyksen 104 artiklan 2 kohdan mukaisesti laatiman ennakkoarvioesityksen,</w:t>
      </w:r>
    </w:p>
    <w:p w14:paraId="1F91FA54" w14:textId="77777777" w:rsidR="00207441" w:rsidRPr="00BD1F32" w:rsidRDefault="00207441" w:rsidP="00D273FE">
      <w:pPr>
        <w:pStyle w:val="Action"/>
        <w:widowControl/>
        <w:tabs>
          <w:tab w:val="clear" w:pos="357"/>
        </w:tabs>
        <w:spacing w:after="120"/>
        <w:ind w:left="567" w:hanging="567"/>
        <w:outlineLvl w:val="0"/>
      </w:pPr>
      <w:r w:rsidRPr="00BD1F32">
        <w:t>–</w:t>
      </w:r>
      <w:r w:rsidRPr="00BD1F32">
        <w:tab/>
        <w:t>ottaa huomioon työjärjestyksen 104 artiklan,</w:t>
      </w:r>
    </w:p>
    <w:p w14:paraId="3E3D3C23" w14:textId="77777777" w:rsidR="00207441" w:rsidRPr="00BD1F32" w:rsidRDefault="00207441" w:rsidP="00D273FE">
      <w:pPr>
        <w:pStyle w:val="Action"/>
        <w:widowControl/>
        <w:tabs>
          <w:tab w:val="clear" w:pos="357"/>
        </w:tabs>
        <w:ind w:left="567" w:hanging="567"/>
        <w:outlineLvl w:val="0"/>
      </w:pPr>
      <w:r w:rsidRPr="00BD1F32">
        <w:t>–</w:t>
      </w:r>
      <w:r w:rsidRPr="00BD1F32">
        <w:tab/>
        <w:t>ottaa huomioon budjettivaliokunnan mietinnön (A10-0124/2026),</w:t>
      </w:r>
    </w:p>
    <w:p w14:paraId="4E38D977" w14:textId="77777777" w:rsidR="00207441" w:rsidRPr="00BD1F32" w:rsidRDefault="00207441" w:rsidP="00D273FE">
      <w:pPr>
        <w:pStyle w:val="Action"/>
        <w:widowControl/>
        <w:tabs>
          <w:tab w:val="clear" w:pos="357"/>
        </w:tabs>
        <w:spacing w:after="120"/>
        <w:ind w:left="567" w:hanging="567"/>
        <w:outlineLvl w:val="0"/>
      </w:pPr>
      <w:r w:rsidRPr="00BD1F32">
        <w:t>A.</w:t>
      </w:r>
      <w:r w:rsidRPr="00BD1F32">
        <w:tab/>
        <w:t>ottaa huomioon, että pääsihteerin 9. helmikuuta 2026 parlamentin alustavaa ennakkoarvioesitystä vuodeksi 2027 varten ehdottama talousarvio on 2 665 474 853 euroa, mikä merkitsee 2,33 prosentin eli 60 618 266 euron lisäystä vuoden 2026 talousarvioon verrattuna;</w:t>
      </w:r>
    </w:p>
    <w:p w14:paraId="75FB8065" w14:textId="77777777" w:rsidR="00207441" w:rsidRPr="00BD1F32" w:rsidRDefault="00207441" w:rsidP="00D273FE">
      <w:pPr>
        <w:pStyle w:val="Action"/>
        <w:widowControl/>
        <w:tabs>
          <w:tab w:val="clear" w:pos="357"/>
        </w:tabs>
        <w:spacing w:after="120"/>
        <w:ind w:left="567" w:hanging="567"/>
        <w:outlineLvl w:val="0"/>
      </w:pPr>
      <w:r w:rsidRPr="00BD1F32">
        <w:t>B.</w:t>
      </w:r>
      <w:r w:rsidRPr="00BD1F32">
        <w:tab/>
        <w:t>ottaa huomioon, että pääsihteerin ehdottama 2,33 prosentin lisäys johtuu 2,01 prosentin lisäyksestä sääntömääräisiin taloudellisiin velvoitteisiin ja 2,89 prosentin lisäyksestä muihin kuin sääntömääräisiin menoihin;</w:t>
      </w:r>
    </w:p>
    <w:p w14:paraId="4C799E8C" w14:textId="105DF6C6" w:rsidR="00207441" w:rsidRPr="00BD1F32" w:rsidRDefault="00207441" w:rsidP="00D273FE">
      <w:pPr>
        <w:pStyle w:val="Action"/>
        <w:widowControl/>
        <w:tabs>
          <w:tab w:val="clear" w:pos="357"/>
        </w:tabs>
        <w:ind w:left="567" w:hanging="567"/>
        <w:outlineLvl w:val="0"/>
      </w:pPr>
      <w:r w:rsidRPr="00BD1F32">
        <w:t>C.</w:t>
      </w:r>
      <w:r w:rsidRPr="00BD1F32">
        <w:tab/>
        <w:t xml:space="preserve">ottaa huomioon, että Eurostatin mukaan unionin vuotuinen inflaatio oli 2,3 prosenttia joulukuussa 2025 eli se oli laskenut joulukuusta 2024, jolloin se oli 2,7 prosenttia; ottaa </w:t>
      </w:r>
      <w:r w:rsidRPr="00BD1F32">
        <w:lastRenderedPageBreak/>
        <w:t>huomioon, että vuosien 2021–2027 monivuotisen rahoituskehyksen otsakkeen</w:t>
      </w:r>
      <w:r w:rsidR="006A2656" w:rsidRPr="00BD1F32">
        <w:t> </w:t>
      </w:r>
      <w:r w:rsidRPr="00BD1F32">
        <w:t>7 menojen taso perustuu 2 prosentin vuotuiseen lisäykseen;</w:t>
      </w:r>
    </w:p>
    <w:p w14:paraId="70C44470" w14:textId="77777777" w:rsidR="00207441" w:rsidRPr="00BD1F32" w:rsidRDefault="00207441" w:rsidP="00D273FE">
      <w:pPr>
        <w:pStyle w:val="Action"/>
        <w:widowControl/>
        <w:tabs>
          <w:tab w:val="clear" w:pos="357"/>
        </w:tabs>
        <w:ind w:left="567" w:hanging="567"/>
        <w:outlineLvl w:val="0"/>
      </w:pPr>
      <w:r w:rsidRPr="00BD1F32">
        <w:t>D.</w:t>
      </w:r>
      <w:r w:rsidRPr="00BD1F32">
        <w:tab/>
        <w:t>ottaa huomioon, että parlamentin uskottavuus riippuu sen kyvystä suorittaa keskeinen talousarvio-, lainsäädäntö- ja valvontatyönsä mahdollisimman hyvin ja näyttää samalla muille unionin toimielimille esimerkkiä varainkäyttönsä huolellisessa ja tehokkaassa suunnittelussa ja toteutuksessa sekä vallitsevien talouden realiteettien huomioon ottamisessa;</w:t>
      </w:r>
    </w:p>
    <w:p w14:paraId="348265E3" w14:textId="77777777" w:rsidR="00207441" w:rsidRPr="00BD1F32" w:rsidRDefault="00207441" w:rsidP="006A2656">
      <w:pPr>
        <w:pStyle w:val="NormalHanging12a"/>
        <w:keepNext/>
        <w:widowControl/>
        <w:rPr>
          <w:b/>
          <w:i/>
        </w:rPr>
      </w:pPr>
      <w:r w:rsidRPr="00BD1F32">
        <w:rPr>
          <w:b/>
          <w:i/>
        </w:rPr>
        <w:t>Yleiset puitteet</w:t>
      </w:r>
    </w:p>
    <w:p w14:paraId="098B9035" w14:textId="77777777" w:rsidR="00207441" w:rsidRPr="00BD1F32" w:rsidRDefault="00207441" w:rsidP="00D273FE">
      <w:pPr>
        <w:widowControl/>
        <w:spacing w:after="240"/>
        <w:ind w:left="567" w:hanging="567"/>
        <w:rPr>
          <w:color w:val="000000"/>
        </w:rPr>
      </w:pPr>
      <w:r w:rsidRPr="00BD1F32">
        <w:rPr>
          <w:color w:val="000000"/>
        </w:rPr>
        <w:t>1.</w:t>
      </w:r>
      <w:r w:rsidRPr="00BD1F32">
        <w:rPr>
          <w:color w:val="000000"/>
        </w:rPr>
        <w:tab/>
        <w:t>on huolissaan nykyisen monivuotisen rahoituskehyksen otsakkeen 7 tilanteesta; muistuttaa, että rajoitteet johtuvat leikkauksista, joita neuvosto teki komission jo ennestään hyvin alhaiseen alkuperäiseen ehdotukseen, kun vuosien 2021–2027 monivuotisesta rahoituskehyksestä sovittiin, ja useiden vuosien ajan odotettua voimakkaamman inflaation kumulatiivisesta vaikutuksesta; pitää valitettavana, että neuvosto vastusti komission ehdotusta korottaa monivuotisen rahoituskehyksen otsakkeen 7 enimmäismäärää vuodesta 2024 alkaen; huomauttaa, että monivuotisen rahoituskehyksen tarkistuksen yhteydessä ei onnistuttu ratkaisemaan otsakkeen 7 enimmäismäärään liittyvää kysymystä; korostaa, että vuodeksi 2027 ennustettu negatiivinen liikkumavara edellyttää otsakkeen 7 erityisrahoitusvälineiden käyttöä tähän tarkoitukseen; korostaa, että erityisrahoitusvälineiden käytön olisi oltava edelleen poikkeuksellista ja asianmukaisesti perusteltua ja sen olisi rajoituttava odottamattomiin olosuhteisiin;</w:t>
      </w:r>
    </w:p>
    <w:p w14:paraId="4A27F375" w14:textId="521404C7" w:rsidR="00207441" w:rsidRPr="00BD1F32" w:rsidRDefault="00207441" w:rsidP="00D273FE">
      <w:pPr>
        <w:widowControl/>
        <w:spacing w:after="240"/>
        <w:ind w:left="567" w:hanging="567"/>
        <w:rPr>
          <w:color w:val="000000"/>
        </w:rPr>
      </w:pPr>
      <w:r w:rsidRPr="00BD1F32">
        <w:rPr>
          <w:color w:val="000000"/>
        </w:rPr>
        <w:t>2.</w:t>
      </w:r>
      <w:r w:rsidRPr="00BD1F32">
        <w:rPr>
          <w:color w:val="000000"/>
        </w:rPr>
        <w:tab/>
        <w:t>hyväksyy puhemiehistön ja budjettivaliokunnan sovittelussa 15. huhtikuuta 2026 saavutetun yhteisymmärryksen siitä, että lisäys vuoden 2026 talousarvioon verrattuna on 1,98 prosenttia, jolloin ennakkoarvio vuodeksi 2027 on kokonaisuudessaan 2 656 435 753 euroa, ja hyväksyy, että seuraaviin budjettikohtiin ehdotettuja määrärahoja vähennetään vastaavasti yhteensä 10 554 000 eurolla:</w:t>
      </w:r>
    </w:p>
    <w:p w14:paraId="79B39DCD" w14:textId="77777777" w:rsidR="00207441" w:rsidRPr="00BD1F32" w:rsidRDefault="00207441" w:rsidP="00D273FE">
      <w:pPr>
        <w:widowControl/>
        <w:spacing w:after="240"/>
        <w:ind w:left="567"/>
        <w:rPr>
          <w:color w:val="000000"/>
        </w:rPr>
      </w:pPr>
      <w:r w:rsidRPr="00BD1F32">
        <w:rPr>
          <w:color w:val="000000"/>
        </w:rPr>
        <w:t xml:space="preserve">1 0 0 6 — Yleinen kulukorvaus, 1 4 0 5 01 — Tulkkausmenot: ulkoinen tulkkaus, 1 4 2 — Ulkoiset käännöspalvelut, 1 6 1 2 07 — Koulutus ja kehittäminen: ulkopuolinen koulutus ITEC-pääosastolle, 2 0 0 7 04 — Kiinteistöjen rakennuttaminen ja tilojen kunnostus: yhteystoimistot, Europa </w:t>
      </w:r>
      <w:proofErr w:type="spellStart"/>
      <w:r w:rsidRPr="00BD1F32">
        <w:rPr>
          <w:color w:val="000000"/>
        </w:rPr>
        <w:t>Experience</w:t>
      </w:r>
      <w:proofErr w:type="spellEnd"/>
      <w:r w:rsidRPr="00BD1F32">
        <w:rPr>
          <w:color w:val="000000"/>
        </w:rPr>
        <w:t xml:space="preserve"> -keskukset, 2 1 0 0 02 — Tietotekniikkahallinto ja kyberturvallisuus: tietotekninen turvallisuus, riskit ja vaatimustenmukaisuus, 2 1 0 0 03 — Tietotekniikkahallinto ja kyberturvallisuus: murrosteknologia, 2 1 0 1 02 — Liiketoimintasovellusten hallinta: tietoteknisten ratkaisujen toimitukset, 2 1 0 1 13 — Liiketoimintasovellusten hallinta: varainhoidon pääosasto, 2 1 0 2 03 — Infrastruktuurin- ja toiminnanhallinta: televiestintä, 2 1 0 2 04 — Infrastruktuurin- ja toiminnanhallinta: toimielimen infrastruktuuri, 2 1 0 2 05 — Infrastruktuurin- ja toiminnanhallinta: ohjelmistoinfrastruktuuri, 2 1 0 2 07 — Infrastruktuurin- ja toiminnanhallinta: painatuksen hallinnointi, 2 1 0 3 01 — Virtuaalityötilaa koskevat palvelut ja laitteet: yksityiskäyttöön tulevat tietotekniset laitteet, 2 1 2 0 01 — Irtain omaisuus: irtaimen omaisuuden hankinta, vuokraus, uusiminen, huolto ja korjaus, 2 1 6 0 01 — Parlamentin jäsenten, muiden henkilöiden sekä tavaroiden kuljetus: jäsenten kuljetusvälineet (vuokraus ja käyttö), 3 0 0 0 02 — Kulut henkilöstön virkamatkoista ja matkoista kolmen työskentelypaikkakunnan välillä: virkamatkat kolmen työskentelypaikkakunnan ulkopuolelle, 3 0 0 0 03 — Kulut henkilöstön virkamatkoista ja matkoista kolmen työskentelypaikkakunnan välillä: koulutus ja kehittäminen, 3 2 1 0 01 — Parlamentin tutkimuspalveluihin liittyvät menot, kirjasto ja historialliset arkistot, tieteellisten ja teknisten vaihtoehtojen arviointi (STOA) </w:t>
      </w:r>
      <w:r w:rsidRPr="00BD1F32">
        <w:rPr>
          <w:color w:val="000000"/>
        </w:rPr>
        <w:lastRenderedPageBreak/>
        <w:t xml:space="preserve">sekä Euroopan tiedemediakeskus mukaan lukien: vaikutustenarviointi ja eurooppalainen lisäarvo, 3 2 2 0 09 — Dokumentaatiomenot: tilaukset ja mediaseuranta, 3 2 4 2 01 — Julkaisu- ja tiedotusmenot sekä menot osallistumisesta julkisiin tapahtumiin: tiedotuskampanjat, 3 2 4 3 01 — Euroopan parlamentin vierailukeskukset: </w:t>
      </w:r>
      <w:proofErr w:type="spellStart"/>
      <w:r w:rsidRPr="00BD1F32">
        <w:rPr>
          <w:color w:val="000000"/>
        </w:rPr>
        <w:t>Parlamentarium</w:t>
      </w:r>
      <w:proofErr w:type="spellEnd"/>
      <w:r w:rsidRPr="00BD1F32">
        <w:rPr>
          <w:color w:val="000000"/>
        </w:rPr>
        <w:t xml:space="preserve"> ja Europa </w:t>
      </w:r>
      <w:proofErr w:type="spellStart"/>
      <w:r w:rsidRPr="00BD1F32">
        <w:rPr>
          <w:color w:val="000000"/>
        </w:rPr>
        <w:t>Experience</w:t>
      </w:r>
      <w:proofErr w:type="spellEnd"/>
      <w:r w:rsidRPr="00BD1F32">
        <w:rPr>
          <w:color w:val="000000"/>
        </w:rPr>
        <w:t xml:space="preserve"> -keskukset, 3 2 4 3 02 — Euroopan parlamentin vierailukeskukset: Euroopan historian talo, 101 — Varaus ennakoimattomia menoja varten;</w:t>
      </w:r>
    </w:p>
    <w:p w14:paraId="7AB9BA8E" w14:textId="77777777" w:rsidR="00207441" w:rsidRPr="00BD1F32" w:rsidRDefault="00207441" w:rsidP="00D273FE">
      <w:pPr>
        <w:widowControl/>
        <w:spacing w:after="240"/>
        <w:ind w:left="567"/>
        <w:rPr>
          <w:color w:val="000000"/>
        </w:rPr>
      </w:pPr>
      <w:r w:rsidRPr="00BD1F32">
        <w:rPr>
          <w:color w:val="000000"/>
        </w:rPr>
        <w:t>lisäksi päätettiin lisätä puhemiehistön 9. maaliskuuta 2026 hyväksymän alustavan ennakkoarvioesityksen menoja 1 514 900 eurolla ja lisätä vastaavasti seuraaviin budjettikohtiin ehdotettuja määrärahoja:</w:t>
      </w:r>
    </w:p>
    <w:p w14:paraId="4236C7CE" w14:textId="3F0B37FB" w:rsidR="00207441" w:rsidRPr="00BD1F32" w:rsidRDefault="00207441" w:rsidP="00D273FE">
      <w:pPr>
        <w:widowControl/>
        <w:spacing w:after="240"/>
        <w:ind w:left="567"/>
        <w:rPr>
          <w:color w:val="000000"/>
        </w:rPr>
      </w:pPr>
      <w:r w:rsidRPr="00BD1F32">
        <w:rPr>
          <w:color w:val="000000"/>
        </w:rPr>
        <w:t>4 0 3 — Euroopan tason poliittisten säätiöiden rahoitus ja 4 4 0 — Entisten jäsenten kokouksista ja muusta toiminnasta aiheutuvat kulut;</w:t>
      </w:r>
    </w:p>
    <w:p w14:paraId="4A9C0B2B" w14:textId="77777777" w:rsidR="00207441" w:rsidRPr="00BD1F32" w:rsidRDefault="00207441" w:rsidP="00D273FE">
      <w:pPr>
        <w:widowControl/>
        <w:spacing w:after="240"/>
        <w:ind w:left="567" w:hanging="567"/>
        <w:rPr>
          <w:color w:val="000000"/>
        </w:rPr>
      </w:pPr>
      <w:r w:rsidRPr="00BD1F32">
        <w:rPr>
          <w:color w:val="000000"/>
        </w:rPr>
        <w:t>3.</w:t>
      </w:r>
      <w:r w:rsidRPr="00BD1F32">
        <w:rPr>
          <w:color w:val="000000"/>
        </w:rPr>
        <w:tab/>
        <w:t>palauttaa mieliin, että lähes kaksi kolmasosaa talousarviosta perustuu sääntömääräisiin velvoitteisiin; muistuttaa, että komission tämänhetkisen ennusteen mukaan henkilöstösääntöjen ja Euroopan parlamentin jäsenten asemaa koskevien sääntöjen mukaisen palkkojen indeksikorotuksen odotetaan olevan 2,2 prosenttia heinäkuussa 2026 ja 2,3 prosenttia heinäkuussa 2027;</w:t>
      </w:r>
    </w:p>
    <w:p w14:paraId="5F654896" w14:textId="77777777" w:rsidR="00207441" w:rsidRPr="00BD1F32" w:rsidRDefault="00207441" w:rsidP="00D273FE">
      <w:pPr>
        <w:widowControl/>
        <w:spacing w:after="240"/>
        <w:ind w:left="567" w:hanging="567"/>
        <w:rPr>
          <w:color w:val="000000"/>
        </w:rPr>
      </w:pPr>
      <w:r w:rsidRPr="00BD1F32">
        <w:rPr>
          <w:color w:val="000000"/>
        </w:rPr>
        <w:t>4.</w:t>
      </w:r>
      <w:r w:rsidRPr="00BD1F32">
        <w:rPr>
          <w:color w:val="000000"/>
        </w:rPr>
        <w:tab/>
        <w:t>panee merkille, että vuoden 2026 talousarvioon nähden suunnitellusta 51,6 miljoonan euron lisäyksestä 32,6 miljoonaa johtuu sääntömääräisistä taloudellisista velvoitteista, pääasiassa virkamiesten ja väliaikaisten toimihenkilöiden (16,2 miljoonaa euroa) ja sopimussuhteisten toimihenkilöiden (1,7 miljoonaa euroa) palkkojen saattamisesta ajan tasalle; panee tyytyväisenä merkille, että vuodesta 2027 alkaen kullekin Luxemburgissa toimivalle harjoittelijalle on tarkoitus myöntää poikkeuksellista suoraa tukea (enintään 500 euroa harjoittelukuukautta kohti), jotta heitä voidaan auttaa selviytymään kasvavista asumiskustannuksista; kehottaa varmistamaan elinkustannusten noustessa nuorten mahdollisuudet osallistua harjoitteluun toimipaikasta riippumatta; pitää myönteisenä puhemiehistön päätöstä luopua yleisen kulukorvauksen indeksoinnista vuonna 2026;</w:t>
      </w:r>
    </w:p>
    <w:p w14:paraId="4B9E85C6" w14:textId="3E1B0982" w:rsidR="00207441" w:rsidRPr="00BD1F32" w:rsidRDefault="00207441" w:rsidP="00D273FE">
      <w:pPr>
        <w:widowControl/>
        <w:spacing w:after="240"/>
        <w:ind w:left="567" w:hanging="567"/>
        <w:rPr>
          <w:b/>
          <w:i/>
          <w:color w:val="000000"/>
        </w:rPr>
      </w:pPr>
      <w:r w:rsidRPr="00BD1F32">
        <w:rPr>
          <w:color w:val="000000"/>
        </w:rPr>
        <w:t>5.</w:t>
      </w:r>
      <w:r w:rsidRPr="00BD1F32">
        <w:rPr>
          <w:b/>
          <w:i/>
          <w:color w:val="000000"/>
        </w:rPr>
        <w:tab/>
      </w:r>
      <w:r w:rsidRPr="00BD1F32">
        <w:rPr>
          <w:color w:val="000000"/>
        </w:rPr>
        <w:t>panee merkille, että parlamentin avustajakorvaukseen varattu määrä arvioidaan aiempien kehityssuuntien perusteella; korostaa, että jäseniltä ei missään tapauksessa voida evätä oikeutta käyttää tätä korvausta täysimääräisesti asiaa koskevien sääntöjen mukaisesti sen tähden, että tässä budjettikohdassa ei ole määrärahoja; pyytää pääsihteeriä seuraamaan tilannetta tarkkaan, tiedottamaan budjettivaliokunnalle budjettikohdan täytäntöönpanosta ja ryhtymään asianmukaisiin toimiin, jos vaarana on, että taloudelliset resurssit eivät riitä;</w:t>
      </w:r>
    </w:p>
    <w:p w14:paraId="1B7ECA42" w14:textId="2E4898B8" w:rsidR="00207441" w:rsidRPr="00BD1F32" w:rsidRDefault="00207441" w:rsidP="00D273FE">
      <w:pPr>
        <w:widowControl/>
        <w:spacing w:after="240"/>
        <w:ind w:left="567" w:hanging="567"/>
        <w:rPr>
          <w:color w:val="000000"/>
        </w:rPr>
      </w:pPr>
      <w:r w:rsidRPr="00BD1F32">
        <w:rPr>
          <w:color w:val="000000"/>
        </w:rPr>
        <w:t>6.</w:t>
      </w:r>
      <w:r w:rsidRPr="00BD1F32">
        <w:rPr>
          <w:color w:val="000000"/>
        </w:rPr>
        <w:tab/>
        <w:t>toteaa, että vuosi 2027 on neljäs peräkkäinen vuosi, jolloin parlamentti ei pyydä uusia virkoja tai toimia;</w:t>
      </w:r>
    </w:p>
    <w:p w14:paraId="6A220AD5" w14:textId="3217922D" w:rsidR="00207441" w:rsidRPr="00BD1F32" w:rsidRDefault="00207441" w:rsidP="00D273FE">
      <w:pPr>
        <w:widowControl/>
        <w:spacing w:after="240"/>
        <w:ind w:left="567" w:hanging="567"/>
        <w:rPr>
          <w:color w:val="000000"/>
        </w:rPr>
      </w:pPr>
      <w:r w:rsidRPr="00BD1F32">
        <w:rPr>
          <w:color w:val="000000"/>
        </w:rPr>
        <w:t>7.</w:t>
      </w:r>
      <w:r w:rsidRPr="00BD1F32">
        <w:rPr>
          <w:color w:val="000000"/>
        </w:rPr>
        <w:tab/>
        <w:t>panee merkille, että muiden kuin sääntömääräisten menojen kasvu vuosina 2026–2027 on 2 prosenttia;</w:t>
      </w:r>
    </w:p>
    <w:p w14:paraId="37068ACF" w14:textId="4D4F9F30" w:rsidR="00207441" w:rsidRPr="00BD1F32" w:rsidRDefault="00207441" w:rsidP="00D273FE">
      <w:pPr>
        <w:widowControl/>
        <w:spacing w:after="240"/>
        <w:ind w:left="567" w:hanging="567"/>
        <w:rPr>
          <w:color w:val="000000"/>
        </w:rPr>
      </w:pPr>
      <w:r w:rsidRPr="00BD1F32">
        <w:rPr>
          <w:color w:val="000000"/>
        </w:rPr>
        <w:t>8.</w:t>
      </w:r>
      <w:r w:rsidRPr="00BD1F32">
        <w:rPr>
          <w:color w:val="000000"/>
        </w:rPr>
        <w:tab/>
        <w:t xml:space="preserve">suhtautuu myönteisesti pääsihteerin toteuttamiin meneillään oleviin toimiin, jotka koskevat puhemies Metsolan 16. kesäkuuta 2025 ehdottamien uudistusten mukaisesti hallinnollista yhteistyötä, suunnittelua ja yksinkertaistamista ja joilla pyritään lisäämään tehokkuutta ja resurssien tehokasta käyttöä sekä saamaan mahdollisuuksien mukaan aikaan säästöjä; kehottaa vahvistamaan raportointimekanismeja avoimuuden ja </w:t>
      </w:r>
      <w:r w:rsidRPr="00BD1F32">
        <w:rPr>
          <w:color w:val="000000"/>
        </w:rPr>
        <w:lastRenderedPageBreak/>
        <w:t>vastuuvelvollisuuden lisäämiseksi; pyytää pääsihteeriä toimittamaan budjettivaliokunnalle säännöllisesti päivityksiä hallinnon yksinkertaistamista koskevan toimintasuunnitelman täytäntöönpanosta ja sen vaikutuksesta talousarvioon ja henkilöstöön;</w:t>
      </w:r>
    </w:p>
    <w:p w14:paraId="11080397" w14:textId="77777777" w:rsidR="00207441" w:rsidRPr="00BD1F32" w:rsidRDefault="00207441" w:rsidP="00C77684">
      <w:pPr>
        <w:pStyle w:val="action0"/>
        <w:ind w:left="0" w:firstLine="0"/>
        <w:rPr>
          <w:b/>
          <w:i/>
        </w:rPr>
      </w:pPr>
      <w:r w:rsidRPr="00BD1F32">
        <w:rPr>
          <w:b/>
          <w:i/>
        </w:rPr>
        <w:t>Parlamentin ydintoimintojen vahvistaminen</w:t>
      </w:r>
    </w:p>
    <w:p w14:paraId="7B7E69E7" w14:textId="029AE249" w:rsidR="00207441" w:rsidRPr="00BD1F32" w:rsidRDefault="00207441" w:rsidP="00D273FE">
      <w:pPr>
        <w:widowControl/>
        <w:spacing w:after="240"/>
        <w:ind w:left="567" w:hanging="567"/>
        <w:rPr>
          <w:color w:val="000000"/>
        </w:rPr>
      </w:pPr>
      <w:r w:rsidRPr="00BD1F32">
        <w:t>9.</w:t>
      </w:r>
      <w:r w:rsidRPr="00BD1F32">
        <w:tab/>
        <w:t>panee merkille neljä uutta temaattista pääosastoa, jotka ovat olleet toiminnassa tammikuusta 2025 lähtien ja jotka vastaavat lainsäädäntö-, talousarvio- ja valvontatoimista, jotta parlamentti voi parantaa toimintaansa toisena lainsäätäjänä, toisena budjettivallan käyttäjänä ja vastuuvapauden myöntävänä viranomaisena;</w:t>
      </w:r>
    </w:p>
    <w:p w14:paraId="40AAB756" w14:textId="77777777" w:rsidR="00C77684" w:rsidRPr="00BD1F32" w:rsidRDefault="00207441" w:rsidP="00D273FE">
      <w:pPr>
        <w:widowControl/>
        <w:spacing w:after="240"/>
        <w:ind w:left="567" w:hanging="567"/>
      </w:pPr>
      <w:r w:rsidRPr="00BD1F32">
        <w:t>10.</w:t>
      </w:r>
      <w:r w:rsidRPr="00BD1F32">
        <w:tab/>
        <w:t xml:space="preserve">panee merkille sisäisten resurssien uudelleenkohdentamisen ja toteaa sen koskevan osoitettujen virkojen/toimien määrää (+15 prosenttia vuodesta 2024 vuoteen 2026), ulkopuoliseen henkilöstöön liittyviä määrärahoja (alamomentti 1400, 3,2 miljoonasta eurosta 8 miljoonaan euroon vuodesta 2024 vuoteen 2027) ja ulkopuoliseen asiantuntemukseen liittyviä määrärahoja (alamomentti 3200, 3,2 miljoonasta eurosta 7,7 miljoonaan euroon vuodesta 2024 vuoteen 2027) jäsenille tarjottavan asiantuntemuksen vahvistamiseksi; korostaa tarvetta varmistaa, että nämä lisäykset pysyvät perusteltuina ja oikeasuhteisina ja tuottavat selvää lisäarvoa; pyytää pääsihteeriä toimittamaan budjettivaliokunnalle säännöllisesti päivityksiä neljän uuden pääosaston resurssitilanteen kehittymisestä ja resurssien käytöstä; korostaa tarvetta varmistaa, että parlamentin valmiuksia tukea jäsenten työtä vahvistetaan, sillä kyseessä on tärkeä tavoite; korostaa myös poliittisten ryhmien ratkaisevaa roolia </w:t>
      </w:r>
      <w:bookmarkStart w:id="8" w:name="_Hlk227243597"/>
      <w:r w:rsidRPr="00BD1F32">
        <w:t>asiantuntemuksen ja poliittisen tuen</w:t>
      </w:r>
      <w:bookmarkEnd w:id="8"/>
      <w:r w:rsidRPr="00BD1F32">
        <w:t xml:space="preserve"> tarjoamisessa jäsenille heidän lainsäädäntötyössään ja parlamentaarisessa työssään;</w:t>
      </w:r>
    </w:p>
    <w:p w14:paraId="3389A7BA" w14:textId="6F9BF6EF" w:rsidR="00CC7E52" w:rsidRPr="00BD1F32" w:rsidRDefault="00C77684" w:rsidP="00D273FE">
      <w:pPr>
        <w:widowControl/>
        <w:spacing w:after="240"/>
        <w:ind w:left="567" w:hanging="567"/>
        <w:rPr>
          <w:bCs/>
          <w:iCs/>
        </w:rPr>
      </w:pPr>
      <w:r w:rsidRPr="00BD1F32">
        <w:rPr>
          <w:bCs/>
          <w:iCs/>
        </w:rPr>
        <w:t>11</w:t>
      </w:r>
      <w:r w:rsidR="00CC7E52" w:rsidRPr="00BD1F32">
        <w:rPr>
          <w:bCs/>
          <w:iCs/>
        </w:rPr>
        <w:t>.</w:t>
      </w:r>
      <w:r w:rsidR="00CC7E52" w:rsidRPr="00BD1F32">
        <w:rPr>
          <w:bCs/>
          <w:iCs/>
        </w:rPr>
        <w:tab/>
        <w:t xml:space="preserve">muistuttaa, että EU:n taloudellisten etujen suojaamisvelvoite koskee yhtäläisesti kaikkia unionin varojen edunsaajia, myös parlamentissa toimivia poliittisia ryhmiä; panee merkille, että entisen Identiteetti ja demokratia -ryhmän, joka on nykyään järjestäytynyt uudelleen Euroopan patriootit -ryhmäksi, epäiltyä unionin varojen väärinkäyttöä koskevat tutkinnat ja takaisinperintätoimet tuovat korostetusti esiin vankan sisäisen valvonnan, vaikuttavien jälkitarkastusten ja nopeiden takaisinperintämekanismien merkityksen parlamentin hallinnossa; kehottaa parlamentin hallintoa saattamaan kaikki kesken olevat takaisinperintämenettelyt viipymättä päätökseen ja toimittamaan mahdolliset todisteet sääntöjenvastaisista menoista </w:t>
      </w:r>
      <w:proofErr w:type="spellStart"/>
      <w:r w:rsidR="00CC7E52" w:rsidRPr="00BD1F32">
        <w:rPr>
          <w:bCs/>
          <w:iCs/>
        </w:rPr>
        <w:t>OLAFille</w:t>
      </w:r>
      <w:proofErr w:type="spellEnd"/>
      <w:r w:rsidR="00CC7E52" w:rsidRPr="00BD1F32">
        <w:rPr>
          <w:bCs/>
          <w:iCs/>
        </w:rPr>
        <w:t xml:space="preserve"> ja </w:t>
      </w:r>
      <w:proofErr w:type="spellStart"/>
      <w:r w:rsidR="00CC7E52" w:rsidRPr="00BD1F32">
        <w:rPr>
          <w:bCs/>
          <w:iCs/>
        </w:rPr>
        <w:t>EPPOlle</w:t>
      </w:r>
      <w:proofErr w:type="spellEnd"/>
      <w:r w:rsidR="00CC7E52" w:rsidRPr="00BD1F32">
        <w:rPr>
          <w:bCs/>
          <w:iCs/>
        </w:rPr>
        <w:t>; korostaa, että unionin petostentorjuntajärjestelmän uskottavuus riippuu sen johdonmukaisesta soveltamisesta kaikkiin edunsaajiin, myös itse parlamentissa toimiviin edunsaajiin;</w:t>
      </w:r>
    </w:p>
    <w:p w14:paraId="2F85B7C4" w14:textId="77777777" w:rsidR="00207441" w:rsidRPr="00BD1F32" w:rsidRDefault="00207441" w:rsidP="006A2656">
      <w:pPr>
        <w:keepNext/>
        <w:widowControl/>
        <w:spacing w:after="240"/>
        <w:rPr>
          <w:b/>
          <w:i/>
          <w:color w:val="000000"/>
        </w:rPr>
      </w:pPr>
      <w:r w:rsidRPr="00BD1F32">
        <w:rPr>
          <w:b/>
          <w:i/>
          <w:color w:val="000000"/>
        </w:rPr>
        <w:t>Digitaalinen siirtymä</w:t>
      </w:r>
    </w:p>
    <w:p w14:paraId="37E7A847" w14:textId="0F921591" w:rsidR="00207441" w:rsidRPr="00BD1F32" w:rsidRDefault="002B49BA" w:rsidP="00D273FE">
      <w:pPr>
        <w:pStyle w:val="action0"/>
        <w:ind w:left="567" w:hanging="567"/>
      </w:pPr>
      <w:r w:rsidRPr="00BD1F32">
        <w:t>12</w:t>
      </w:r>
      <w:r w:rsidR="00207441" w:rsidRPr="00BD1F32">
        <w:t>.</w:t>
      </w:r>
      <w:r w:rsidR="00207441" w:rsidRPr="00BD1F32">
        <w:tab/>
      </w:r>
      <w:r w:rsidR="00207441" w:rsidRPr="00BD1F32">
        <w:rPr>
          <w:color w:val="000000"/>
        </w:rPr>
        <w:t>panee merkille, että vuoden 2027 ennakkoarviossa tietotekniikkamäärärahojen osuus kokonaistalousarviosta on 7,6 prosenttia ja niiden määrä on 202,4 miljoonaa euroa; painottaa vakaan kyberturvallisuusinfrastruktuurin merkitystä geopoliittisesti epävakaina aikoina; muistuttaa, että kyberturvallisuuteen osoitettuja määrärahoja aiotaan lisätä asteittain 10 prosenttiin parlamentin tieto- ja viestintätekniikan määrärahoista;</w:t>
      </w:r>
      <w:r w:rsidR="00207441" w:rsidRPr="00BD1F32">
        <w:t xml:space="preserve"> toteaa, että tämä suunniteltu lisäys olisi tehtävä mahdollisimman pian;</w:t>
      </w:r>
    </w:p>
    <w:p w14:paraId="4D2F8FF9" w14:textId="2CC2B89F" w:rsidR="00207441" w:rsidRPr="00BD1F32" w:rsidRDefault="002B49BA" w:rsidP="00D273FE">
      <w:pPr>
        <w:pStyle w:val="action0"/>
        <w:ind w:left="567" w:hanging="567"/>
      </w:pPr>
      <w:r w:rsidRPr="00BD1F32">
        <w:t>13</w:t>
      </w:r>
      <w:r w:rsidR="00207441" w:rsidRPr="00BD1F32">
        <w:t>.</w:t>
      </w:r>
      <w:r w:rsidR="00207441" w:rsidRPr="00BD1F32">
        <w:tab/>
        <w:t xml:space="preserve">korostaa, että parlamentin kyberturvallisuus on keskeinen painopiste geopoliittisen epävarmuuden aikana; panee merkille, että kyberturvallisuuteen osoitettu kokonaismäärä on 16,9 miljoonaa euroa ja siihen sisältyy 54 prosentin lisäys keskitettyyn kyberturvallisuutta koskevaan budjettikohtaan vuoteen 2026 verrattuna; </w:t>
      </w:r>
      <w:r w:rsidR="00207441" w:rsidRPr="00BD1F32">
        <w:lastRenderedPageBreak/>
        <w:t>palauttaa mieliin, että kyberturvallisuusinvestoinnit ovat avainasemassa parlamentin ja unionin demokraattisen äänen suojelemiseksi ja parlamentin asianmukaisen toiminnan varmistamiseksi;</w:t>
      </w:r>
    </w:p>
    <w:p w14:paraId="34B317AD" w14:textId="1FEBDDB1" w:rsidR="00207441" w:rsidRPr="00BD1F32" w:rsidRDefault="002B49BA" w:rsidP="00D273FE">
      <w:pPr>
        <w:pStyle w:val="action0"/>
        <w:ind w:left="567" w:hanging="567"/>
      </w:pPr>
      <w:r w:rsidRPr="00BD1F32">
        <w:t>14</w:t>
      </w:r>
      <w:r w:rsidR="00207441" w:rsidRPr="00BD1F32">
        <w:t>.</w:t>
      </w:r>
      <w:r w:rsidR="00207441" w:rsidRPr="00BD1F32">
        <w:tab/>
        <w:t>korostaa, että parlamentin on oltava ensimmäisten joukossa digitaalisempien työmenetelmien käyttöönotossa; suhtautuu myönteisesti tekoälyyn tehtäviin investointeihin, joihin osoitetaan yhteensä miljoona euroa; kehottaa lisäämään tekoälyn käyttöä tehokkuuden lisäämiseksi ja suvereniteetin vahvistamiseksi tällä alalla pitäen samalla mielessä tähän liittyvät riskit, myös eettiset ja tietosuojariskit; tähdentää, että tekoälyn käyttöönotossa on tasapainotettava innovointi ja tarvittavat suojatoimet; korostaa tekoälyn mahdollisuuksia yksinkertaistaa hallinnollisia prosesseja; kannustaa kehittämään selkeitä suuntaviivoja ja suojatoimia, joilla varmistetaan tekoälyn vastuullinen ja avoin käyttö ja edistetään innovointia siten, että samalla otetaan huomioon perusoikeudet, turvallisuus ja vastuuvelvollisuus; panee merkille, että tekoälyn kehittämistä seurataan tiiviisti puhemiehistön vahvistamien periaatteiden mukaisesti; korostaa, että tekoälyinvestoinneissa ei pitäisi keskittyä ainoastaan hallinnon tehokkuuteen vaan myös demokraattisen avoimuuden ja kansalaisvaikuttamisen lisäämiseen;</w:t>
      </w:r>
    </w:p>
    <w:p w14:paraId="55A027FB" w14:textId="3D68EEDB" w:rsidR="00207441" w:rsidRPr="00BD1F32" w:rsidRDefault="002B49BA" w:rsidP="00CC7E52">
      <w:pPr>
        <w:pStyle w:val="action0"/>
        <w:ind w:left="567" w:hanging="567"/>
        <w:rPr>
          <w:bCs/>
          <w:iCs/>
        </w:rPr>
      </w:pPr>
      <w:r w:rsidRPr="00BD1F32">
        <w:t>15</w:t>
      </w:r>
      <w:r w:rsidR="00207441" w:rsidRPr="00BD1F32">
        <w:t>.</w:t>
      </w:r>
      <w:r w:rsidR="00207441" w:rsidRPr="00BD1F32">
        <w:tab/>
        <w:t>tähdentää, että kun otetaan huomioon geopoliittinen tilanne ja investoinnit, joita Euroopan unionin on tehtävä strategisen riippumattomuutensa turvaamiseksi, Euroopan parlamentin on näytettävä esimerkkiä; panee merkille, että on valmisteltu konsolidoitua toimintasuunnitelmaa, jolla pyritään vahvistamaan parlamentin kantaa digitaaliseen suvereniteettiin; odottaa kiinnostuneena saavansa säännöllisesti ajantasaisia tietoja aikaansaadusta edistyksestä; korostaa, että parlamentin digitaalisessa infrastruktuurissa on tärkeää varmistaa kyberturvallisuuden, tietosuojan ja häiriönsietokyvyn korkea taso; korostaa tarvetta arvioida huolellisesti riskejä, jotka liittyvät riippuvuuteen Euroopan ulkopuolisista palveluntarjoajista, myös riskinarviointien avulla; korostaa, että on tärkeää ylläpitää turvallisia, kilpailukykyisiä ja luotettavia ratkaisuja ja asettaa mahdollisuuksien mukaan etusijalle eurooppalaiset palveluntarjoajat; kehottaa arvioimaan säännöllisesti parlamentin viestintäkanavia ja digitaalisia välineitä turvallisuuden ja EU:n lainsäädännön noudattamisen pohjalta koordinoidusti muiden EU:n toimielinten kanssa, jotta voidaan varmistaa parlamenttiin liittyvien tietojen suojelu ja parlamentin viestinnän eheys;</w:t>
      </w:r>
    </w:p>
    <w:p w14:paraId="0AD8AEE1" w14:textId="77777777" w:rsidR="00207441" w:rsidRPr="00BD1F32" w:rsidRDefault="00207441" w:rsidP="00C77684">
      <w:pPr>
        <w:pStyle w:val="action0"/>
        <w:ind w:left="0" w:firstLine="0"/>
        <w:rPr>
          <w:b/>
          <w:i/>
        </w:rPr>
      </w:pPr>
      <w:r w:rsidRPr="00BD1F32">
        <w:rPr>
          <w:b/>
          <w:i/>
          <w:color w:val="000000"/>
        </w:rPr>
        <w:t>Infrastruktuuri</w:t>
      </w:r>
    </w:p>
    <w:p w14:paraId="35B9B525" w14:textId="076A5575" w:rsidR="00207441" w:rsidRPr="00BD1F32" w:rsidRDefault="002B49BA" w:rsidP="00D273FE">
      <w:pPr>
        <w:pStyle w:val="action0"/>
        <w:ind w:left="567" w:hanging="567"/>
        <w:rPr>
          <w:color w:val="000000"/>
        </w:rPr>
      </w:pPr>
      <w:r w:rsidRPr="00BD1F32">
        <w:rPr>
          <w:color w:val="000000"/>
        </w:rPr>
        <w:t>16</w:t>
      </w:r>
      <w:r w:rsidR="00207441" w:rsidRPr="00BD1F32">
        <w:rPr>
          <w:color w:val="000000"/>
        </w:rPr>
        <w:t>.</w:t>
      </w:r>
      <w:r w:rsidR="00207441" w:rsidRPr="00BD1F32">
        <w:rPr>
          <w:color w:val="000000"/>
        </w:rPr>
        <w:tab/>
        <w:t>panee merkille kiinteistöjä koskevan uuden lähestymistavan, jossa siirryttiin uusien rakennusten hankkimisesta vakauttamisen vaiheeseen ja jossa otetaan huomioon kestävyys, esteettömyys ja liikkuvuus jäsenten, henkilöstön ja vierailijoiden kannalta;</w:t>
      </w:r>
    </w:p>
    <w:p w14:paraId="30672A41" w14:textId="280D0D08" w:rsidR="00207441" w:rsidRPr="00BD1F32" w:rsidRDefault="002B49BA" w:rsidP="00D273FE">
      <w:pPr>
        <w:pStyle w:val="action0"/>
        <w:ind w:left="567" w:hanging="567"/>
        <w:rPr>
          <w:color w:val="000000"/>
        </w:rPr>
      </w:pPr>
      <w:r w:rsidRPr="00BD1F32">
        <w:rPr>
          <w:color w:val="000000"/>
        </w:rPr>
        <w:t>17</w:t>
      </w:r>
      <w:r w:rsidR="00207441" w:rsidRPr="00BD1F32">
        <w:rPr>
          <w:color w:val="000000"/>
        </w:rPr>
        <w:t>.</w:t>
      </w:r>
      <w:r w:rsidR="00207441" w:rsidRPr="00BD1F32">
        <w:rPr>
          <w:color w:val="000000"/>
        </w:rPr>
        <w:tab/>
        <w:t xml:space="preserve">panee merkille, että SPAAK-rakennuksen peruskorjaus alkaa vuonna 2027; panee merkille, että peruskorjauksen kokonaistalousarvioksi on vahvistettu 455 miljoonaa euroa ja että vuodelle 2027 on varattu 77,67 miljoonaa euroa; korostaa, että näitä kustannuksia ei ole sisällytetty vuoden 2027 talousarvioon; </w:t>
      </w:r>
      <w:bookmarkStart w:id="9" w:name="_Hlk227680019"/>
      <w:r w:rsidR="00207441" w:rsidRPr="00BD1F32">
        <w:rPr>
          <w:color w:val="000000"/>
        </w:rPr>
        <w:t>korostaa tarvetta varmistaa kustannusten tiukka valvonta, avoimuus ja suunnitellun talousarvion noudattaminen;</w:t>
      </w:r>
      <w:bookmarkEnd w:id="9"/>
    </w:p>
    <w:p w14:paraId="00CCC2FA" w14:textId="41D14AAF" w:rsidR="00207441" w:rsidRPr="00BD1F32" w:rsidRDefault="002B49BA" w:rsidP="00D273FE">
      <w:pPr>
        <w:pStyle w:val="action0"/>
        <w:ind w:left="567" w:hanging="567"/>
        <w:rPr>
          <w:color w:val="000000"/>
        </w:rPr>
      </w:pPr>
      <w:r w:rsidRPr="00BD1F32">
        <w:rPr>
          <w:color w:val="000000"/>
        </w:rPr>
        <w:t>18</w:t>
      </w:r>
      <w:r w:rsidR="00207441" w:rsidRPr="00BD1F32">
        <w:rPr>
          <w:color w:val="000000"/>
        </w:rPr>
        <w:t>.</w:t>
      </w:r>
      <w:r w:rsidR="00207441" w:rsidRPr="00BD1F32">
        <w:rPr>
          <w:color w:val="000000"/>
        </w:rPr>
        <w:tab/>
        <w:t xml:space="preserve">panee merkille, että parlamentti aikoo ottaa SPAAK-rakennuksen peruskorjaushankkeen rahoittamiseksi lainaa, myös Euroopan investointipankilta; toteaa, että vuoden 2027 talousarvioon sisältyy kustannuksia, jotka liittyvät korkoihin (3,17 miljoonaa euroa) ja pääoman takaisinmaksuun (0,65 miljoonaa euroa); edellyttää, että myös kustannukset, jotka eivät liity suoraan peruskorjaustöihin, luetellaan </w:t>
      </w:r>
      <w:r w:rsidR="00207441" w:rsidRPr="00BD1F32">
        <w:rPr>
          <w:color w:val="000000"/>
        </w:rPr>
        <w:lastRenderedPageBreak/>
        <w:t>tarvittaessa selkeästi ja sisällytetään talousarvioon; kehottaa hallintoa pitämään budjettivaliokunnan tiiviisti ajan tasalla lainoista perittävistä koroista ja pääoman takaisinmaksun pitkän aikavälin suunnittelusta; korostaa tarvetta varmistaa maltillinen velanhoito;</w:t>
      </w:r>
    </w:p>
    <w:p w14:paraId="4A60AF9C" w14:textId="3CBEBFEC" w:rsidR="00207441" w:rsidRPr="00BD1F32" w:rsidRDefault="002B49BA" w:rsidP="00D273FE">
      <w:pPr>
        <w:pStyle w:val="action0"/>
        <w:ind w:left="567" w:hanging="567"/>
        <w:rPr>
          <w:b/>
          <w:bCs/>
          <w:i/>
          <w:iCs/>
          <w:color w:val="000000"/>
        </w:rPr>
      </w:pPr>
      <w:r w:rsidRPr="00BD1F32">
        <w:rPr>
          <w:color w:val="000000"/>
        </w:rPr>
        <w:t>19</w:t>
      </w:r>
      <w:r w:rsidR="00207441" w:rsidRPr="00BD1F32">
        <w:rPr>
          <w:color w:val="000000"/>
        </w:rPr>
        <w:t>.</w:t>
      </w:r>
      <w:r w:rsidR="00207441" w:rsidRPr="00BD1F32">
        <w:rPr>
          <w:color w:val="000000"/>
        </w:rPr>
        <w:tab/>
        <w:t xml:space="preserve">pitää valitettavana viivästyksiä Europa </w:t>
      </w:r>
      <w:proofErr w:type="spellStart"/>
      <w:r w:rsidR="00207441" w:rsidRPr="00BD1F32">
        <w:rPr>
          <w:color w:val="000000"/>
        </w:rPr>
        <w:t>Experience</w:t>
      </w:r>
      <w:proofErr w:type="spellEnd"/>
      <w:r w:rsidR="00207441" w:rsidRPr="00BD1F32">
        <w:rPr>
          <w:color w:val="000000"/>
        </w:rPr>
        <w:t xml:space="preserve"> -keskusten perustamisessa kaikkiin jäsenvaltioihin; panee tyytyväisenä merkille puhemiehistön 31. maaliskuuta 2025 hyväksymän uuden konseptin, joka koskee Europa </w:t>
      </w:r>
      <w:proofErr w:type="spellStart"/>
      <w:r w:rsidR="00207441" w:rsidRPr="00BD1F32">
        <w:rPr>
          <w:color w:val="000000"/>
        </w:rPr>
        <w:t>Experience</w:t>
      </w:r>
      <w:proofErr w:type="spellEnd"/>
      <w:r w:rsidR="00207441" w:rsidRPr="00BD1F32">
        <w:rPr>
          <w:color w:val="000000"/>
        </w:rPr>
        <w:t xml:space="preserve"> -keskusten käytön optimointia ja jossa otetaan huomioon jäsenvaltioiden erilaiset tilanteet; katsoo, että kansalaisten houkuttelemiseksi on tärkeää varmistaa, että Europa </w:t>
      </w:r>
      <w:proofErr w:type="spellStart"/>
      <w:r w:rsidR="00207441" w:rsidRPr="00BD1F32">
        <w:rPr>
          <w:color w:val="000000"/>
        </w:rPr>
        <w:t>Experience</w:t>
      </w:r>
      <w:proofErr w:type="spellEnd"/>
      <w:r w:rsidR="00207441" w:rsidRPr="00BD1F32">
        <w:rPr>
          <w:color w:val="000000"/>
        </w:rPr>
        <w:t xml:space="preserve"> -keskukset tarjoavat kiinnostavan vierailukokemuksen; kehottaa perustamaan Europa </w:t>
      </w:r>
      <w:proofErr w:type="spellStart"/>
      <w:r w:rsidR="00207441" w:rsidRPr="00BD1F32">
        <w:rPr>
          <w:color w:val="000000"/>
        </w:rPr>
        <w:t>Experience</w:t>
      </w:r>
      <w:proofErr w:type="spellEnd"/>
      <w:r w:rsidR="00207441" w:rsidRPr="00BD1F32">
        <w:rPr>
          <w:color w:val="000000"/>
        </w:rPr>
        <w:t xml:space="preserve"> -keskuksia ensisijaisesti jäsenvaltioihin, jotka ovat kauimpana kolmesta toimipaikasta, ja varmistamaan samalla, että niiden kehittäminen ja toiminta pysyvät kustannustehokkaina; muistuttaa, että Europa </w:t>
      </w:r>
      <w:proofErr w:type="spellStart"/>
      <w:r w:rsidR="00207441" w:rsidRPr="00BD1F32">
        <w:rPr>
          <w:color w:val="000000"/>
        </w:rPr>
        <w:t>Experience</w:t>
      </w:r>
      <w:proofErr w:type="spellEnd"/>
      <w:r w:rsidR="00207441" w:rsidRPr="00BD1F32">
        <w:rPr>
          <w:color w:val="000000"/>
        </w:rPr>
        <w:t xml:space="preserve"> -keskusten tarkoituksena on antaa kaikille kansalaisille parempi käsitys unionin toimielinten toiminnasta ja yhteisistä arvoistamme; korostaa, että näille keskuksille osoitettuja talousarviovaroja on käytettävä tehokkaasti, jotta varmistetaan, että niiden viestintä on vaikuttavaa ja saavuttaa erityisesti nuoret ja haavoittuvassa asemassa olevat ryhmät; korostaa, että rahoitusta olisi ensisijaisesti osoitettava tosiasioihin perustuvan ja helposti saatavilla olevan tiedon levittämiseen EU:n toimintapolitiikkojen paikallisesta vaikutuksesta, sillä se on kustannustehokas väline unionin demokratian loukkaamattomuuden suojelemiseksi disinformaatiolta;</w:t>
      </w:r>
    </w:p>
    <w:p w14:paraId="7A3DD5C0" w14:textId="1EAD1659" w:rsidR="00207441" w:rsidRPr="00BD1F32" w:rsidRDefault="002B49BA" w:rsidP="00D273FE">
      <w:pPr>
        <w:pStyle w:val="action0"/>
        <w:ind w:left="567" w:hanging="567"/>
        <w:rPr>
          <w:bCs/>
          <w:iCs/>
          <w:color w:val="000000"/>
        </w:rPr>
      </w:pPr>
      <w:r w:rsidRPr="00BD1F32">
        <w:rPr>
          <w:color w:val="000000"/>
        </w:rPr>
        <w:t>20</w:t>
      </w:r>
      <w:r w:rsidR="00207441" w:rsidRPr="00BD1F32">
        <w:rPr>
          <w:color w:val="000000"/>
        </w:rPr>
        <w:t>.</w:t>
      </w:r>
      <w:r w:rsidR="00207441" w:rsidRPr="00BD1F32">
        <w:rPr>
          <w:color w:val="000000"/>
        </w:rPr>
        <w:tab/>
        <w:t xml:space="preserve">muistuttaa Euroopan parlamentin Ambassador School -ohjelman merkityksestä eurooppalaisnuorten aktiivisen osallistumisen edistämisessä sekä David </w:t>
      </w:r>
      <w:proofErr w:type="spellStart"/>
      <w:r w:rsidR="00207441" w:rsidRPr="00BD1F32">
        <w:rPr>
          <w:color w:val="000000"/>
        </w:rPr>
        <w:t>Sassolin</w:t>
      </w:r>
      <w:proofErr w:type="spellEnd"/>
      <w:r w:rsidR="00207441" w:rsidRPr="00BD1F32">
        <w:rPr>
          <w:color w:val="000000"/>
        </w:rPr>
        <w:t xml:space="preserve"> kunniaksi nimetyn nuorille toimittajille suunnatun koulutusohjelman merkityksestä pyrittäessä vahvistamaan toimittajien tietämystä unionista ja sen toiminnasta ja toteaa näiden ohjelmien olevan disinformaation paras vastalääke ottaen huomioon viimeaikaiset suuntaukset, jotka osoittavat tiedotusvälineiden vapauden ja riippumattomuuden heikentyneen huolestuttavasti kaikkialla unionissa;</w:t>
      </w:r>
    </w:p>
    <w:p w14:paraId="313E2980" w14:textId="5BFEA583" w:rsidR="00207441" w:rsidRPr="00BD1F32" w:rsidRDefault="002B49BA" w:rsidP="00D273FE">
      <w:pPr>
        <w:pStyle w:val="action0"/>
        <w:ind w:left="567" w:hanging="567"/>
        <w:rPr>
          <w:bCs/>
          <w:iCs/>
          <w:color w:val="000000"/>
        </w:rPr>
      </w:pPr>
      <w:r w:rsidRPr="00BD1F32">
        <w:rPr>
          <w:color w:val="000000"/>
        </w:rPr>
        <w:t>21</w:t>
      </w:r>
      <w:r w:rsidR="00207441" w:rsidRPr="00BD1F32">
        <w:rPr>
          <w:color w:val="000000"/>
        </w:rPr>
        <w:t>.</w:t>
      </w:r>
      <w:r w:rsidR="00207441" w:rsidRPr="00BD1F32">
        <w:rPr>
          <w:color w:val="000000"/>
        </w:rPr>
        <w:tab/>
        <w:t>toistaa tukevansa 1900-luvun totalitaaristen hallintojen uhrien yleiseurooppalaisen muistomerkin pystyttämistä Brysseliin ja toteaa sen kuvastavan historiallisten kokemusten moninaisuutta; kehottaa puhemiehistöä harkitsemaan asiaa koskevan päätöksen tekemistä ottaen asianmukaisesti huomioon nykyisen monivuotisen rahoituskehyksen viimeisten vuosien talousarviorajoitukset ja unionin kansalaisten kohtaamat taloudelliset vaikeudet;</w:t>
      </w:r>
    </w:p>
    <w:p w14:paraId="38CAEBFE" w14:textId="4052B4B3" w:rsidR="00207441" w:rsidRPr="00BD1F32" w:rsidRDefault="002B49BA" w:rsidP="00D273FE">
      <w:pPr>
        <w:pStyle w:val="action0"/>
        <w:ind w:left="567" w:hanging="567"/>
        <w:rPr>
          <w:bCs/>
          <w:iCs/>
          <w:color w:val="000000"/>
        </w:rPr>
      </w:pPr>
      <w:r w:rsidRPr="00BD1F32">
        <w:rPr>
          <w:color w:val="000000"/>
        </w:rPr>
        <w:t>22</w:t>
      </w:r>
      <w:r w:rsidR="00207441" w:rsidRPr="00BD1F32">
        <w:rPr>
          <w:color w:val="000000"/>
        </w:rPr>
        <w:t>.</w:t>
      </w:r>
      <w:r w:rsidR="00207441" w:rsidRPr="00BD1F32">
        <w:rPr>
          <w:color w:val="000000"/>
        </w:rPr>
        <w:tab/>
        <w:t>korostaa, että jos parlamentilla olisi vain yksi toimipaikka, olisi mahdollista vähentää taloudellisia ja ympäristökustannuksia; muistuttaa, että Euroopan unionista tehdyn sopimuksen mukaan parlamentin kotipaikka on Strasbourg; toteaa, että pysyvät muutokset edellyttäisivät perussopimuksen muuttamista, johon tarvitaan yksimielisyys;</w:t>
      </w:r>
    </w:p>
    <w:p w14:paraId="5BCC369B" w14:textId="77777777" w:rsidR="00207441" w:rsidRPr="00BD1F32" w:rsidRDefault="00207441" w:rsidP="00C77684">
      <w:pPr>
        <w:pStyle w:val="action0"/>
        <w:ind w:left="0" w:firstLine="0"/>
        <w:rPr>
          <w:b/>
          <w:i/>
          <w:color w:val="000000"/>
        </w:rPr>
      </w:pPr>
      <w:r w:rsidRPr="00BD1F32">
        <w:rPr>
          <w:b/>
          <w:i/>
          <w:color w:val="000000"/>
        </w:rPr>
        <w:t>Vihreä parlamentti</w:t>
      </w:r>
    </w:p>
    <w:p w14:paraId="4457AF27" w14:textId="5DA2B3BA" w:rsidR="00207441" w:rsidRPr="00BD1F32" w:rsidRDefault="002B49BA" w:rsidP="00D273FE">
      <w:pPr>
        <w:widowControl/>
        <w:spacing w:after="240"/>
        <w:ind w:left="567" w:hanging="567"/>
        <w:rPr>
          <w:color w:val="000000"/>
        </w:rPr>
      </w:pPr>
      <w:r w:rsidRPr="00BD1F32">
        <w:rPr>
          <w:color w:val="000000"/>
        </w:rPr>
        <w:t>23</w:t>
      </w:r>
      <w:r w:rsidR="00207441" w:rsidRPr="00BD1F32">
        <w:rPr>
          <w:color w:val="000000"/>
        </w:rPr>
        <w:t>.</w:t>
      </w:r>
      <w:r w:rsidR="00207441" w:rsidRPr="00BD1F32">
        <w:rPr>
          <w:color w:val="000000"/>
        </w:rPr>
        <w:tab/>
        <w:t xml:space="preserve">panee tyytyväisenä merkille parlamentin ympäristöasioiden hallintajärjestelmän (EMAS) tavoitteet vuosiksi 2025–2029; pitää myönteisinä infrastruktuuri-investointeja, jotka ovat osa vuosiksi 2025–2029 suunniteltuja energiatehokkuuteen ja ympäristön huomioon ottavaan peruskorjaukseen liittyviä toimia ja hyvä tapa saada rahoille vastinetta; panee merkille, että vuoden 2027 ennakkoarviossa energiatehokkuuteen ja ympäristöön tehtäviin investointeihin on varattu 8,97 miljoonaa euroa, jotta voidaan parantaa entisestään parlamentin rakennusten ympäristötehokkuutta; panee merkille, </w:t>
      </w:r>
      <w:r w:rsidR="00207441" w:rsidRPr="00BD1F32">
        <w:rPr>
          <w:color w:val="000000"/>
        </w:rPr>
        <w:lastRenderedPageBreak/>
        <w:t>että vuoden 2026 talousarvioon verrattuna lisäystä on 6,1 prosenttia; panee merkille, että parlamentti on asentanut aurinkosähköpaneeleja ja asentaa niitä edelleen lisätäkseen entisestään paikan päällä tuotettavan uusiutuvan energian osuutta; korostaa tarvetta varmistaa, että tällaisilla investoinneilla saadaan aikaan mitattavissa olevia tehokkuushyötyjä ottaen huomioon myös geopoliittisen tilanteen sekä pitkän aikavälin kustannussäästöjä;</w:t>
      </w:r>
    </w:p>
    <w:p w14:paraId="72E732A6" w14:textId="10B15247" w:rsidR="00207441" w:rsidRPr="00BD1F32" w:rsidRDefault="002B49BA" w:rsidP="00D273FE">
      <w:pPr>
        <w:widowControl/>
        <w:spacing w:after="240"/>
        <w:ind w:left="567" w:hanging="567"/>
        <w:rPr>
          <w:bCs/>
          <w:iCs/>
          <w:color w:val="000000"/>
        </w:rPr>
      </w:pPr>
      <w:r w:rsidRPr="00BD1F32">
        <w:rPr>
          <w:color w:val="000000"/>
        </w:rPr>
        <w:t>24</w:t>
      </w:r>
      <w:r w:rsidR="00207441" w:rsidRPr="00BD1F32">
        <w:rPr>
          <w:color w:val="000000"/>
        </w:rPr>
        <w:t>.</w:t>
      </w:r>
      <w:r w:rsidR="00207441" w:rsidRPr="00BD1F32">
        <w:rPr>
          <w:color w:val="000000"/>
        </w:rPr>
        <w:tab/>
        <w:t>muistuttaa, että lähes kaksi kolmasosaa parlamentin hiilijalanjäljestä on peräisin henkilöliikenteestä; panee merkille, että merkittävä osa parlamentin talousarviosta, 162,1 miljoonaa euroa vuonna 2027, käytetään jäsenten ja henkilöstön virkamatkakulujen kattamiseen; kehottaa parlamentin elimiä pohtimaan kolmen toimipaikan ulkopuolelle tehtäviin virkamatkoihin liittyviä käytäntöjä ja tarkistamaan virkamatkasääntöjä ja -käytäntöjä pyrkien yleisesti vähentämään virkamatkojen määrää ja niihin liittyviä taloudellisia ja ympäristökustannuksia; kannustaa jäseniä käyttämään vähähiilisiä liikennevaihtoehtoja ja edullisimpia lentovaihtoehtoja;</w:t>
      </w:r>
    </w:p>
    <w:p w14:paraId="2A8EEF16" w14:textId="45888704" w:rsidR="00207441" w:rsidRPr="00BD1F32" w:rsidRDefault="002B49BA" w:rsidP="00D273FE">
      <w:pPr>
        <w:widowControl/>
        <w:spacing w:after="240"/>
        <w:ind w:left="567" w:hanging="567"/>
        <w:rPr>
          <w:bCs/>
          <w:iCs/>
          <w:color w:val="000000"/>
        </w:rPr>
      </w:pPr>
      <w:r w:rsidRPr="00BD1F32">
        <w:rPr>
          <w:color w:val="000000"/>
        </w:rPr>
        <w:t>25</w:t>
      </w:r>
      <w:r w:rsidR="00207441" w:rsidRPr="00BD1F32">
        <w:rPr>
          <w:color w:val="000000"/>
        </w:rPr>
        <w:t>.</w:t>
      </w:r>
      <w:r w:rsidR="00207441" w:rsidRPr="00BD1F32">
        <w:rPr>
          <w:color w:val="000000"/>
        </w:rPr>
        <w:tab/>
        <w:t>pitää myönteisenä julkisen liikenteen käytön lisääntymistä työmatkoilla ja panee samalla merkille julkisen liikenteen kausilippujen rahoitustukijärjestelmän lisääntyneen kysynnän erityisesti Brysselissä, minkä vuoksi määrärahoja lisätään; katsoo, että parlamentin on näytettävä esimerkkiä ja kannustettava mahdollisia toimenpiteitä varmistaakseen resurssien käyttämisen tehokkaasti siten, että työmatkaliikenteessä vahvistetaan kestäviä liikennemuotoja ja työmatkapyöräilylle luodaan lisäkannustimia;</w:t>
      </w:r>
    </w:p>
    <w:p w14:paraId="4876DE4E" w14:textId="3919EFC2" w:rsidR="00207441" w:rsidRPr="00BD1F32" w:rsidRDefault="002B49BA" w:rsidP="00D273FE">
      <w:pPr>
        <w:widowControl/>
        <w:spacing w:after="240"/>
        <w:ind w:left="567" w:hanging="567"/>
        <w:rPr>
          <w:color w:val="000000"/>
        </w:rPr>
      </w:pPr>
      <w:r w:rsidRPr="00BD1F32">
        <w:rPr>
          <w:color w:val="000000"/>
        </w:rPr>
        <w:t>26</w:t>
      </w:r>
      <w:r w:rsidR="00207441" w:rsidRPr="00BD1F32">
        <w:rPr>
          <w:color w:val="000000"/>
        </w:rPr>
        <w:t>.</w:t>
      </w:r>
      <w:r w:rsidR="00207441" w:rsidRPr="00BD1F32">
        <w:rPr>
          <w:color w:val="000000"/>
        </w:rPr>
        <w:tab/>
        <w:t>panee merkille päästöhyvitysten hintojen merkittävän nousun, joka nykyisillä päästötasoilla edellyttäisi arviolta 950 000:tta euroa vuonna 2027; kehottaa hallintoa asettamaan päästöhyvitysten ostamisen sijaan etusijalle parlamentin päästöjen vähentämisen muun muassa lisäämällä investointeja puhtaisiin lämmitys-, ilmanvaihto- ja ilmastointijärjestelmiin, erityisesti lämpöpumppuihin Brysselissä, ja toteuttamalla muita oikeasuhteisia ja kustannustehokkaita toimenpiteitä päästöjen vähentämiseksi silloin, kun se on järkevää; panee tyytyväisenä merkille, että junatarjontaa on lisätty Strasbourgiin suuntautuvia virkamatkoja varten kesäkuusta 2025 alkaen, ja toteaa sen olevan myönteinen askel hiilidioksidipäästöjen vähentämiseksi;</w:t>
      </w:r>
    </w:p>
    <w:p w14:paraId="133B42D6" w14:textId="77777777" w:rsidR="00207441" w:rsidRPr="00BD1F32" w:rsidRDefault="00207441" w:rsidP="00C77684">
      <w:pPr>
        <w:pStyle w:val="action0"/>
        <w:ind w:left="0" w:firstLine="0"/>
        <w:rPr>
          <w:b/>
          <w:i/>
          <w:color w:val="000000"/>
        </w:rPr>
      </w:pPr>
      <w:r w:rsidRPr="00BD1F32">
        <w:rPr>
          <w:b/>
          <w:i/>
          <w:color w:val="000000"/>
        </w:rPr>
        <w:t>Muuta</w:t>
      </w:r>
    </w:p>
    <w:p w14:paraId="637FBFD1" w14:textId="7E83CB17" w:rsidR="00207441" w:rsidRPr="00BD1F32" w:rsidRDefault="002B49BA" w:rsidP="00D273FE">
      <w:pPr>
        <w:pStyle w:val="action0"/>
        <w:ind w:left="567" w:hanging="567"/>
        <w:rPr>
          <w:color w:val="000000"/>
        </w:rPr>
      </w:pPr>
      <w:r w:rsidRPr="00BD1F32">
        <w:rPr>
          <w:color w:val="000000"/>
        </w:rPr>
        <w:t>27</w:t>
      </w:r>
      <w:r w:rsidR="00207441" w:rsidRPr="00BD1F32">
        <w:rPr>
          <w:color w:val="000000"/>
        </w:rPr>
        <w:t>.</w:t>
      </w:r>
      <w:r w:rsidR="00207441" w:rsidRPr="00BD1F32">
        <w:rPr>
          <w:color w:val="000000"/>
        </w:rPr>
        <w:tab/>
        <w:t>kehottaa puheenjohtajakokousta tekemään viipymättä päätöksen sen sisäisten sääntöjen asiaankuuluvista artikloista, jotka koskevat valtuutettujen avustajien osallistumista jäsenten mukana parlamentin kolmen toimipaikan ulkopuolelle suuntautuville virallisille virkamatkoille ja valtuuskuntamatkoille, jos parlamentin pääsihteeristöön ei ole virallisesti ilmoitettu, että virkamatkalle osallistuu joku heidän poliittista ryhmäänsä edustava henkilöstön jäsen;</w:t>
      </w:r>
    </w:p>
    <w:p w14:paraId="36EE97FB" w14:textId="011C4C16" w:rsidR="00207441" w:rsidRPr="00BD1F32" w:rsidRDefault="00F51BD7" w:rsidP="00D273FE">
      <w:pPr>
        <w:widowControl/>
        <w:spacing w:after="240"/>
        <w:ind w:left="567" w:hanging="567"/>
        <w:rPr>
          <w:color w:val="000000"/>
        </w:rPr>
      </w:pPr>
      <w:r w:rsidRPr="00BD1F32">
        <w:rPr>
          <w:color w:val="000000"/>
        </w:rPr>
        <w:t>2</w:t>
      </w:r>
      <w:r w:rsidR="00103B62" w:rsidRPr="00BD1F32">
        <w:rPr>
          <w:color w:val="000000"/>
        </w:rPr>
        <w:t>8</w:t>
      </w:r>
      <w:r w:rsidR="00207441" w:rsidRPr="00BD1F32">
        <w:rPr>
          <w:color w:val="000000"/>
        </w:rPr>
        <w:t>.</w:t>
      </w:r>
      <w:r w:rsidR="00207441" w:rsidRPr="00BD1F32">
        <w:rPr>
          <w:color w:val="000000"/>
        </w:rPr>
        <w:tab/>
        <w:t>katsoo, että parlamentin olisi näytettävä esimerkkiä vammaisten henkilöiden oikeuksien suhteen sekä työnantajana että julkisena toimielimenä; pitää myönteisenä parlamentin toimintaperiaatteita, joilla pyritään varmistamaan, että vammaiset henkilöt voivat käyttää parlamentin rakennuksia täysin itsenäisesti, ja tukee tässä yhteydessä tarvittavia lisätoimenpiteitä ja -mukautuksia; panee merkille, että talousarviossa on varattu tähän tarkoitukseen 2,07 miljoonaa euroa Strasbourgin kiinteistöille; korostaa, että esteettömyyden olisi oltava keskeinen kriteeri SPAAK-rakennuksen peruskorjauksessa ja kaikkien digitaalisten alustojen kehittämisessä;</w:t>
      </w:r>
    </w:p>
    <w:p w14:paraId="0771E5AB" w14:textId="359F88D0" w:rsidR="00103B62" w:rsidRPr="00BD1F32" w:rsidRDefault="00103B62" w:rsidP="00103B62">
      <w:pPr>
        <w:pStyle w:val="action0"/>
        <w:ind w:left="567" w:hanging="567"/>
        <w:rPr>
          <w:bCs/>
          <w:iCs/>
          <w:color w:val="000000"/>
        </w:rPr>
      </w:pPr>
      <w:r w:rsidRPr="00BD1F32">
        <w:rPr>
          <w:bCs/>
          <w:iCs/>
        </w:rPr>
        <w:lastRenderedPageBreak/>
        <w:t>29.</w:t>
      </w:r>
      <w:r w:rsidRPr="00BD1F32">
        <w:rPr>
          <w:bCs/>
          <w:iCs/>
        </w:rPr>
        <w:tab/>
        <w:t>suhtautuu myönteisesti puheenjohtajakokouksen ja puhemiehistön äskettäin hyväksymiin aloitteisiin, joiden mukaan jäsenet voivat ennen lastensa syntymää ja sen jälkeen äänestää valtakirjalla, ja katsoo tämän olevan myönteinen askel kohti osallisuuden lisäämistä parlamentaarisessa työssä ja kehottaa kaikkia osapuolia toteuttamaan toimenpiteen viipymättä; tähdentää kuitenkin, että tämä toimenpide ei vastaa parlamentin toistuviin pyyntöihin varmistaa jäsenille äänestysoikeudet paitsi ennen lastensa syntymää ja sen jälkeen, myös vanhempain- tai isyysvapaalla tai lääkäritodistuksella osoitetulla pitkäaikaisella sairauslomalla oleville jäsenille;</w:t>
      </w:r>
    </w:p>
    <w:p w14:paraId="7A4956F7" w14:textId="2CAFD30E" w:rsidR="00207441" w:rsidRPr="00BD1F32" w:rsidRDefault="00F51BD7" w:rsidP="00D273FE">
      <w:pPr>
        <w:widowControl/>
        <w:spacing w:after="240"/>
        <w:ind w:left="567" w:hanging="567"/>
        <w:rPr>
          <w:color w:val="000000"/>
        </w:rPr>
      </w:pPr>
      <w:r w:rsidRPr="00BD1F32">
        <w:rPr>
          <w:color w:val="000000"/>
        </w:rPr>
        <w:t>30</w:t>
      </w:r>
      <w:r w:rsidR="00207441" w:rsidRPr="00BD1F32">
        <w:rPr>
          <w:color w:val="000000"/>
        </w:rPr>
        <w:t>.</w:t>
      </w:r>
      <w:r w:rsidR="00207441" w:rsidRPr="00BD1F32">
        <w:rPr>
          <w:color w:val="000000"/>
        </w:rPr>
        <w:tab/>
      </w:r>
      <w:r w:rsidR="00C77684" w:rsidRPr="00BD1F32">
        <w:t xml:space="preserve">on huolissaan siitä, että parlamentin </w:t>
      </w:r>
      <w:proofErr w:type="spellStart"/>
      <w:r w:rsidR="00C77684" w:rsidRPr="00BD1F32">
        <w:t>Wayenbergin</w:t>
      </w:r>
      <w:proofErr w:type="spellEnd"/>
      <w:r w:rsidR="00C77684" w:rsidRPr="00BD1F32">
        <w:t xml:space="preserve"> päiväkodin palvelujen laatua ja jatkuvuutta on heikentänyt palveluntarjoajien usein tapahtuva vaihtuminen vuodesta 2020 lähtien sekä päiväkodin henkilöstöpulaan ja henkilöstön runsaisiin poissaoloihin ja suureen vaihtuvuuteen liittyvät haasteet; panee merkille, että parlamentin päiväkotipalveluja Brysselissä koskeva nykyinen sopimus tehtiin uuden yrityksen kanssa, joka perustettiin joutuin tarjouskilpailun julkaisemisen jälkeen ja jonka kerrotaan olevan yhteydessä aiempaan palveluntarjoajaan </w:t>
      </w:r>
      <w:proofErr w:type="spellStart"/>
      <w:r w:rsidR="00C77684" w:rsidRPr="00BD1F32">
        <w:t>Esedraan</w:t>
      </w:r>
      <w:proofErr w:type="spellEnd"/>
      <w:r w:rsidR="00C77684" w:rsidRPr="00BD1F32">
        <w:t xml:space="preserve">; muistuttaa, että parlamentti päätti sopimuksen </w:t>
      </w:r>
      <w:proofErr w:type="spellStart"/>
      <w:r w:rsidR="00C77684" w:rsidRPr="00BD1F32">
        <w:t>Wayenbergin</w:t>
      </w:r>
      <w:proofErr w:type="spellEnd"/>
      <w:r w:rsidR="00C77684" w:rsidRPr="00BD1F32">
        <w:t xml:space="preserve"> päiväkodin edellisen palveluntarjoajan </w:t>
      </w:r>
      <w:proofErr w:type="spellStart"/>
      <w:r w:rsidR="00C77684" w:rsidRPr="00BD1F32">
        <w:t>Esedran</w:t>
      </w:r>
      <w:proofErr w:type="spellEnd"/>
      <w:r w:rsidR="00C77684" w:rsidRPr="00BD1F32">
        <w:t xml:space="preserve"> kanssa etuajassa sen jälkeen, kun kyseistä toimeksisaajaa vastaan oli esitetty useita vakavia syytöksiä; muistuttaa, että parlamentin julkisissa hankinnoissa olisi oltava periaatteena ottaa tilanteen vaatiessa ensisijaisesti huomioon ulkopuolisen henkilöstön ihmisarvoiset työolot ja riittävä palkka sekä koulutus, osaamisen kehittäminen, toimenpiteet työpaikkaväkivallan ja -häirinnän torjumiseksi, työmarkkinaosapuolten merkityksellinen vuoropuhelu ja investoinnit henkilöstön hyvinvointiin; kehottaa tekemään tarjouskilpailumenettelyä ja nykyisen sopimuksen täytäntöönpanoa koskevan riippumattoman ulkoisen tarkastuksen ja sisällyttämään siihen myös ulkoisen arvioinnin työoloista ja henkilöstön hyvinvoinnista;;</w:t>
      </w:r>
      <w:r w:rsidR="00207441" w:rsidRPr="00BD1F32">
        <w:rPr>
          <w:color w:val="000000"/>
        </w:rPr>
        <w:t>;</w:t>
      </w:r>
    </w:p>
    <w:p w14:paraId="6A9A3950" w14:textId="24FBE7F4" w:rsidR="00207441" w:rsidRPr="00BD1F32" w:rsidRDefault="00F51BD7" w:rsidP="00D273FE">
      <w:pPr>
        <w:widowControl/>
        <w:spacing w:after="240"/>
        <w:ind w:left="567" w:hanging="567"/>
        <w:rPr>
          <w:bCs/>
          <w:iCs/>
          <w:color w:val="000000"/>
        </w:rPr>
      </w:pPr>
      <w:r w:rsidRPr="00BD1F32">
        <w:rPr>
          <w:color w:val="000000"/>
        </w:rPr>
        <w:t>31</w:t>
      </w:r>
      <w:r w:rsidR="00207441" w:rsidRPr="00BD1F32">
        <w:rPr>
          <w:color w:val="000000"/>
        </w:rPr>
        <w:t>.</w:t>
      </w:r>
      <w:r w:rsidR="00207441" w:rsidRPr="00BD1F32">
        <w:rPr>
          <w:color w:val="000000"/>
        </w:rPr>
        <w:tab/>
        <w:t>on tyytyväinen Strasbourgin perhehuoneeseen, sillä se on arvokas tuki jäsenille ja henkilöstöön kuuluville, joilla on pieniä lapsia, aikana, jona he hoitavat tehtäviään parlamentissa; toteaa kuitenkin sen kapasiteetin rajautuvan 30 lapseen; panee merkille, että Euroopan parlamentin jäsenten ja henkilöstön keski-ikä on laskenut viime vuosina, mikä on johtanut nuorten perheiden määrän kasvuun ja päiväkotipalvelujen kysynnän kasvuun; kehottaa puhemiehistöä ja pääsihteeriä selvittämään ja panemaan täytäntöön ratkaisuja, joilla Strasbourgissa voidaan parantaa edelleen lastenhoitopalvelua;</w:t>
      </w:r>
    </w:p>
    <w:p w14:paraId="3995AE5F" w14:textId="6EFE52B4" w:rsidR="00207441" w:rsidRPr="00BD1F32" w:rsidRDefault="00F51BD7" w:rsidP="00D273FE">
      <w:pPr>
        <w:widowControl/>
        <w:spacing w:after="240"/>
        <w:ind w:left="567" w:hanging="567"/>
        <w:rPr>
          <w:color w:val="000000"/>
        </w:rPr>
      </w:pPr>
      <w:r w:rsidRPr="00BD1F32">
        <w:rPr>
          <w:color w:val="000000"/>
        </w:rPr>
        <w:t>32</w:t>
      </w:r>
      <w:r w:rsidR="00207441" w:rsidRPr="00BD1F32">
        <w:rPr>
          <w:color w:val="000000"/>
        </w:rPr>
        <w:t>.</w:t>
      </w:r>
      <w:r w:rsidR="00207441" w:rsidRPr="00BD1F32">
        <w:rPr>
          <w:color w:val="000000"/>
        </w:rPr>
        <w:tab/>
        <w:t xml:space="preserve">toistaa pääsihteerille esittämänsä kehotuksen korostaa perusperiaatetta, jonka mukaan </w:t>
      </w:r>
      <w:proofErr w:type="spellStart"/>
      <w:r w:rsidR="00207441" w:rsidRPr="00BD1F32">
        <w:rPr>
          <w:color w:val="000000"/>
        </w:rPr>
        <w:t>palvelukseenoton</w:t>
      </w:r>
      <w:proofErr w:type="spellEnd"/>
      <w:r w:rsidR="00207441" w:rsidRPr="00BD1F32">
        <w:rPr>
          <w:color w:val="000000"/>
        </w:rPr>
        <w:t xml:space="preserve"> olisi aina perustuttava pätevyyteen ja että samalla olisi varmistettava myös maantieteellinen tasapaino kaikkien jäsenvaltioiden välillä kaikilla henkilöstötasoilla; korostaa, että aidosti eurooppalaisen julkishallinnon edistämiseksi on olennaisen tärkeää, että kaikilla hallinnon tasoilla saavutetaan tasapuolinen maantieteellinen edustus ja otetaan huomioon myös ikä ja sukupuoli; panee merkille, että parlamentti on toteuttanut toimenpiteitä tämän tavoitteen tukemiseksi, myös järjestämällä kansalaisuuskohtaisia kilpailuja; painottaa, että kilpailumenettelyjä on nopeutettava säilyttäen samalla tiukasti ansioihin perustuva valintamalli;</w:t>
      </w:r>
    </w:p>
    <w:p w14:paraId="3E4F331A" w14:textId="2DB7C624" w:rsidR="00207441" w:rsidRPr="00BD1F32" w:rsidRDefault="00F51BD7" w:rsidP="00D273FE">
      <w:pPr>
        <w:widowControl/>
        <w:spacing w:after="240"/>
        <w:ind w:left="567" w:hanging="567"/>
        <w:rPr>
          <w:color w:val="000000"/>
        </w:rPr>
      </w:pPr>
      <w:r w:rsidRPr="00BD1F32">
        <w:rPr>
          <w:color w:val="000000"/>
        </w:rPr>
        <w:t>33</w:t>
      </w:r>
      <w:r w:rsidR="00207441" w:rsidRPr="00BD1F32">
        <w:rPr>
          <w:color w:val="000000"/>
        </w:rPr>
        <w:t>.</w:t>
      </w:r>
      <w:r w:rsidR="00207441" w:rsidRPr="00BD1F32">
        <w:rPr>
          <w:color w:val="000000"/>
        </w:rPr>
        <w:tab/>
        <w:t>korostaa, että monikielisyys on keskeinen periaate, johon parlamentin työ perustuu; pyytää parlamenttia hyödyntämään tarpeellisessa määrin monikielisyyteen liittyvissä palveluissa tapahtuvaa merkittävää teknologista kehitystä, mukaan lukien tekoälyn kehittäminen ja käyttö;</w:t>
      </w:r>
    </w:p>
    <w:p w14:paraId="7F6835F2" w14:textId="7E392B91" w:rsidR="00207441" w:rsidRPr="00BD1F32" w:rsidRDefault="00F51BD7" w:rsidP="00D273FE">
      <w:pPr>
        <w:widowControl/>
        <w:spacing w:after="240"/>
        <w:ind w:left="567" w:hanging="567"/>
        <w:rPr>
          <w:bCs/>
          <w:iCs/>
          <w:color w:val="000000"/>
        </w:rPr>
      </w:pPr>
      <w:r w:rsidRPr="00BD1F32">
        <w:rPr>
          <w:color w:val="000000"/>
        </w:rPr>
        <w:t>34</w:t>
      </w:r>
      <w:r w:rsidR="00207441" w:rsidRPr="00BD1F32">
        <w:rPr>
          <w:color w:val="000000"/>
        </w:rPr>
        <w:t>.</w:t>
      </w:r>
      <w:r w:rsidR="00207441" w:rsidRPr="00BD1F32">
        <w:rPr>
          <w:color w:val="000000"/>
        </w:rPr>
        <w:tab/>
        <w:t xml:space="preserve">panee merkille Euroopan unionin yleisen tuomioistuimen 17. joulukuuta 2025 antaman tuomion, jossa vahvistetaan puhemiehistön vuonna 2023 hyväksymien jäsenten </w:t>
      </w:r>
      <w:r w:rsidR="00207441" w:rsidRPr="00BD1F32">
        <w:rPr>
          <w:color w:val="000000"/>
        </w:rPr>
        <w:lastRenderedPageBreak/>
        <w:t>vapaaehtoista eläkerahastoa koskevien toimenpiteiden laillisuus</w:t>
      </w:r>
      <w:r w:rsidR="00207441" w:rsidRPr="00BD1F32">
        <w:rPr>
          <w:rStyle w:val="FootnoteReference"/>
          <w:bCs/>
          <w:iCs/>
          <w:color w:val="000000"/>
        </w:rPr>
        <w:footnoteReference w:id="13"/>
      </w:r>
      <w:r w:rsidR="00207441" w:rsidRPr="00BD1F32">
        <w:rPr>
          <w:color w:val="000000"/>
        </w:rPr>
        <w:t>; korostaa, että vaikka nämä toimenpiteet vähensivät etuusvelvoitetta 63 prosenttia, rahaston taloustilanne on edelleen erittäin hauras; odottaa saavansa ajantasaiset tiedot vapaaehtoisen eläkejärjestelmän tulevasta kehityksestä;</w:t>
      </w:r>
    </w:p>
    <w:p w14:paraId="5BEA8C62" w14:textId="27D843B5" w:rsidR="00207441" w:rsidRPr="00BD1F32" w:rsidRDefault="00F51BD7" w:rsidP="00D273FE">
      <w:pPr>
        <w:widowControl/>
        <w:spacing w:after="240"/>
        <w:ind w:left="567" w:hanging="567"/>
        <w:rPr>
          <w:bCs/>
          <w:iCs/>
          <w:color w:val="000000"/>
        </w:rPr>
      </w:pPr>
      <w:r w:rsidRPr="00BD1F32">
        <w:rPr>
          <w:color w:val="000000"/>
        </w:rPr>
        <w:t>35</w:t>
      </w:r>
      <w:r w:rsidR="00207441" w:rsidRPr="00BD1F32">
        <w:rPr>
          <w:color w:val="000000"/>
        </w:rPr>
        <w:t>.</w:t>
      </w:r>
      <w:r w:rsidR="00207441" w:rsidRPr="00BD1F32">
        <w:rPr>
          <w:color w:val="000000"/>
        </w:rPr>
        <w:tab/>
        <w:t>korostaa, että täysistunnon hyväksymät pyynnöt olisi pantava täytäntöön ensisijaisina prioriteetteina;</w:t>
      </w:r>
    </w:p>
    <w:p w14:paraId="50187506" w14:textId="2EAA47E7" w:rsidR="00207441" w:rsidRPr="00BD1F32" w:rsidRDefault="00F51BD7" w:rsidP="00D273FE">
      <w:pPr>
        <w:widowControl/>
        <w:spacing w:after="240"/>
        <w:ind w:left="567" w:hanging="567"/>
      </w:pPr>
      <w:r w:rsidRPr="00BD1F32">
        <w:t>36</w:t>
      </w:r>
      <w:r w:rsidR="00207441" w:rsidRPr="00BD1F32">
        <w:t>.</w:t>
      </w:r>
      <w:r w:rsidR="00207441" w:rsidRPr="00BD1F32">
        <w:tab/>
        <w:t>vahvistaa ennakkoarvion varainhoitovuodeksi 2027;</w:t>
      </w:r>
    </w:p>
    <w:p w14:paraId="3965A8DB" w14:textId="559537E4" w:rsidR="0026258D" w:rsidRPr="00BD1F32" w:rsidRDefault="00F51BD7" w:rsidP="00D273FE">
      <w:pPr>
        <w:widowControl/>
        <w:spacing w:after="240"/>
        <w:ind w:left="567" w:hanging="567"/>
        <w:jc w:val="both"/>
      </w:pPr>
      <w:r w:rsidRPr="00BD1F32">
        <w:t>37</w:t>
      </w:r>
      <w:r w:rsidR="00207441" w:rsidRPr="00BD1F32">
        <w:t>.</w:t>
      </w:r>
      <w:r w:rsidR="00207441" w:rsidRPr="00BD1F32">
        <w:tab/>
        <w:t xml:space="preserve">kehottaa puhemiestä välittämään tämän päätöslauselman ja ennakkoarvion </w:t>
      </w:r>
      <w:r w:rsidR="0026258D" w:rsidRPr="00BD1F32">
        <w:t>neuvostolle ja komissiolle.</w:t>
      </w:r>
    </w:p>
    <w:sectPr w:rsidR="0026258D" w:rsidRPr="00BD1F32" w:rsidSect="002625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606E3" w14:textId="77777777" w:rsidR="00015225" w:rsidRPr="0026258D" w:rsidRDefault="00015225">
      <w:r w:rsidRPr="0026258D">
        <w:separator/>
      </w:r>
    </w:p>
  </w:endnote>
  <w:endnote w:type="continuationSeparator" w:id="0">
    <w:p w14:paraId="19C4B9B0" w14:textId="77777777" w:rsidR="00015225" w:rsidRPr="0026258D" w:rsidRDefault="00015225">
      <w:r w:rsidRPr="002625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CC116" w14:textId="77777777" w:rsidR="00015225" w:rsidRPr="0026258D" w:rsidRDefault="00015225">
      <w:r w:rsidRPr="0026258D">
        <w:separator/>
      </w:r>
    </w:p>
  </w:footnote>
  <w:footnote w:type="continuationSeparator" w:id="0">
    <w:p w14:paraId="6029D52A" w14:textId="77777777" w:rsidR="00015225" w:rsidRPr="0026258D" w:rsidRDefault="00015225">
      <w:r w:rsidRPr="0026258D">
        <w:continuationSeparator/>
      </w:r>
    </w:p>
  </w:footnote>
  <w:footnote w:id="1">
    <w:p w14:paraId="365E93B4" w14:textId="75DD3300" w:rsidR="00207441" w:rsidRPr="006A2656" w:rsidRDefault="00207441" w:rsidP="0026258D">
      <w:pPr>
        <w:ind w:left="567" w:hanging="567"/>
        <w:rPr>
          <w:color w:val="000000"/>
        </w:rPr>
      </w:pPr>
      <w:r w:rsidRPr="006A2656">
        <w:rPr>
          <w:rStyle w:val="FootnoteReference"/>
        </w:rPr>
        <w:footnoteRef/>
      </w:r>
      <w:r w:rsidR="0026258D" w:rsidRPr="006A2656">
        <w:t xml:space="preserve"> </w:t>
      </w:r>
      <w:r w:rsidR="0026258D" w:rsidRPr="006A2656">
        <w:tab/>
      </w:r>
      <w:r w:rsidRPr="006A2656">
        <w:t>EUVL L, 2024/2509, 26.9.2024, ELI:</w:t>
      </w:r>
      <w:r w:rsidRPr="006A2656">
        <w:rPr>
          <w:color w:val="000000"/>
        </w:rPr>
        <w:t xml:space="preserve"> </w:t>
      </w:r>
      <w:hyperlink r:id="rId1" w:history="1">
        <w:r w:rsidRPr="006A2656">
          <w:rPr>
            <w:rStyle w:val="Hyperlink"/>
          </w:rPr>
          <w:t>http://data.europa.eu/eli/reg/2024/2509/oj</w:t>
        </w:r>
      </w:hyperlink>
      <w:r w:rsidRPr="006A2656">
        <w:rPr>
          <w:color w:val="337AB7"/>
          <w:u w:val="single"/>
        </w:rPr>
        <w:t>.</w:t>
      </w:r>
    </w:p>
  </w:footnote>
  <w:footnote w:id="2">
    <w:p w14:paraId="65553728" w14:textId="41CB96F4" w:rsidR="00207441" w:rsidRPr="006A2656" w:rsidRDefault="00207441" w:rsidP="0026258D">
      <w:pPr>
        <w:ind w:left="567" w:hanging="567"/>
        <w:rPr>
          <w:color w:val="000000"/>
        </w:rPr>
      </w:pPr>
      <w:r w:rsidRPr="006A2656">
        <w:rPr>
          <w:rStyle w:val="FootnoteReference"/>
        </w:rPr>
        <w:footnoteRef/>
      </w:r>
      <w:r w:rsidR="0026258D" w:rsidRPr="006A2656">
        <w:t xml:space="preserve"> </w:t>
      </w:r>
      <w:r w:rsidR="0026258D" w:rsidRPr="006A2656">
        <w:tab/>
      </w:r>
      <w:r w:rsidRPr="006A2656">
        <w:t>EUVL L 433 I, 22.12.2020, s. 11, ELI:</w:t>
      </w:r>
      <w:r w:rsidRPr="006A2656">
        <w:rPr>
          <w:color w:val="000000"/>
        </w:rPr>
        <w:t xml:space="preserve"> </w:t>
      </w:r>
      <w:hyperlink r:id="rId2" w:history="1">
        <w:r w:rsidRPr="006A2656">
          <w:rPr>
            <w:rStyle w:val="Hyperlink"/>
          </w:rPr>
          <w:t>http://data.europa.eu/eli/reg/2020/2093/oj</w:t>
        </w:r>
      </w:hyperlink>
      <w:r w:rsidRPr="006A2656">
        <w:rPr>
          <w:color w:val="000000"/>
        </w:rPr>
        <w:t>.</w:t>
      </w:r>
    </w:p>
  </w:footnote>
  <w:footnote w:id="3">
    <w:p w14:paraId="1131E069" w14:textId="3115377D" w:rsidR="00207441" w:rsidRPr="006A2656" w:rsidRDefault="00207441" w:rsidP="0026258D">
      <w:pPr>
        <w:ind w:left="567" w:hanging="567"/>
        <w:rPr>
          <w:color w:val="000000"/>
          <w:lang w:val="da-DK"/>
        </w:rPr>
      </w:pPr>
      <w:r w:rsidRPr="006A2656">
        <w:rPr>
          <w:rStyle w:val="FootnoteReference"/>
        </w:rPr>
        <w:footnoteRef/>
      </w:r>
      <w:r w:rsidR="0026258D" w:rsidRPr="006A2656">
        <w:rPr>
          <w:lang w:val="da-DK"/>
        </w:rPr>
        <w:t xml:space="preserve"> </w:t>
      </w:r>
      <w:r w:rsidR="0026258D" w:rsidRPr="006A2656">
        <w:rPr>
          <w:lang w:val="da-DK"/>
        </w:rPr>
        <w:tab/>
      </w:r>
      <w:r w:rsidRPr="006A2656">
        <w:rPr>
          <w:lang w:val="da-DK"/>
        </w:rPr>
        <w:t>EUVL C 444 I, 22.12.2020, s. 4.</w:t>
      </w:r>
    </w:p>
  </w:footnote>
  <w:footnote w:id="4">
    <w:p w14:paraId="417ADEAE" w14:textId="5F643647" w:rsidR="00207441" w:rsidRPr="006A2656" w:rsidRDefault="00207441" w:rsidP="0026258D">
      <w:pPr>
        <w:ind w:left="567" w:hanging="567"/>
        <w:rPr>
          <w:color w:val="000000"/>
          <w:lang w:val="da-DK"/>
        </w:rPr>
      </w:pPr>
      <w:r w:rsidRPr="006A2656">
        <w:rPr>
          <w:rStyle w:val="FootnoteReference"/>
        </w:rPr>
        <w:footnoteRef/>
      </w:r>
      <w:r w:rsidR="0026258D" w:rsidRPr="006A2656">
        <w:rPr>
          <w:lang w:val="da-DK"/>
        </w:rPr>
        <w:t xml:space="preserve"> </w:t>
      </w:r>
      <w:r w:rsidR="0026258D" w:rsidRPr="006A2656">
        <w:rPr>
          <w:lang w:val="da-DK"/>
        </w:rPr>
        <w:tab/>
      </w:r>
      <w:r w:rsidRPr="006A2656">
        <w:rPr>
          <w:lang w:val="da-DK"/>
        </w:rPr>
        <w:t>EUVL C 445, 29.10.2021, s. 252.</w:t>
      </w:r>
    </w:p>
  </w:footnote>
  <w:footnote w:id="5">
    <w:p w14:paraId="21BD9E71" w14:textId="1CECEED3" w:rsidR="00207441" w:rsidRPr="006A2656" w:rsidRDefault="00207441" w:rsidP="0026258D">
      <w:pPr>
        <w:ind w:left="567" w:hanging="567"/>
      </w:pPr>
      <w:r w:rsidRPr="006A2656">
        <w:rPr>
          <w:rStyle w:val="FootnoteReference"/>
          <w:rFonts w:eastAsiaTheme="majorEastAsia"/>
        </w:rPr>
        <w:footnoteRef/>
      </w:r>
      <w:r w:rsidR="0026258D" w:rsidRPr="006A2656">
        <w:t xml:space="preserve"> </w:t>
      </w:r>
      <w:r w:rsidR="0026258D" w:rsidRPr="006A2656">
        <w:tab/>
      </w:r>
      <w:r w:rsidRPr="006A2656">
        <w:t xml:space="preserve">EUVL L 325, 20.12.2022, s. 11, ELI: </w:t>
      </w:r>
      <w:hyperlink r:id="rId3" w:history="1">
        <w:r w:rsidRPr="006A2656">
          <w:rPr>
            <w:rStyle w:val="Hyperlink"/>
          </w:rPr>
          <w:t>http://data.europa.eu/eli/reg/2022/2496/oj</w:t>
        </w:r>
      </w:hyperlink>
      <w:r w:rsidRPr="006A2656">
        <w:t>.</w:t>
      </w:r>
    </w:p>
  </w:footnote>
  <w:footnote w:id="6">
    <w:p w14:paraId="027417BE" w14:textId="44C92C7E" w:rsidR="00207441" w:rsidRPr="006A2656" w:rsidRDefault="00207441" w:rsidP="0026258D">
      <w:pPr>
        <w:ind w:left="567" w:hanging="567"/>
      </w:pPr>
      <w:r w:rsidRPr="006A2656">
        <w:rPr>
          <w:rStyle w:val="FootnoteReference"/>
        </w:rPr>
        <w:footnoteRef/>
      </w:r>
      <w:r w:rsidR="0026258D" w:rsidRPr="006A2656">
        <w:t xml:space="preserve"> </w:t>
      </w:r>
      <w:r w:rsidR="0026258D" w:rsidRPr="006A2656">
        <w:tab/>
      </w:r>
      <w:r w:rsidRPr="006A2656">
        <w:t xml:space="preserve">EUVL L, 2024/765, 29.2.2024, ELI: </w:t>
      </w:r>
      <w:hyperlink r:id="rId4" w:history="1">
        <w:r w:rsidRPr="006A2656">
          <w:rPr>
            <w:rStyle w:val="Hyperlink"/>
          </w:rPr>
          <w:t>http://data.europa.eu/eli/reg/2024/765/oj</w:t>
        </w:r>
      </w:hyperlink>
      <w:r w:rsidRPr="006A2656">
        <w:t>.</w:t>
      </w:r>
    </w:p>
  </w:footnote>
  <w:footnote w:id="7">
    <w:p w14:paraId="3ABF7A76" w14:textId="076F6D1D" w:rsidR="00207441" w:rsidRPr="006A2656" w:rsidRDefault="00207441" w:rsidP="0026258D">
      <w:pPr>
        <w:ind w:left="567" w:hanging="567"/>
        <w:rPr>
          <w:color w:val="000000"/>
        </w:rPr>
      </w:pPr>
      <w:r w:rsidRPr="006A2656">
        <w:rPr>
          <w:rStyle w:val="FootnoteReference"/>
        </w:rPr>
        <w:footnoteRef/>
      </w:r>
      <w:r w:rsidR="0026258D" w:rsidRPr="006A2656">
        <w:rPr>
          <w:color w:val="000000"/>
        </w:rPr>
        <w:t xml:space="preserve"> </w:t>
      </w:r>
      <w:r w:rsidR="0026258D" w:rsidRPr="006A2656">
        <w:rPr>
          <w:color w:val="000000"/>
        </w:rPr>
        <w:tab/>
      </w:r>
      <w:r w:rsidRPr="006A2656">
        <w:rPr>
          <w:color w:val="000000"/>
        </w:rPr>
        <w:t xml:space="preserve">EUVL L 433 I, 22.12.2020, s. 28, ELI: </w:t>
      </w:r>
      <w:hyperlink r:id="rId5" w:history="1">
        <w:r w:rsidRPr="006A2656">
          <w:rPr>
            <w:rStyle w:val="Hyperlink"/>
          </w:rPr>
          <w:t>http://data.europa.eu/eli/agree_interinstit/2020/1222/oj</w:t>
        </w:r>
      </w:hyperlink>
      <w:r w:rsidRPr="006A2656">
        <w:rPr>
          <w:color w:val="000000"/>
        </w:rPr>
        <w:t>.</w:t>
      </w:r>
    </w:p>
  </w:footnote>
  <w:footnote w:id="8">
    <w:p w14:paraId="5EC9E1AD" w14:textId="67ED53E0" w:rsidR="00207441" w:rsidRPr="006A2656" w:rsidRDefault="00207441" w:rsidP="0026258D">
      <w:pPr>
        <w:ind w:left="567" w:hanging="567"/>
        <w:rPr>
          <w:color w:val="000000"/>
        </w:rPr>
      </w:pPr>
      <w:r w:rsidRPr="006A2656">
        <w:rPr>
          <w:rStyle w:val="FootnoteReference"/>
        </w:rPr>
        <w:footnoteRef/>
      </w:r>
      <w:r w:rsidR="0026258D" w:rsidRPr="006A2656">
        <w:rPr>
          <w:color w:val="000000"/>
        </w:rPr>
        <w:t xml:space="preserve"> </w:t>
      </w:r>
      <w:r w:rsidR="0026258D" w:rsidRPr="006A2656">
        <w:rPr>
          <w:color w:val="000000"/>
        </w:rPr>
        <w:tab/>
      </w:r>
      <w:r w:rsidRPr="006A2656">
        <w:rPr>
          <w:color w:val="000000"/>
        </w:rPr>
        <w:t>EUVL C 445, 29.10.2021, s. 240.</w:t>
      </w:r>
    </w:p>
  </w:footnote>
  <w:footnote w:id="9">
    <w:p w14:paraId="01E38E68" w14:textId="5EFD213E" w:rsidR="00207441" w:rsidRPr="006A2656" w:rsidRDefault="00207441" w:rsidP="0026258D">
      <w:pPr>
        <w:ind w:left="567" w:hanging="567"/>
        <w:rPr>
          <w:color w:val="000000"/>
        </w:rPr>
      </w:pPr>
      <w:r w:rsidRPr="006A2656">
        <w:rPr>
          <w:rStyle w:val="FootnoteReference"/>
        </w:rPr>
        <w:footnoteRef/>
      </w:r>
      <w:r w:rsidR="0026258D" w:rsidRPr="006A2656">
        <w:t xml:space="preserve"> </w:t>
      </w:r>
      <w:r w:rsidR="0026258D" w:rsidRPr="006A2656">
        <w:tab/>
      </w:r>
      <w:r w:rsidRPr="006A2656">
        <w:t>EUVL C 177, 17.</w:t>
      </w:r>
      <w:r w:rsidR="00023430">
        <w:t>5</w:t>
      </w:r>
      <w:r w:rsidRPr="006A2656">
        <w:t>.2023, s. 115.</w:t>
      </w:r>
    </w:p>
  </w:footnote>
  <w:footnote w:id="10">
    <w:p w14:paraId="11DAD61E" w14:textId="5A1A6645" w:rsidR="00207441" w:rsidRPr="006A2656" w:rsidRDefault="00207441" w:rsidP="0026258D">
      <w:pPr>
        <w:ind w:left="567" w:hanging="567"/>
        <w:rPr>
          <w:color w:val="000000"/>
        </w:rPr>
      </w:pPr>
      <w:r w:rsidRPr="006A2656">
        <w:rPr>
          <w:rStyle w:val="FootnoteReference"/>
        </w:rPr>
        <w:footnoteRef/>
      </w:r>
      <w:r w:rsidR="0026258D" w:rsidRPr="006A2656">
        <w:t xml:space="preserve"> </w:t>
      </w:r>
      <w:r w:rsidR="0026258D" w:rsidRPr="006A2656">
        <w:tab/>
      </w:r>
      <w:r w:rsidRPr="006A2656">
        <w:t>EUVL C, C/2024/1195, 23.2.2024, ELI:</w:t>
      </w:r>
      <w:r w:rsidRPr="006A2656">
        <w:rPr>
          <w:color w:val="000000"/>
        </w:rPr>
        <w:t xml:space="preserve"> </w:t>
      </w:r>
      <w:hyperlink r:id="rId6" w:history="1">
        <w:r w:rsidRPr="006A2656">
          <w:rPr>
            <w:rStyle w:val="Hyperlink"/>
          </w:rPr>
          <w:t>http://data.europa.eu/eli/C/2024/1195/oj</w:t>
        </w:r>
      </w:hyperlink>
      <w:r w:rsidRPr="006A2656">
        <w:rPr>
          <w:color w:val="000000"/>
        </w:rPr>
        <w:t>.</w:t>
      </w:r>
    </w:p>
  </w:footnote>
  <w:footnote w:id="11">
    <w:p w14:paraId="1355086E" w14:textId="39A19D81" w:rsidR="00207441" w:rsidRPr="006A2656" w:rsidRDefault="00207441" w:rsidP="0026258D">
      <w:pPr>
        <w:ind w:left="567" w:hanging="567"/>
        <w:rPr>
          <w:color w:val="000000"/>
        </w:rPr>
      </w:pPr>
      <w:r w:rsidRPr="006A2656">
        <w:rPr>
          <w:rStyle w:val="FootnoteReference"/>
        </w:rPr>
        <w:footnoteRef/>
      </w:r>
      <w:r w:rsidR="0026258D" w:rsidRPr="006A2656">
        <w:t xml:space="preserve"> </w:t>
      </w:r>
      <w:r w:rsidR="0026258D" w:rsidRPr="006A2656">
        <w:tab/>
      </w:r>
      <w:r w:rsidRPr="006A2656">
        <w:t>EUVL C, C/2024/6751, 26.11.2024, ELI:</w:t>
      </w:r>
      <w:r w:rsidRPr="006A2656">
        <w:rPr>
          <w:color w:val="000000"/>
        </w:rPr>
        <w:t xml:space="preserve"> </w:t>
      </w:r>
      <w:hyperlink r:id="rId7" w:history="1">
        <w:r w:rsidRPr="006A2656">
          <w:rPr>
            <w:rStyle w:val="Hyperlink"/>
          </w:rPr>
          <w:t>http://data.europa.eu/eli/C/2024/6751/oj</w:t>
        </w:r>
      </w:hyperlink>
      <w:r w:rsidRPr="006A2656">
        <w:rPr>
          <w:color w:val="000000"/>
        </w:rPr>
        <w:t>.</w:t>
      </w:r>
    </w:p>
  </w:footnote>
  <w:footnote w:id="12">
    <w:p w14:paraId="40313209" w14:textId="7211F3B2" w:rsidR="00207441" w:rsidRPr="006A2656" w:rsidRDefault="00207441" w:rsidP="0026258D">
      <w:pPr>
        <w:ind w:left="567" w:hanging="567"/>
        <w:rPr>
          <w:color w:val="000000"/>
        </w:rPr>
      </w:pPr>
      <w:r w:rsidRPr="006A2656">
        <w:rPr>
          <w:rStyle w:val="FootnoteReference"/>
        </w:rPr>
        <w:footnoteRef/>
      </w:r>
      <w:r w:rsidR="0026258D" w:rsidRPr="006A2656">
        <w:t xml:space="preserve"> </w:t>
      </w:r>
      <w:r w:rsidR="0026258D" w:rsidRPr="006A2656">
        <w:tab/>
      </w:r>
      <w:r w:rsidRPr="006A2656">
        <w:t>EUVL L, 2026/72, 26.2.2026, ELI:</w:t>
      </w:r>
      <w:r w:rsidRPr="006A2656">
        <w:rPr>
          <w:color w:val="000000"/>
        </w:rPr>
        <w:t xml:space="preserve"> </w:t>
      </w:r>
      <w:hyperlink r:id="rId8" w:history="1">
        <w:r w:rsidRPr="006A2656">
          <w:rPr>
            <w:rStyle w:val="Hyperlink"/>
          </w:rPr>
          <w:t>http://data.europa.eu/eli/budget/2026/72/oj</w:t>
        </w:r>
      </w:hyperlink>
      <w:r w:rsidRPr="006A2656">
        <w:rPr>
          <w:color w:val="000000"/>
        </w:rPr>
        <w:t xml:space="preserve">. </w:t>
      </w:r>
    </w:p>
  </w:footnote>
  <w:footnote w:id="13">
    <w:p w14:paraId="3A596773" w14:textId="5A47A92D" w:rsidR="00207441" w:rsidRPr="0026258D" w:rsidRDefault="00207441" w:rsidP="0026258D">
      <w:pPr>
        <w:pStyle w:val="FootnoteText"/>
        <w:ind w:left="567" w:hanging="567"/>
        <w:rPr>
          <w:sz w:val="24"/>
          <w:lang w:val="fi-FI"/>
        </w:rPr>
      </w:pPr>
      <w:r w:rsidRPr="006A2656">
        <w:rPr>
          <w:rStyle w:val="FootnoteReference"/>
          <w:sz w:val="24"/>
          <w:lang w:val="fi-FI"/>
        </w:rPr>
        <w:footnoteRef/>
      </w:r>
      <w:r w:rsidR="0026258D" w:rsidRPr="006A2656">
        <w:rPr>
          <w:sz w:val="24"/>
          <w:lang w:val="fi-FI"/>
        </w:rPr>
        <w:t xml:space="preserve"> </w:t>
      </w:r>
      <w:r w:rsidR="0026258D" w:rsidRPr="006A2656">
        <w:rPr>
          <w:sz w:val="24"/>
          <w:lang w:val="fi-FI"/>
        </w:rPr>
        <w:tab/>
      </w:r>
      <w:r w:rsidRPr="006A2656">
        <w:rPr>
          <w:sz w:val="24"/>
          <w:lang w:val="fi-FI"/>
        </w:rPr>
        <w:t xml:space="preserve">Unionin </w:t>
      </w:r>
      <w:r w:rsidR="003F22B5" w:rsidRPr="00D93B07">
        <w:rPr>
          <w:sz w:val="24"/>
          <w:lang w:val="fi-FI"/>
        </w:rPr>
        <w:t xml:space="preserve">yleisen </w:t>
      </w:r>
      <w:r w:rsidRPr="006A2656">
        <w:rPr>
          <w:sz w:val="24"/>
          <w:lang w:val="fi-FI"/>
        </w:rPr>
        <w:t>tuomioistuimen tuomio 17. joulukuuta 2025, FE v. parlamentti, T</w:t>
      </w:r>
      <w:r w:rsidRPr="006A2656">
        <w:rPr>
          <w:sz w:val="24"/>
          <w:lang w:val="fi-FI"/>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8812456">
    <w:abstractNumId w:val="9"/>
  </w:num>
  <w:num w:numId="2" w16cid:durableId="1242834914">
    <w:abstractNumId w:val="9"/>
  </w:num>
  <w:num w:numId="3" w16cid:durableId="1578708564">
    <w:abstractNumId w:val="7"/>
  </w:num>
  <w:num w:numId="4" w16cid:durableId="1367487068">
    <w:abstractNumId w:val="7"/>
  </w:num>
  <w:num w:numId="5" w16cid:durableId="1560820823">
    <w:abstractNumId w:val="6"/>
  </w:num>
  <w:num w:numId="6" w16cid:durableId="1024095954">
    <w:abstractNumId w:val="6"/>
  </w:num>
  <w:num w:numId="7" w16cid:durableId="679165644">
    <w:abstractNumId w:val="5"/>
  </w:num>
  <w:num w:numId="8" w16cid:durableId="429392855">
    <w:abstractNumId w:val="5"/>
  </w:num>
  <w:num w:numId="9" w16cid:durableId="7148652">
    <w:abstractNumId w:val="4"/>
  </w:num>
  <w:num w:numId="10" w16cid:durableId="1456439052">
    <w:abstractNumId w:val="4"/>
  </w:num>
  <w:num w:numId="11" w16cid:durableId="1649823027">
    <w:abstractNumId w:val="8"/>
  </w:num>
  <w:num w:numId="12" w16cid:durableId="839856346">
    <w:abstractNumId w:val="8"/>
  </w:num>
  <w:num w:numId="13" w16cid:durableId="2129203959">
    <w:abstractNumId w:val="3"/>
  </w:num>
  <w:num w:numId="14" w16cid:durableId="1726485453">
    <w:abstractNumId w:val="3"/>
  </w:num>
  <w:num w:numId="15" w16cid:durableId="854884185">
    <w:abstractNumId w:val="2"/>
  </w:num>
  <w:num w:numId="16" w16cid:durableId="1384600345">
    <w:abstractNumId w:val="2"/>
  </w:num>
  <w:num w:numId="17" w16cid:durableId="377707048">
    <w:abstractNumId w:val="1"/>
  </w:num>
  <w:num w:numId="18" w16cid:durableId="455022670">
    <w:abstractNumId w:val="1"/>
  </w:num>
  <w:num w:numId="19" w16cid:durableId="692996646">
    <w:abstractNumId w:val="0"/>
  </w:num>
  <w:num w:numId="20" w16cid:durableId="605818563">
    <w:abstractNumId w:val="0"/>
  </w:num>
  <w:num w:numId="21" w16cid:durableId="761293892">
    <w:abstractNumId w:val="9"/>
  </w:num>
  <w:num w:numId="22" w16cid:durableId="626736496">
    <w:abstractNumId w:val="7"/>
  </w:num>
  <w:num w:numId="23" w16cid:durableId="1375812629">
    <w:abstractNumId w:val="6"/>
  </w:num>
  <w:num w:numId="24" w16cid:durableId="1129083647">
    <w:abstractNumId w:val="5"/>
  </w:num>
  <w:num w:numId="25" w16cid:durableId="1796480252">
    <w:abstractNumId w:val="4"/>
  </w:num>
  <w:num w:numId="26" w16cid:durableId="959258701">
    <w:abstractNumId w:val="8"/>
  </w:num>
  <w:num w:numId="27" w16cid:durableId="721027768">
    <w:abstractNumId w:val="3"/>
  </w:num>
  <w:num w:numId="28" w16cid:durableId="251206172">
    <w:abstractNumId w:val="2"/>
  </w:num>
  <w:num w:numId="29" w16cid:durableId="213930543">
    <w:abstractNumId w:val="1"/>
  </w:num>
  <w:num w:numId="30" w16cid:durableId="408620773">
    <w:abstractNumId w:val="0"/>
  </w:num>
  <w:num w:numId="31" w16cid:durableId="1024019025">
    <w:abstractNumId w:val="9"/>
  </w:num>
  <w:num w:numId="32" w16cid:durableId="168563165">
    <w:abstractNumId w:val="7"/>
  </w:num>
  <w:num w:numId="33" w16cid:durableId="1534002439">
    <w:abstractNumId w:val="6"/>
  </w:num>
  <w:num w:numId="34" w16cid:durableId="1256135457">
    <w:abstractNumId w:val="5"/>
  </w:num>
  <w:num w:numId="35" w16cid:durableId="313722555">
    <w:abstractNumId w:val="4"/>
  </w:num>
  <w:num w:numId="36" w16cid:durableId="488327386">
    <w:abstractNumId w:val="8"/>
  </w:num>
  <w:num w:numId="37" w16cid:durableId="1830170889">
    <w:abstractNumId w:val="3"/>
  </w:num>
  <w:num w:numId="38" w16cid:durableId="1776053798">
    <w:abstractNumId w:val="2"/>
  </w:num>
  <w:num w:numId="39" w16cid:durableId="277681822">
    <w:abstractNumId w:val="1"/>
  </w:num>
  <w:num w:numId="40" w16cid:durableId="928122553">
    <w:abstractNumId w:val="0"/>
  </w:num>
  <w:num w:numId="41" w16cid:durableId="462237917">
    <w:abstractNumId w:val="10"/>
  </w:num>
  <w:num w:numId="42" w16cid:durableId="1477993307">
    <w:abstractNumId w:val="10"/>
  </w:num>
  <w:num w:numId="43" w16cid:durableId="1244795350">
    <w:abstractNumId w:val="10"/>
  </w:num>
  <w:num w:numId="44" w16cid:durableId="481584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FI"/>
    <w:docVar w:name="dvnumam" w:val="0"/>
    <w:docVar w:name="dvpe" w:val="785.303"/>
    <w:docVar w:name="dvrapporteur" w:val="Esittelijä: "/>
    <w:docVar w:name="dvtitre" w:val="Euroopan parlamentin päätöslauselma 30. huhtikuuta 2026 Euroopan parlamentin ennakkoarviosta tuloista ja menoista varainhoitovuodeksi 2027(2025/2247(BUI))"/>
  </w:docVars>
  <w:rsids>
    <w:rsidRoot w:val="00015225"/>
    <w:rsid w:val="00002272"/>
    <w:rsid w:val="00015225"/>
    <w:rsid w:val="00023430"/>
    <w:rsid w:val="00064002"/>
    <w:rsid w:val="000677B9"/>
    <w:rsid w:val="000831BA"/>
    <w:rsid w:val="000A42CC"/>
    <w:rsid w:val="000C42F9"/>
    <w:rsid w:val="000E7DD9"/>
    <w:rsid w:val="0010095E"/>
    <w:rsid w:val="00103B62"/>
    <w:rsid w:val="00125B37"/>
    <w:rsid w:val="00131B24"/>
    <w:rsid w:val="00187494"/>
    <w:rsid w:val="001F32AE"/>
    <w:rsid w:val="00207441"/>
    <w:rsid w:val="0026258D"/>
    <w:rsid w:val="002767FF"/>
    <w:rsid w:val="002B18FE"/>
    <w:rsid w:val="002B49BA"/>
    <w:rsid w:val="002B5493"/>
    <w:rsid w:val="00343214"/>
    <w:rsid w:val="00357536"/>
    <w:rsid w:val="00361C00"/>
    <w:rsid w:val="00395FA1"/>
    <w:rsid w:val="003E15D4"/>
    <w:rsid w:val="003F22B5"/>
    <w:rsid w:val="00411CCE"/>
    <w:rsid w:val="0041666E"/>
    <w:rsid w:val="00421060"/>
    <w:rsid w:val="00471C19"/>
    <w:rsid w:val="004867E3"/>
    <w:rsid w:val="00494A28"/>
    <w:rsid w:val="004C0004"/>
    <w:rsid w:val="004C5D52"/>
    <w:rsid w:val="0050519A"/>
    <w:rsid w:val="005072A1"/>
    <w:rsid w:val="00514517"/>
    <w:rsid w:val="00545827"/>
    <w:rsid w:val="00560270"/>
    <w:rsid w:val="00570651"/>
    <w:rsid w:val="005C2568"/>
    <w:rsid w:val="005F1B17"/>
    <w:rsid w:val="006037C0"/>
    <w:rsid w:val="006631B6"/>
    <w:rsid w:val="00680577"/>
    <w:rsid w:val="006A2656"/>
    <w:rsid w:val="006F74FA"/>
    <w:rsid w:val="00731ADD"/>
    <w:rsid w:val="00734777"/>
    <w:rsid w:val="00747932"/>
    <w:rsid w:val="00751A4A"/>
    <w:rsid w:val="00756632"/>
    <w:rsid w:val="00762C74"/>
    <w:rsid w:val="00786EC0"/>
    <w:rsid w:val="007D1690"/>
    <w:rsid w:val="007D1C46"/>
    <w:rsid w:val="007E22AD"/>
    <w:rsid w:val="00817416"/>
    <w:rsid w:val="00842779"/>
    <w:rsid w:val="00865F67"/>
    <w:rsid w:val="00881A7B"/>
    <w:rsid w:val="008840E5"/>
    <w:rsid w:val="00887B3E"/>
    <w:rsid w:val="008C2AC6"/>
    <w:rsid w:val="00930C23"/>
    <w:rsid w:val="0093193B"/>
    <w:rsid w:val="009509D8"/>
    <w:rsid w:val="00950B64"/>
    <w:rsid w:val="00981893"/>
    <w:rsid w:val="009D23FB"/>
    <w:rsid w:val="00A1687D"/>
    <w:rsid w:val="00A43E52"/>
    <w:rsid w:val="00A4678D"/>
    <w:rsid w:val="00A773FA"/>
    <w:rsid w:val="00A778C7"/>
    <w:rsid w:val="00AB441E"/>
    <w:rsid w:val="00AB6293"/>
    <w:rsid w:val="00AE0928"/>
    <w:rsid w:val="00AF3B82"/>
    <w:rsid w:val="00B12E95"/>
    <w:rsid w:val="00B22876"/>
    <w:rsid w:val="00B2303C"/>
    <w:rsid w:val="00B558F0"/>
    <w:rsid w:val="00BD1F32"/>
    <w:rsid w:val="00BD48FE"/>
    <w:rsid w:val="00BD7BD8"/>
    <w:rsid w:val="00BE6ADC"/>
    <w:rsid w:val="00C05BFE"/>
    <w:rsid w:val="00C23CD4"/>
    <w:rsid w:val="00C61C0C"/>
    <w:rsid w:val="00C77684"/>
    <w:rsid w:val="00C941CB"/>
    <w:rsid w:val="00CC2357"/>
    <w:rsid w:val="00CC7E52"/>
    <w:rsid w:val="00CF071A"/>
    <w:rsid w:val="00D058B8"/>
    <w:rsid w:val="00D273FE"/>
    <w:rsid w:val="00D56C11"/>
    <w:rsid w:val="00D834A0"/>
    <w:rsid w:val="00D872DF"/>
    <w:rsid w:val="00D91E21"/>
    <w:rsid w:val="00DA7FCD"/>
    <w:rsid w:val="00E365E1"/>
    <w:rsid w:val="00E820A4"/>
    <w:rsid w:val="00EB006A"/>
    <w:rsid w:val="00EB4772"/>
    <w:rsid w:val="00EB6911"/>
    <w:rsid w:val="00ED169E"/>
    <w:rsid w:val="00ED4235"/>
    <w:rsid w:val="00F04346"/>
    <w:rsid w:val="00F075DC"/>
    <w:rsid w:val="00F149E9"/>
    <w:rsid w:val="00F5134D"/>
    <w:rsid w:val="00F51BD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8A2F7"/>
  <w15:chartTrackingRefBased/>
  <w15:docId w15:val="{C5307CD2-B016-489D-9874-6C1F2A76A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07441"/>
    <w:pPr>
      <w:spacing w:after="240"/>
      <w:ind w:left="567" w:hanging="567"/>
    </w:pPr>
  </w:style>
  <w:style w:type="character" w:styleId="Hyperlink">
    <w:name w:val="Hyperlink"/>
    <w:basedOn w:val="DefaultParagraphFont"/>
    <w:uiPriority w:val="99"/>
    <w:rsid w:val="00207441"/>
    <w:rPr>
      <w:color w:val="0563C1" w:themeColor="hyperlink"/>
      <w:u w:val="single"/>
    </w:rPr>
  </w:style>
  <w:style w:type="paragraph" w:customStyle="1" w:styleId="Action">
    <w:name w:val="Action"/>
    <w:basedOn w:val="Normal"/>
    <w:rsid w:val="00207441"/>
    <w:pPr>
      <w:tabs>
        <w:tab w:val="left" w:pos="357"/>
      </w:tabs>
      <w:spacing w:after="240"/>
      <w:ind w:left="357" w:hanging="357"/>
    </w:pPr>
    <w:rPr>
      <w:lang w:eastAsia="en-US"/>
    </w:rPr>
  </w:style>
  <w:style w:type="paragraph" w:customStyle="1" w:styleId="action0">
    <w:name w:val="action"/>
    <w:basedOn w:val="Normal"/>
    <w:rsid w:val="00207441"/>
    <w:pPr>
      <w:widowControl/>
      <w:spacing w:after="240"/>
      <w:ind w:left="357" w:hanging="357"/>
    </w:pPr>
    <w:rPr>
      <w:rFonts w:eastAsiaTheme="minorHAnsi"/>
      <w:szCs w:val="24"/>
    </w:rPr>
  </w:style>
  <w:style w:type="paragraph" w:customStyle="1" w:styleId="Institutionquiagit">
    <w:name w:val="Institution qui agit"/>
    <w:basedOn w:val="Normal"/>
    <w:next w:val="Normal"/>
    <w:rsid w:val="00207441"/>
    <w:pPr>
      <w:keepNext/>
      <w:snapToGrid w:val="0"/>
      <w:spacing w:after="240"/>
    </w:pPr>
    <w:rPr>
      <w:i/>
      <w:lang w:eastAsia="en-US"/>
    </w:rPr>
  </w:style>
  <w:style w:type="paragraph" w:customStyle="1" w:styleId="FootnoteReference1">
    <w:name w:val="Footnote Reference1"/>
    <w:basedOn w:val="Normal"/>
    <w:link w:val="FootnoteReference"/>
    <w:rsid w:val="00207441"/>
    <w:pPr>
      <w:widowControl/>
      <w:spacing w:after="160" w:line="240" w:lineRule="exact"/>
    </w:pPr>
    <w:rPr>
      <w:sz w:val="20"/>
      <w:vertAlign w:val="superscript"/>
      <w:lang w:val="en-GB"/>
    </w:rPr>
  </w:style>
  <w:style w:type="paragraph" w:styleId="Footer">
    <w:name w:val="footer"/>
    <w:basedOn w:val="Normal"/>
    <w:link w:val="FooterChar"/>
    <w:rsid w:val="00D273FE"/>
    <w:pPr>
      <w:tabs>
        <w:tab w:val="center" w:pos="4513"/>
        <w:tab w:val="right" w:pos="9026"/>
      </w:tabs>
    </w:pPr>
  </w:style>
  <w:style w:type="character" w:customStyle="1" w:styleId="FooterChar">
    <w:name w:val="Footer Char"/>
    <w:basedOn w:val="DefaultParagraphFont"/>
    <w:link w:val="Footer"/>
    <w:rsid w:val="00D273FE"/>
    <w:rPr>
      <w:sz w:val="24"/>
      <w:lang w:val="fi-FI"/>
    </w:rPr>
  </w:style>
  <w:style w:type="paragraph" w:styleId="Revision">
    <w:name w:val="Revision"/>
    <w:hidden/>
    <w:uiPriority w:val="99"/>
    <w:semiHidden/>
    <w:rsid w:val="003F22B5"/>
    <w:rPr>
      <w:sz w:val="24"/>
      <w:lang w:val="fi-FI"/>
    </w:rPr>
  </w:style>
  <w:style w:type="paragraph" w:customStyle="1" w:styleId="NormalBold">
    <w:name w:val="NormalBold"/>
    <w:basedOn w:val="Normal"/>
    <w:rsid w:val="00CC7E52"/>
    <w:rPr>
      <w:b/>
    </w:rPr>
  </w:style>
  <w:style w:type="paragraph" w:customStyle="1" w:styleId="Normal6a">
    <w:name w:val="Normal6a"/>
    <w:basedOn w:val="Normal"/>
    <w:rsid w:val="00CC7E52"/>
    <w:pPr>
      <w:spacing w:after="120"/>
    </w:pPr>
  </w:style>
  <w:style w:type="paragraph" w:customStyle="1" w:styleId="AmColumnHeading">
    <w:name w:val="AmColumnHeading"/>
    <w:basedOn w:val="Normal"/>
    <w:rsid w:val="00CC7E52"/>
    <w:pPr>
      <w:spacing w:after="240"/>
      <w:jc w:val="center"/>
    </w:pPr>
    <w:rPr>
      <w:i/>
    </w:rPr>
  </w:style>
  <w:style w:type="paragraph" w:customStyle="1" w:styleId="AmNumberTabs">
    <w:name w:val="AmNumberTabs"/>
    <w:basedOn w:val="Normal"/>
    <w:rsid w:val="00CC7E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C7E52"/>
    <w:pPr>
      <w:spacing w:before="240"/>
    </w:pPr>
    <w:rPr>
      <w:b/>
    </w:rPr>
  </w:style>
  <w:style w:type="character" w:customStyle="1" w:styleId="NormalBold12bChar">
    <w:name w:val="NormalBold12b Char"/>
    <w:basedOn w:val="DefaultParagraphFont"/>
    <w:link w:val="NormalBold12b"/>
    <w:rsid w:val="00CC7E52"/>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3084</Words>
  <Characters>26248</Characters>
  <Application>Microsoft Office Word</Application>
  <DocSecurity>0</DocSecurity>
  <Lines>397</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2026-07-08T15:08:00Z</dcterms:created>
  <dcterms:modified xsi:type="dcterms:W3CDTF">2026-07-08T15:08:00Z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P10_TA(2026)0155_</vt:lpwstr>
  </property>
  <property fmtid="{D5CDD505-2E9C-101B-9397-08002B2CF9AE}" pid="4" name="&lt;Type&gt;">
    <vt:lpwstr>RR</vt:lpwstr>
  </property>
  <property fmtid="{D5CDD505-2E9C-101B-9397-08002B2CF9AE}" pid="5" name="&lt;Model&gt;">
    <vt:lpwstr/>
  </property>
</Properties>
</file>