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00F1" w14:paraId="5AA16B95" w14:textId="77777777" w:rsidTr="0010095E">
        <w:trPr>
          <w:trHeight w:hRule="exact" w:val="1418"/>
        </w:trPr>
        <w:tc>
          <w:tcPr>
            <w:tcW w:w="6804" w:type="dxa"/>
            <w:shd w:val="clear" w:color="auto" w:fill="auto"/>
            <w:vAlign w:val="center"/>
          </w:tcPr>
          <w:p w14:paraId="4A373FB4" w14:textId="77777777" w:rsidR="00751A4A" w:rsidRPr="004C00F1" w:rsidRDefault="00C44DC6" w:rsidP="0010095E">
            <w:pPr>
              <w:pStyle w:val="EPName"/>
            </w:pPr>
            <w:r w:rsidRPr="004C00F1">
              <w:t>Europski parlament</w:t>
            </w:r>
          </w:p>
          <w:p w14:paraId="4493AA51" w14:textId="77777777" w:rsidR="00751A4A" w:rsidRPr="004C00F1" w:rsidRDefault="005F1B17" w:rsidP="005F1B17">
            <w:pPr>
              <w:pStyle w:val="EPTerm"/>
              <w:rPr>
                <w:rStyle w:val="HideTWBExt"/>
                <w:noProof w:val="0"/>
                <w:vanish w:val="0"/>
                <w:color w:val="auto"/>
              </w:rPr>
            </w:pPr>
            <w:r w:rsidRPr="004C00F1">
              <w:t>2024</w:t>
            </w:r>
            <w:r w:rsidR="00817416" w:rsidRPr="004C00F1">
              <w:t>-202</w:t>
            </w:r>
            <w:r w:rsidRPr="004C00F1">
              <w:t>9</w:t>
            </w:r>
          </w:p>
        </w:tc>
        <w:tc>
          <w:tcPr>
            <w:tcW w:w="2268" w:type="dxa"/>
            <w:shd w:val="clear" w:color="auto" w:fill="auto"/>
          </w:tcPr>
          <w:p w14:paraId="6FF9BBAA" w14:textId="77777777" w:rsidR="00751A4A" w:rsidRPr="004C00F1" w:rsidRDefault="00187494" w:rsidP="0010095E">
            <w:pPr>
              <w:pStyle w:val="EPLogo"/>
            </w:pPr>
            <w:r w:rsidRPr="004C00F1">
              <w:rPr>
                <w:noProof/>
                <w:lang w:eastAsia="ja-JP"/>
              </w:rPr>
              <w:drawing>
                <wp:inline distT="0" distB="0" distL="0" distR="0" wp14:anchorId="613C1919" wp14:editId="599BCD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A912A9" w14:textId="77777777" w:rsidR="00D058B8" w:rsidRPr="004C00F1" w:rsidRDefault="00D058B8" w:rsidP="004C5D52">
      <w:pPr>
        <w:pStyle w:val="LineTop"/>
      </w:pPr>
    </w:p>
    <w:p w14:paraId="5A3DCDF0" w14:textId="77777777" w:rsidR="00680577" w:rsidRPr="004C00F1" w:rsidRDefault="00C44DC6" w:rsidP="00680577">
      <w:pPr>
        <w:pStyle w:val="EPBodyTA1"/>
      </w:pPr>
      <w:r w:rsidRPr="004C00F1">
        <w:t>USVOJENI TEKSTOVI</w:t>
      </w:r>
    </w:p>
    <w:p w14:paraId="10124370" w14:textId="77777777" w:rsidR="00D058B8" w:rsidRPr="004C00F1" w:rsidRDefault="00D058B8" w:rsidP="00D058B8">
      <w:pPr>
        <w:pStyle w:val="LineBottom"/>
      </w:pPr>
    </w:p>
    <w:p w14:paraId="27B1CB99" w14:textId="54FCA63B" w:rsidR="00C44DC6" w:rsidRPr="004C00F1" w:rsidRDefault="00C44DC6" w:rsidP="00C44DC6">
      <w:pPr>
        <w:pStyle w:val="ATHeading1"/>
      </w:pPr>
      <w:bookmarkStart w:id="0" w:name="TANumber"/>
      <w:r w:rsidRPr="004C00F1">
        <w:t>P10_TA(2026)0</w:t>
      </w:r>
      <w:r w:rsidR="00F60C99">
        <w:t>155</w:t>
      </w:r>
      <w:bookmarkEnd w:id="0"/>
    </w:p>
    <w:p w14:paraId="6ADC70FD" w14:textId="77777777" w:rsidR="00C44DC6" w:rsidRPr="004C00F1" w:rsidRDefault="00C44DC6" w:rsidP="00C44DC6">
      <w:pPr>
        <w:pStyle w:val="ATHeading2"/>
      </w:pPr>
      <w:bookmarkStart w:id="1" w:name="title"/>
      <w:r w:rsidRPr="004C00F1">
        <w:t>Procjena prihoda i rashoda za financijsku godinu 2027. – dio I. – Europski parlament</w:t>
      </w:r>
      <w:bookmarkEnd w:id="1"/>
    </w:p>
    <w:p w14:paraId="25E793E5" w14:textId="77777777" w:rsidR="00C44DC6" w:rsidRPr="004C00F1" w:rsidRDefault="00C44DC6" w:rsidP="00C44DC6">
      <w:pPr>
        <w:rPr>
          <w:i/>
          <w:vanish/>
        </w:rPr>
      </w:pPr>
      <w:r w:rsidRPr="004C00F1">
        <w:rPr>
          <w:i/>
        </w:rPr>
        <w:fldChar w:fldCharType="begin"/>
      </w:r>
      <w:r w:rsidRPr="004C00F1">
        <w:rPr>
          <w:i/>
        </w:rPr>
        <w:instrText xml:space="preserve"> TC"(</w:instrText>
      </w:r>
      <w:bookmarkStart w:id="2" w:name="DocNumber"/>
      <w:r w:rsidRPr="004C00F1">
        <w:rPr>
          <w:i/>
        </w:rPr>
        <w:instrText>A10-0124/2026</w:instrText>
      </w:r>
      <w:bookmarkEnd w:id="2"/>
      <w:r w:rsidRPr="004C00F1">
        <w:rPr>
          <w:i/>
        </w:rPr>
        <w:instrText xml:space="preserve"> - Izvjestitelj: </w:instrText>
      </w:r>
      <w:proofErr w:type="spellStart"/>
      <w:r w:rsidRPr="004C00F1">
        <w:rPr>
          <w:i/>
        </w:rPr>
        <w:instrText>Michalis</w:instrText>
      </w:r>
      <w:proofErr w:type="spellEnd"/>
      <w:r w:rsidRPr="004C00F1">
        <w:rPr>
          <w:i/>
        </w:rPr>
        <w:instrText xml:space="preserve"> </w:instrText>
      </w:r>
      <w:proofErr w:type="spellStart"/>
      <w:r w:rsidRPr="004C00F1">
        <w:rPr>
          <w:i/>
        </w:rPr>
        <w:instrText>Hadjipantela</w:instrText>
      </w:r>
      <w:proofErr w:type="spellEnd"/>
      <w:r w:rsidRPr="004C00F1">
        <w:rPr>
          <w:i/>
        </w:rPr>
        <w:instrText xml:space="preserve">)"\l3 \n&gt; \* MERGEFORMAT </w:instrText>
      </w:r>
      <w:r w:rsidRPr="004C00F1">
        <w:rPr>
          <w:i/>
        </w:rPr>
        <w:fldChar w:fldCharType="end"/>
      </w:r>
    </w:p>
    <w:p w14:paraId="402186F1" w14:textId="77777777" w:rsidR="00C44DC6" w:rsidRPr="004C00F1" w:rsidRDefault="00C44DC6" w:rsidP="00C44DC6">
      <w:pPr>
        <w:rPr>
          <w:vanish/>
        </w:rPr>
      </w:pPr>
      <w:bookmarkStart w:id="3" w:name="Commission"/>
      <w:r w:rsidRPr="004C00F1">
        <w:rPr>
          <w:vanish/>
        </w:rPr>
        <w:t>Odbor za proračune</w:t>
      </w:r>
      <w:bookmarkEnd w:id="3"/>
    </w:p>
    <w:p w14:paraId="6142A1B7" w14:textId="77777777" w:rsidR="00C44DC6" w:rsidRPr="004C00F1" w:rsidRDefault="00C44DC6" w:rsidP="00C44DC6">
      <w:pPr>
        <w:rPr>
          <w:vanish/>
        </w:rPr>
      </w:pPr>
      <w:bookmarkStart w:id="4" w:name="PE"/>
      <w:r w:rsidRPr="004C00F1">
        <w:rPr>
          <w:vanish/>
        </w:rPr>
        <w:t>PE785.303</w:t>
      </w:r>
      <w:bookmarkEnd w:id="4"/>
    </w:p>
    <w:p w14:paraId="5442E556" w14:textId="0CB178B9" w:rsidR="00C44DC6" w:rsidRPr="004C00F1" w:rsidRDefault="00C44DC6" w:rsidP="00C44DC6">
      <w:pPr>
        <w:pStyle w:val="ATHeading3"/>
      </w:pPr>
      <w:bookmarkStart w:id="5" w:name="Sujet"/>
      <w:r w:rsidRPr="004C00F1">
        <w:t xml:space="preserve">Rezolucija Europskog parlamenta od </w:t>
      </w:r>
      <w:r w:rsidR="004C00F1">
        <w:t>30</w:t>
      </w:r>
      <w:r w:rsidRPr="004C00F1">
        <w:t xml:space="preserve">. </w:t>
      </w:r>
      <w:r w:rsidR="004C00F1">
        <w:t xml:space="preserve">travnja </w:t>
      </w:r>
      <w:r w:rsidRPr="004C00F1">
        <w:t>2026. o procjeni prihoda i rashoda Europskog parlamenta za financijsku godinu 2027.</w:t>
      </w:r>
      <w:bookmarkEnd w:id="5"/>
      <w:r w:rsidRPr="004C00F1">
        <w:t xml:space="preserve"> </w:t>
      </w:r>
      <w:bookmarkStart w:id="6" w:name="References"/>
      <w:r w:rsidRPr="004C00F1">
        <w:t>(2025/2247(BUI))</w:t>
      </w:r>
      <w:bookmarkEnd w:id="6"/>
    </w:p>
    <w:p w14:paraId="5D96117A" w14:textId="77777777" w:rsidR="00133B54" w:rsidRPr="004C00F1" w:rsidRDefault="00133B54" w:rsidP="00133B54">
      <w:pPr>
        <w:pStyle w:val="EPComma"/>
      </w:pPr>
      <w:bookmarkStart w:id="7" w:name="TextBodyBegin"/>
      <w:bookmarkEnd w:id="7"/>
      <w:r w:rsidRPr="004C00F1">
        <w:rPr>
          <w:i/>
        </w:rPr>
        <w:t>Europski parlament</w:t>
      </w:r>
      <w:r w:rsidRPr="004C00F1">
        <w:t>,</w:t>
      </w:r>
    </w:p>
    <w:p w14:paraId="61295FB7" w14:textId="77777777" w:rsidR="00133B54" w:rsidRPr="004C00F1" w:rsidRDefault="00133B54" w:rsidP="00133B54">
      <w:pPr>
        <w:pStyle w:val="NormalHanging12a"/>
      </w:pPr>
      <w:r w:rsidRPr="004C00F1">
        <w:t>–</w:t>
      </w:r>
      <w:r w:rsidRPr="004C00F1">
        <w:tab/>
        <w:t>uzimajući u obzir članak 314. Ugovora o funkcioniranju Europske unije,</w:t>
      </w:r>
    </w:p>
    <w:p w14:paraId="0B49ECFD" w14:textId="77777777" w:rsidR="00133B54" w:rsidRPr="004C00F1" w:rsidRDefault="00133B54" w:rsidP="00133B54">
      <w:pPr>
        <w:widowControl/>
        <w:spacing w:after="240"/>
        <w:ind w:left="567" w:hanging="567"/>
        <w:rPr>
          <w:color w:val="000000"/>
        </w:rPr>
      </w:pPr>
      <w:r w:rsidRPr="004C00F1">
        <w:rPr>
          <w:color w:val="000000"/>
        </w:rPr>
        <w:t>–</w:t>
      </w:r>
      <w:r w:rsidRPr="004C00F1">
        <w:rPr>
          <w:color w:val="000000"/>
        </w:rPr>
        <w:tab/>
        <w:t>uzimajući u obzir Uredbu (EU, Euratom) 2024/2509 Europskog parlamenta i Vijeća od 23. rujna 2024. o financijskim pravilima koja se primjenjuju na opći proračun Unije (preinaka)</w:t>
      </w:r>
      <w:r w:rsidRPr="004C00F1">
        <w:rPr>
          <w:color w:val="000000"/>
          <w:vertAlign w:val="superscript"/>
        </w:rPr>
        <w:footnoteReference w:id="1"/>
      </w:r>
      <w:r w:rsidRPr="004C00F1">
        <w:rPr>
          <w:color w:val="000000"/>
        </w:rPr>
        <w:t xml:space="preserve"> („Financijska uredba”),</w:t>
      </w:r>
    </w:p>
    <w:p w14:paraId="2E1562E7" w14:textId="77777777" w:rsidR="00133B54" w:rsidRPr="004C00F1" w:rsidRDefault="00133B54" w:rsidP="00133B54">
      <w:pPr>
        <w:spacing w:after="240"/>
        <w:ind w:left="567" w:hanging="567"/>
        <w:rPr>
          <w:color w:val="000000"/>
        </w:rPr>
      </w:pPr>
      <w:r w:rsidRPr="004C00F1">
        <w:rPr>
          <w:color w:val="000000"/>
        </w:rPr>
        <w:t>–</w:t>
      </w:r>
      <w:r w:rsidRPr="004C00F1">
        <w:rPr>
          <w:color w:val="000000"/>
        </w:rPr>
        <w:tab/>
      </w:r>
      <w:r w:rsidRPr="004C00F1">
        <w:t xml:space="preserve">uzimajući obzir Uredbu Vijeća (EU, Euratom) 2020/2093 od 17. prosinca 2020. kojom se utvrđuje </w:t>
      </w:r>
      <w:sdt>
        <w:sdtPr>
          <w:tag w:val="goog_rdk_0"/>
          <w:id w:val="399490220"/>
        </w:sdtPr>
        <w:sdtEndPr/>
        <w:sdtContent/>
      </w:sdt>
      <w:sdt>
        <w:sdtPr>
          <w:tag w:val="goog_rdk_1"/>
          <w:id w:val="-2088213729"/>
        </w:sdtPr>
        <w:sdtEndPr/>
        <w:sdtContent/>
      </w:sdt>
      <w:r w:rsidRPr="004C00F1">
        <w:t>višegodišnji financijski okvir za razdoblje 2021. – 2027.</w:t>
      </w:r>
      <w:r w:rsidRPr="004C00F1">
        <w:rPr>
          <w:color w:val="000000"/>
          <w:vertAlign w:val="superscript"/>
        </w:rPr>
        <w:footnoteReference w:id="2"/>
      </w:r>
      <w:r w:rsidRPr="004C00F1">
        <w:t xml:space="preserve"> i zajedničke izjave koje su Parlament, Vijeće i Komisija donijeli u tom kontekstu</w:t>
      </w:r>
      <w:r w:rsidRPr="004C00F1">
        <w:rPr>
          <w:color w:val="000000"/>
          <w:vertAlign w:val="superscript"/>
        </w:rPr>
        <w:footnoteReference w:id="3"/>
      </w:r>
      <w:r w:rsidRPr="004C00F1">
        <w:t xml:space="preserve"> te povezane jednostrane izjave</w:t>
      </w:r>
      <w:r w:rsidRPr="004C00F1">
        <w:rPr>
          <w:color w:val="000000"/>
          <w:vertAlign w:val="superscript"/>
        </w:rPr>
        <w:footnoteReference w:id="4"/>
      </w:r>
      <w:r w:rsidRPr="004C00F1">
        <w:t>,</w:t>
      </w:r>
    </w:p>
    <w:p w14:paraId="05800C37" w14:textId="77777777" w:rsidR="00133B54" w:rsidRPr="004C00F1" w:rsidRDefault="00133B54" w:rsidP="00133B54">
      <w:pPr>
        <w:spacing w:after="240"/>
        <w:ind w:left="567" w:hanging="567"/>
        <w:rPr>
          <w:color w:val="000000" w:themeColor="text1"/>
        </w:rPr>
      </w:pPr>
      <w:r w:rsidRPr="004C00F1">
        <w:rPr>
          <w:color w:val="000000"/>
        </w:rPr>
        <w:t>–</w:t>
      </w:r>
      <w:r w:rsidRPr="004C00F1">
        <w:rPr>
          <w:color w:val="000000"/>
        </w:rPr>
        <w:tab/>
        <w:t>uzimajući u obzir Uredbu Vijeća (EU, Euratom) 2022/2496 od 15. prosinca 2022. o izmjeni Uredbe (EU, Euratom) 2020/2093 kojom se utvrđuje višegodišnji financijski okvir za razdoblje 2021. – 2027.</w:t>
      </w:r>
      <w:r w:rsidRPr="004C00F1">
        <w:rPr>
          <w:color w:val="000000"/>
          <w:vertAlign w:val="superscript"/>
        </w:rPr>
        <w:footnoteReference w:id="5"/>
      </w:r>
      <w:r w:rsidRPr="004C00F1">
        <w:rPr>
          <w:color w:val="000000"/>
        </w:rPr>
        <w:t>,</w:t>
      </w:r>
    </w:p>
    <w:p w14:paraId="1C615AB9" w14:textId="77777777" w:rsidR="00133B54" w:rsidRPr="004C00F1" w:rsidRDefault="00133B54" w:rsidP="00133B54">
      <w:pPr>
        <w:spacing w:after="240"/>
        <w:ind w:left="567" w:hanging="567"/>
      </w:pPr>
      <w:r w:rsidRPr="004C00F1">
        <w:t>–</w:t>
      </w:r>
      <w:r w:rsidRPr="004C00F1">
        <w:tab/>
      </w:r>
      <w:r w:rsidRPr="004C00F1">
        <w:rPr>
          <w:color w:val="000000"/>
        </w:rPr>
        <w:t>uzimajući u obzir Uredbu Vijeća (EU, Euratom) 2024/765 o izmjeni Uredbe (EU, Euratom) 2020/2093 kojom se utvrđuje višegodišnji financijski okvir za razdoblje 2021. – 2027.</w:t>
      </w:r>
      <w:r w:rsidRPr="004C00F1">
        <w:rPr>
          <w:rStyle w:val="FootnoteReference"/>
          <w:color w:val="000000"/>
        </w:rPr>
        <w:footnoteReference w:id="6"/>
      </w:r>
      <w:r w:rsidRPr="004C00F1">
        <w:rPr>
          <w:color w:val="000000"/>
        </w:rPr>
        <w:t xml:space="preserve"> (Revizija VFO-a),</w:t>
      </w:r>
    </w:p>
    <w:p w14:paraId="5DE21C49" w14:textId="77777777" w:rsidR="00133B54" w:rsidRPr="004C00F1" w:rsidRDefault="00133B54" w:rsidP="00133B54">
      <w:pPr>
        <w:spacing w:after="240"/>
        <w:ind w:left="567" w:hanging="567"/>
        <w:rPr>
          <w:color w:val="000000"/>
        </w:rPr>
      </w:pPr>
      <w:r w:rsidRPr="004C00F1">
        <w:rPr>
          <w:color w:val="000000"/>
        </w:rPr>
        <w:t>–</w:t>
      </w:r>
      <w:r w:rsidRPr="004C00F1">
        <w:rPr>
          <w:color w:val="000000"/>
        </w:rPr>
        <w:tab/>
        <w:t xml:space="preserve">uzimajući u obzir </w:t>
      </w:r>
      <w:proofErr w:type="spellStart"/>
      <w:r w:rsidRPr="004C00F1">
        <w:rPr>
          <w:color w:val="000000"/>
        </w:rPr>
        <w:t>Međuinstitucijski</w:t>
      </w:r>
      <w:proofErr w:type="spellEnd"/>
      <w:r w:rsidRPr="004C00F1">
        <w:rPr>
          <w:color w:val="000000"/>
        </w:rPr>
        <w:t xml:space="preserve"> sporazum od 16. prosinca 2020. između Europskog parlamenta, Vijeća Europske unije i Europske komisije o proračunskoj disciplini, suradnji u proračunskim pitanjima i dobrom financijskom upravljanju te novim </w:t>
      </w:r>
      <w:r w:rsidRPr="004C00F1">
        <w:rPr>
          <w:color w:val="000000"/>
        </w:rPr>
        <w:lastRenderedPageBreak/>
        <w:t>vlastitim sredstvima, uključujući plan za uvođenje novih vlastitih sredstava</w:t>
      </w:r>
      <w:r w:rsidRPr="004C00F1">
        <w:rPr>
          <w:color w:val="000000"/>
          <w:vertAlign w:val="superscript"/>
        </w:rPr>
        <w:footnoteReference w:id="7"/>
      </w:r>
      <w:r w:rsidRPr="004C00F1">
        <w:rPr>
          <w:color w:val="000000"/>
        </w:rPr>
        <w:t>,</w:t>
      </w:r>
    </w:p>
    <w:p w14:paraId="4663F562" w14:textId="77777777" w:rsidR="00133B54" w:rsidRPr="004C00F1" w:rsidRDefault="00133B54" w:rsidP="00133B54">
      <w:pPr>
        <w:spacing w:after="240"/>
        <w:ind w:left="567" w:hanging="567"/>
      </w:pPr>
      <w:r w:rsidRPr="004C00F1">
        <w:t>–</w:t>
      </w:r>
      <w:r w:rsidRPr="004C00F1">
        <w:tab/>
        <w:t>uzimajući u obzir svoju Rezoluciju od 16. prosinca 2020. o Nacrtu uredbe Vijeća o utvrđivanju višegodišnjeg financijskog okvira za razdoblje 2021. – 2027.</w:t>
      </w:r>
      <w:r w:rsidRPr="004C00F1">
        <w:rPr>
          <w:vertAlign w:val="superscript"/>
        </w:rPr>
        <w:footnoteReference w:id="8"/>
      </w:r>
      <w:r w:rsidRPr="004C00F1">
        <w:t>,</w:t>
      </w:r>
    </w:p>
    <w:p w14:paraId="03C99AC7" w14:textId="77777777" w:rsidR="00133B54" w:rsidRPr="004C00F1" w:rsidRDefault="00133B54" w:rsidP="00133B54">
      <w:pPr>
        <w:spacing w:after="240"/>
        <w:ind w:left="567" w:hanging="567"/>
        <w:rPr>
          <w:color w:val="000000"/>
        </w:rPr>
      </w:pPr>
      <w:r w:rsidRPr="004C00F1">
        <w:rPr>
          <w:color w:val="000000"/>
        </w:rPr>
        <w:t>–</w:t>
      </w:r>
      <w:r w:rsidRPr="004C00F1">
        <w:rPr>
          <w:color w:val="000000"/>
        </w:rPr>
        <w:tab/>
        <w:t>uzimajući u obzir svoju Rezoluciju od 15. prosinca 2022. o jačanju višegodišnjeg financijskog okvira 2021. – 2027.: otporan proračun EU-a prilagođen novim izazovima</w:t>
      </w:r>
      <w:r w:rsidRPr="004C00F1">
        <w:rPr>
          <w:color w:val="000000"/>
          <w:vertAlign w:val="superscript"/>
        </w:rPr>
        <w:footnoteReference w:id="9"/>
      </w:r>
      <w:r w:rsidRPr="004C00F1">
        <w:rPr>
          <w:color w:val="000000"/>
        </w:rPr>
        <w:t>,</w:t>
      </w:r>
    </w:p>
    <w:p w14:paraId="68438687" w14:textId="77777777" w:rsidR="00133B54" w:rsidRPr="004C00F1" w:rsidRDefault="00133B54" w:rsidP="00133B54">
      <w:pPr>
        <w:spacing w:after="240"/>
        <w:ind w:left="567" w:hanging="567"/>
      </w:pPr>
      <w:r w:rsidRPr="004C00F1">
        <w:t>–</w:t>
      </w:r>
      <w:r w:rsidRPr="004C00F1">
        <w:tab/>
        <w:t>uzimajući u obzir svoju Rezoluciju od 3. listopada 2023. o prijedlogu revizije višegodišnjeg financijskog okvira za razdoblje 2021. – 2027. u sredini programskog razdoblja</w:t>
      </w:r>
      <w:r w:rsidRPr="004C00F1">
        <w:rPr>
          <w:vertAlign w:val="superscript"/>
        </w:rPr>
        <w:footnoteReference w:id="10"/>
      </w:r>
      <w:r w:rsidRPr="004C00F1">
        <w:t>,</w:t>
      </w:r>
    </w:p>
    <w:p w14:paraId="018CD8C4" w14:textId="77777777" w:rsidR="00133B54" w:rsidRPr="004C00F1" w:rsidRDefault="00133B54" w:rsidP="00133B54">
      <w:pPr>
        <w:spacing w:after="240"/>
        <w:ind w:left="567" w:hanging="567"/>
        <w:rPr>
          <w:color w:val="000000"/>
        </w:rPr>
      </w:pPr>
      <w:r w:rsidRPr="004C00F1">
        <w:rPr>
          <w:color w:val="000000"/>
        </w:rPr>
        <w:t>–</w:t>
      </w:r>
      <w:r w:rsidRPr="004C00F1">
        <w:rPr>
          <w:color w:val="000000"/>
        </w:rPr>
        <w:tab/>
        <w:t>uzimajući u obzir svoju Rezoluciju od 27. veljače 2024. o Nacrtu uredbe Vijeća o izmjeni Uredbe (EU, Euratom) 2020/2093 kojom se uspostavlja višegodišnji financijski okvir za razdoblje 2021. – 2027.</w:t>
      </w:r>
      <w:r w:rsidRPr="004C00F1">
        <w:rPr>
          <w:color w:val="000000"/>
          <w:vertAlign w:val="superscript"/>
        </w:rPr>
        <w:footnoteReference w:id="11"/>
      </w:r>
      <w:r w:rsidRPr="004C00F1">
        <w:rPr>
          <w:color w:val="000000"/>
        </w:rPr>
        <w:t>,</w:t>
      </w:r>
    </w:p>
    <w:p w14:paraId="13648403" w14:textId="77777777" w:rsidR="00133B54" w:rsidRPr="004C00F1" w:rsidRDefault="00133B54" w:rsidP="00133B54">
      <w:pPr>
        <w:spacing w:after="240"/>
        <w:ind w:left="567" w:hanging="567"/>
        <w:rPr>
          <w:color w:val="000000"/>
        </w:rPr>
      </w:pPr>
      <w:r w:rsidRPr="004C00F1">
        <w:rPr>
          <w:color w:val="000000"/>
        </w:rPr>
        <w:t>–</w:t>
      </w:r>
      <w:r w:rsidRPr="004C00F1">
        <w:rPr>
          <w:color w:val="000000"/>
        </w:rPr>
        <w:tab/>
      </w:r>
      <w:r w:rsidRPr="004C00F1">
        <w:t>uzimajući u obzir opći proračun Europske unije za financijsku godinu 2026., kako je konačno donesen 26. studenoga 2025.</w:t>
      </w:r>
      <w:r w:rsidRPr="004C00F1">
        <w:rPr>
          <w:color w:val="000000"/>
          <w:vertAlign w:val="superscript"/>
        </w:rPr>
        <w:footnoteReference w:id="12"/>
      </w:r>
      <w:r w:rsidRPr="004C00F1">
        <w:t>, i zajedničke izjave Parlamenta, Vijeća i Komisije koje su mu priložene,</w:t>
      </w:r>
    </w:p>
    <w:p w14:paraId="12293266" w14:textId="77777777" w:rsidR="00133B54" w:rsidRPr="004C00F1" w:rsidRDefault="00133B54" w:rsidP="00133B54">
      <w:pPr>
        <w:pStyle w:val="Action"/>
        <w:tabs>
          <w:tab w:val="clear" w:pos="357"/>
        </w:tabs>
        <w:spacing w:after="120"/>
        <w:ind w:left="567" w:hanging="567"/>
        <w:outlineLvl w:val="0"/>
      </w:pPr>
      <w:r w:rsidRPr="004C00F1">
        <w:t>–</w:t>
      </w:r>
      <w:r w:rsidRPr="004C00F1">
        <w:tab/>
        <w:t>uzimajući u obzir izvješće glavnog tajnika Predsjedništvu o sastavljanju prednacrta projekcije proračuna Parlamenta za financijsku godinu 2027.,</w:t>
      </w:r>
    </w:p>
    <w:p w14:paraId="517F20B9" w14:textId="77777777" w:rsidR="00133B54" w:rsidRPr="004C00F1" w:rsidRDefault="00133B54" w:rsidP="00133B54">
      <w:pPr>
        <w:pStyle w:val="Action"/>
        <w:tabs>
          <w:tab w:val="clear" w:pos="357"/>
        </w:tabs>
        <w:spacing w:after="120"/>
        <w:ind w:left="567" w:hanging="567"/>
        <w:outlineLvl w:val="0"/>
      </w:pPr>
      <w:r w:rsidRPr="004C00F1">
        <w:t>–</w:t>
      </w:r>
      <w:r w:rsidRPr="004C00F1">
        <w:tab/>
        <w:t>uzimajući u obzir prednacrt projekcije proračuna koji je Predsjedništvo sastavilo 9. ožujka 2026. u skladu s člankom 25. stavkom 7. i člankom 104. stavkom 1. Poslovnika Parlamenta,</w:t>
      </w:r>
    </w:p>
    <w:p w14:paraId="15173B1B" w14:textId="77777777" w:rsidR="00133B54" w:rsidRPr="004C00F1" w:rsidRDefault="00133B54" w:rsidP="00133B54">
      <w:pPr>
        <w:pStyle w:val="Action"/>
        <w:tabs>
          <w:tab w:val="clear" w:pos="357"/>
        </w:tabs>
        <w:spacing w:after="120"/>
        <w:ind w:left="567" w:hanging="567"/>
        <w:outlineLvl w:val="0"/>
      </w:pPr>
      <w:r w:rsidRPr="004C00F1">
        <w:t>–</w:t>
      </w:r>
      <w:r w:rsidRPr="004C00F1">
        <w:tab/>
        <w:t>uzimajući u obzir nacrt projekcije proračuna koji je Odbor za proračune sastavio u skladu s člankom 104. stavkom 2. Poslovnika Parlamenta,</w:t>
      </w:r>
    </w:p>
    <w:p w14:paraId="3743272B" w14:textId="77777777" w:rsidR="00133B54" w:rsidRPr="004C00F1" w:rsidRDefault="00133B54" w:rsidP="00133B54">
      <w:pPr>
        <w:pStyle w:val="Action"/>
        <w:tabs>
          <w:tab w:val="clear" w:pos="357"/>
        </w:tabs>
        <w:spacing w:after="120"/>
        <w:ind w:left="567" w:hanging="567"/>
        <w:outlineLvl w:val="0"/>
      </w:pPr>
      <w:r w:rsidRPr="004C00F1">
        <w:t>–</w:t>
      </w:r>
      <w:r w:rsidRPr="004C00F1">
        <w:tab/>
        <w:t>uzimajući u obzir članak 104. Poslovnika,</w:t>
      </w:r>
    </w:p>
    <w:p w14:paraId="2642647B" w14:textId="77777777" w:rsidR="00133B54" w:rsidRPr="004C00F1" w:rsidRDefault="00133B54" w:rsidP="00133B54">
      <w:pPr>
        <w:pStyle w:val="Action"/>
        <w:tabs>
          <w:tab w:val="clear" w:pos="357"/>
        </w:tabs>
        <w:ind w:left="567" w:hanging="567"/>
        <w:outlineLvl w:val="0"/>
      </w:pPr>
      <w:r w:rsidRPr="004C00F1">
        <w:t>–</w:t>
      </w:r>
      <w:r w:rsidRPr="004C00F1">
        <w:tab/>
        <w:t>uzimajući u obzir izvješće Odbora za proračune (A10‑0124/2026)</w:t>
      </w:r>
    </w:p>
    <w:p w14:paraId="5C157D93" w14:textId="77777777" w:rsidR="00133B54" w:rsidRPr="004C00F1" w:rsidRDefault="00133B54" w:rsidP="00133B54">
      <w:pPr>
        <w:pStyle w:val="Action"/>
        <w:tabs>
          <w:tab w:val="clear" w:pos="357"/>
        </w:tabs>
        <w:spacing w:after="120"/>
        <w:ind w:left="567" w:hanging="567"/>
        <w:outlineLvl w:val="0"/>
      </w:pPr>
      <w:r w:rsidRPr="004C00F1">
        <w:t>A.</w:t>
      </w:r>
      <w:r w:rsidRPr="004C00F1">
        <w:tab/>
        <w:t>budući da prednacrt projekcije proračuna Parlamenta za 2027., koji je 9. veljače 2026. predložio glavni tajnik, iznosi 2 665 474 853 EUR, što je povećanje od 2,33 % ili 60 618 266 EUR u usporedbi s proračunom za 2026.;</w:t>
      </w:r>
    </w:p>
    <w:p w14:paraId="3F7F67C3" w14:textId="77777777" w:rsidR="00133B54" w:rsidRPr="004C00F1" w:rsidRDefault="00133B54" w:rsidP="00133B54">
      <w:pPr>
        <w:pStyle w:val="Action"/>
        <w:tabs>
          <w:tab w:val="clear" w:pos="357"/>
        </w:tabs>
        <w:spacing w:after="120"/>
        <w:ind w:left="567" w:hanging="567"/>
        <w:outlineLvl w:val="0"/>
      </w:pPr>
      <w:r w:rsidRPr="004C00F1">
        <w:t>B.</w:t>
      </w:r>
      <w:r w:rsidRPr="004C00F1">
        <w:tab/>
        <w:t>budući da je povećanje od 2,33 % koje je predložio glavni tajnik posljedica povećanja od 2,01 % za zakonske financijske obveze i 2,89 % za rashode koji ne proizlaze iz zakonskih obveza;</w:t>
      </w:r>
    </w:p>
    <w:p w14:paraId="15BC8B3E" w14:textId="77777777" w:rsidR="00133B54" w:rsidRPr="004C00F1" w:rsidRDefault="00133B54" w:rsidP="00133B54">
      <w:pPr>
        <w:pStyle w:val="Action"/>
        <w:tabs>
          <w:tab w:val="clear" w:pos="357"/>
        </w:tabs>
        <w:ind w:left="567" w:hanging="567"/>
        <w:outlineLvl w:val="0"/>
      </w:pPr>
      <w:r w:rsidRPr="004C00F1">
        <w:t>C.</w:t>
      </w:r>
      <w:r w:rsidRPr="004C00F1">
        <w:tab/>
        <w:t>budući da je prema podacima Eurostata godišnja inflacija u Uniji u prosincu 2025. iznosila 2,3 %, za razliku od 2,7 %, kolika je bila u prosincu 2024.; budući da se razina rashoda u naslovu 7. višegodišnjeg financijskog okvira (VFO) za razdoblje 2021. – 2027. temelji na godišnjem povećanju od 2 %;</w:t>
      </w:r>
    </w:p>
    <w:p w14:paraId="7D369679" w14:textId="77777777" w:rsidR="00133B54" w:rsidRPr="004C00F1" w:rsidRDefault="00133B54" w:rsidP="00133B54">
      <w:pPr>
        <w:pStyle w:val="Action"/>
        <w:tabs>
          <w:tab w:val="clear" w:pos="357"/>
        </w:tabs>
        <w:ind w:left="567" w:hanging="567"/>
        <w:outlineLvl w:val="0"/>
      </w:pPr>
      <w:r w:rsidRPr="004C00F1">
        <w:lastRenderedPageBreak/>
        <w:t>D.</w:t>
      </w:r>
      <w:r w:rsidRPr="004C00F1">
        <w:tab/>
        <w:t>budući da vjerodostojnost Parlamenta ovisi o njegovoj sposobnosti da ostvari rezultate u svom temeljnom proračunskom, zakonodavnom i nadzornom radu u skladu s najvišim standardima te da istovremeno posluži kao primjer ostalim institucijama Unije u tome da razborito i učinkovito planiraju i provode svoju potrošnju te da se ponašaju u skladu s prevladavajućom ekonomskom situacijom;</w:t>
      </w:r>
    </w:p>
    <w:p w14:paraId="32378EB4" w14:textId="77777777" w:rsidR="00133B54" w:rsidRPr="004C00F1" w:rsidRDefault="00133B54" w:rsidP="00133B54">
      <w:pPr>
        <w:pStyle w:val="NormalHanging12a"/>
        <w:rPr>
          <w:b/>
          <w:i/>
        </w:rPr>
      </w:pPr>
      <w:r w:rsidRPr="004C00F1">
        <w:rPr>
          <w:b/>
          <w:i/>
        </w:rPr>
        <w:t>Opći okvir</w:t>
      </w:r>
    </w:p>
    <w:p w14:paraId="186A54DA" w14:textId="77777777" w:rsidR="00133B54" w:rsidRPr="004C00F1" w:rsidRDefault="00133B54" w:rsidP="00133B54">
      <w:pPr>
        <w:widowControl/>
        <w:spacing w:after="240"/>
        <w:ind w:left="567" w:hanging="567"/>
        <w:rPr>
          <w:color w:val="000000"/>
        </w:rPr>
      </w:pPr>
      <w:r w:rsidRPr="004C00F1">
        <w:rPr>
          <w:color w:val="000000"/>
        </w:rPr>
        <w:t>1.</w:t>
      </w:r>
      <w:r w:rsidRPr="004C00F1">
        <w:rPr>
          <w:color w:val="000000"/>
        </w:rPr>
        <w:tab/>
        <w:t>izražava zabrinutost zbog stanja naslova 7. u aktualnom VFO-u; podsjeća na to da su ograničenja rezultat rezova koje je Vijeće primijenilo na ionako vrlo nizak početni prijedlog Komisije prilikom postizanja dogovora o VFO-u za razdoblje 2021. – 2027. kao i kumulativnog učinka inflacije, koja je tijekom nekoliko godina bila veća od očekivane; izražava žaljenje zbog toga što se pri reviziji VFO-a Vijeće protivilo prijedlogu Komisije o povećanju gornje granice naslova 7. od 2024.; ističe da tijekom revizije VFO-a nije riješeno pitanje gornje granice naslova 7.; ističe da predviđena negativna razlika do gornje granice za 2027. pretpostavlja upotrebu posebnih instrumenata za naslov 7. u tu svrhu; ističe da bi upotreba posebnih instrumenata trebala ostati iznimna, propisno opravdana i ograničena na nepredviđene okolnosti;</w:t>
      </w:r>
    </w:p>
    <w:p w14:paraId="4245F148" w14:textId="77777777" w:rsidR="00133B54" w:rsidRPr="004C00F1" w:rsidRDefault="00133B54" w:rsidP="00133B54">
      <w:pPr>
        <w:widowControl/>
        <w:spacing w:after="240"/>
        <w:ind w:left="567" w:hanging="567"/>
        <w:rPr>
          <w:color w:val="000000"/>
        </w:rPr>
      </w:pPr>
      <w:r w:rsidRPr="004C00F1">
        <w:rPr>
          <w:color w:val="000000"/>
        </w:rPr>
        <w:t>2.</w:t>
      </w:r>
      <w:r w:rsidRPr="004C00F1">
        <w:rPr>
          <w:color w:val="000000"/>
        </w:rPr>
        <w:tab/>
        <w:t xml:space="preserve">podržava dogovor postignut 15. travnja 2026. u postupku mirenja između Predsjedništva i Odbora za proračune o povećanju od 1,98 % u odnosu na proračun za 2026., što odgovara ukupnoj razini procjena od 2 656 435 753 EUR za 2027., te o odgovarajućem smanjenju odobrenih sredstava predloženih u sljedećim proračunskim linijama za ukupno 10 554 000 EUR: </w:t>
      </w:r>
    </w:p>
    <w:p w14:paraId="104638F1" w14:textId="77777777" w:rsidR="00133B54" w:rsidRPr="004C00F1" w:rsidRDefault="00133B54" w:rsidP="00133B54">
      <w:pPr>
        <w:widowControl/>
        <w:spacing w:after="240"/>
        <w:ind w:left="567"/>
        <w:rPr>
          <w:color w:val="000000"/>
        </w:rPr>
      </w:pPr>
      <w:r w:rsidRPr="004C00F1">
        <w:rPr>
          <w:color w:val="000000"/>
        </w:rPr>
        <w:t xml:space="preserve">1 0 0 6 — Naknada za opće troškove, 1 4 0 5 01 — Rashodi za usmeno prevođenje: vanjsko usmeno prevođenje, 1 4 2 — Vanjske prevoditeljske usluge, 1 6 1 2 07 — Učenje i razvoj: vanjsko osposobljavanje za DG ITEC, 2 0 0 7 04 – Izgradnja zgrada i opremanje prostora: Uredi za vezu / Europa </w:t>
      </w:r>
      <w:proofErr w:type="spellStart"/>
      <w:r w:rsidRPr="004C00F1">
        <w:rPr>
          <w:color w:val="000000"/>
        </w:rPr>
        <w:t>Experience</w:t>
      </w:r>
      <w:proofErr w:type="spellEnd"/>
      <w:r w:rsidRPr="004C00F1">
        <w:rPr>
          <w:color w:val="000000"/>
        </w:rPr>
        <w:t xml:space="preserve">, 2 1 0 0 02 — Upravljanje informacijskim tehnologijama i kibernetička sigurnost — Sigurnost, rizici i usklađenost IKT-a, 2 1 0 0 03 — Upravljanje informacijskim tehnologijama i kibernetička sigurnost — Pionirska tehnologija, 2 1 0 1 02 — Upravljanje poslovnim aplikacijama — Isporuka informatičkih rješenja, 2 1 0 1 13 — Upravljanje poslovnim aplikacijama — DG FINS, 2 1 0 2 03 — Upravljanje infrastrukturom i operacijama — Telekomunikacije, 2 1 0 2 04 — Upravljanje infrastrukturom i operacijama — Korporativna infrastruktura, 2 1 0 2 05 — Upravljanje infrastrukturom i operacijama — Softver — Infrastruktura, 2 1 0 2 07 — Upravljanje infrastrukturom i operacijama — Upravljanje tiskanjem, 2 1 0 3 01 — Digitalne usluge i oprema na radnom mjestu — Pojedinačna informatička oprema, 2 1 0 01 — Namještaj: kupnja, najam, obnova, održavanje i popravak namještaja, 2 1 6 0 01 — Prijevoz zastupnika, drugih osoba i robe: prijevoz zastupnika (najam i uporaba), 3 0 0 02 — Putni troškovi osoblja za službena putovanja i putovanja između triju mjesta rada: službena putovanja izvan triju mjesta rada, 3 0 0 0 03 —Putni troškovi osoblja za službena putovanja i putovanja između triju mjesta rada: Učenje i razvoj, 3 2 1 0 01 — Rashodi za usluge parlamentarnih istraživanja, uključujući knjižnicu, povijesni arhiv, ocjenjivanje znanstvenih i tehnoloških odabira (STOA) i Europski medijski centar za znanost: procjena učinka i europska dodana vrijednost, 3 2 2 0 09 — Rashodi za dokumentaciju: pretplate i praćenje medija, 3 2 4 2 01 — Rashodi za objavljivanje, informiranje javnosti i sudjelovanje u javnim događanjima: informativne kampanje, 3 2 4 3 01 — Centri za posjetitelje Europskog parlamenta </w:t>
      </w:r>
      <w:proofErr w:type="spellStart"/>
      <w:r w:rsidRPr="004C00F1">
        <w:rPr>
          <w:color w:val="000000"/>
        </w:rPr>
        <w:t>Parlamentarij</w:t>
      </w:r>
      <w:proofErr w:type="spellEnd"/>
      <w:r w:rsidRPr="004C00F1">
        <w:rPr>
          <w:color w:val="000000"/>
        </w:rPr>
        <w:t xml:space="preserve"> i „Europa </w:t>
      </w:r>
      <w:proofErr w:type="spellStart"/>
      <w:r w:rsidRPr="004C00F1">
        <w:rPr>
          <w:color w:val="000000"/>
        </w:rPr>
        <w:t>Experience</w:t>
      </w:r>
      <w:proofErr w:type="spellEnd"/>
      <w:r w:rsidRPr="004C00F1">
        <w:rPr>
          <w:color w:val="000000"/>
        </w:rPr>
        <w:t xml:space="preserve">”, 3 2 4 3 02 — Centri za posjetitelje Europskog parlamenta: Kuća europske povijesti, 101 — Pričuva za nepredviđene izdatke. </w:t>
      </w:r>
    </w:p>
    <w:p w14:paraId="71032A99" w14:textId="77777777" w:rsidR="00133B54" w:rsidRPr="004C00F1" w:rsidRDefault="00133B54" w:rsidP="00133B54">
      <w:pPr>
        <w:widowControl/>
        <w:spacing w:after="240"/>
        <w:ind w:left="567"/>
        <w:rPr>
          <w:color w:val="000000"/>
        </w:rPr>
      </w:pPr>
      <w:r w:rsidRPr="004C00F1">
        <w:rPr>
          <w:color w:val="000000"/>
        </w:rPr>
        <w:lastRenderedPageBreak/>
        <w:t>Nadalje, odlučeno je da se razina rashoda prednacrta projekcije proračuna koji je Predsjedništvo odobrilo 9. ožujka 2026. poveća za 1 514 900 EUR te da se u skladu s time povećaju predložena odobrena sredstva za sljedeće proračunske linije:</w:t>
      </w:r>
    </w:p>
    <w:p w14:paraId="21862080" w14:textId="77777777" w:rsidR="00133B54" w:rsidRPr="004C00F1" w:rsidRDefault="00133B54" w:rsidP="00133B54">
      <w:pPr>
        <w:widowControl/>
        <w:spacing w:after="240"/>
        <w:ind w:left="567"/>
        <w:rPr>
          <w:color w:val="000000"/>
        </w:rPr>
      </w:pPr>
      <w:r w:rsidRPr="004C00F1">
        <w:rPr>
          <w:color w:val="000000"/>
        </w:rPr>
        <w:t xml:space="preserve">4 0 3 — Financiranje europskih političkih zaklada i 4 4 0 — Troškovi sjednica i drugih aktivnosti bivših zastupnika. </w:t>
      </w:r>
    </w:p>
    <w:p w14:paraId="31999E26" w14:textId="77777777" w:rsidR="00133B54" w:rsidRPr="004C00F1" w:rsidRDefault="00133B54" w:rsidP="00133B54">
      <w:pPr>
        <w:widowControl/>
        <w:spacing w:after="240"/>
        <w:ind w:left="567" w:hanging="567"/>
        <w:rPr>
          <w:color w:val="000000"/>
        </w:rPr>
      </w:pPr>
      <w:r w:rsidRPr="004C00F1">
        <w:rPr>
          <w:color w:val="000000"/>
        </w:rPr>
        <w:t>3.</w:t>
      </w:r>
      <w:r w:rsidRPr="004C00F1">
        <w:rPr>
          <w:color w:val="000000"/>
        </w:rPr>
        <w:tab/>
        <w:t xml:space="preserve">podsjeća na to da je gotovo dvije trećine proračuna utvrđeno zakonskim obvezama; podsjeća na to da će, prema aktualnim prognozama Komisije, </w:t>
      </w:r>
      <w:proofErr w:type="spellStart"/>
      <w:r w:rsidRPr="004C00F1">
        <w:rPr>
          <w:color w:val="000000"/>
        </w:rPr>
        <w:t>indeksacija</w:t>
      </w:r>
      <w:proofErr w:type="spellEnd"/>
      <w:r w:rsidRPr="004C00F1">
        <w:rPr>
          <w:color w:val="000000"/>
        </w:rPr>
        <w:t xml:space="preserve"> plaća u skladu s Pravilnikom o osoblju i Statutom zastupnika u Europskom parlamentu u srpnju 2026. iznositi 2,2 %, a u srpnju 2027. 2,3 %;</w:t>
      </w:r>
    </w:p>
    <w:p w14:paraId="5F787C2A" w14:textId="7DA2DBF2" w:rsidR="00505467" w:rsidRPr="00505467" w:rsidRDefault="00133B54" w:rsidP="00133B54">
      <w:pPr>
        <w:widowControl/>
        <w:spacing w:after="240"/>
        <w:ind w:left="567" w:hanging="567"/>
        <w:rPr>
          <w:bCs/>
          <w:iCs/>
          <w:color w:val="000000"/>
        </w:rPr>
      </w:pPr>
      <w:r w:rsidRPr="004C00F1">
        <w:rPr>
          <w:color w:val="000000"/>
        </w:rPr>
        <w:t>4.</w:t>
      </w:r>
      <w:r w:rsidRPr="004C00F1">
        <w:rPr>
          <w:color w:val="000000"/>
        </w:rPr>
        <w:tab/>
        <w:t xml:space="preserve">primjećuje da je, od povećanja od 51,6 milijuna EUR u odnosu na proračun za 2026., povećanje od 32,6 milijuna EUR posljedica zakonskih financijskih obveza, uglavnom povezanih s ažuriranjem plaća dužnosnika i privremenog osoblja (16,2 milijuna EUR) te ugovornog osoblja (1,7 milijuna EUR); pozdravlja činjenicu da je od 2027. nadalje predviđena izvanredna izravna pomoć za svakog stažista sa sjedištem u Luksemburgu (do 500 EUR mjesečno tijekom razdoblja stažiranja) kako bi im se pomoglo da se nose sa sve većim troškovima stanovanja; poziva na to da se osigura pristupačnost stažiranja za mlade u kontekstu sve viših troškova života, bez obzira na mjesto rada; pozdravlja odluku Predsjedništva da se ne provede </w:t>
      </w:r>
      <w:proofErr w:type="spellStart"/>
      <w:r w:rsidRPr="004C00F1">
        <w:rPr>
          <w:color w:val="000000"/>
        </w:rPr>
        <w:t>indeksacija</w:t>
      </w:r>
      <w:proofErr w:type="spellEnd"/>
      <w:r w:rsidRPr="004C00F1">
        <w:rPr>
          <w:color w:val="000000"/>
        </w:rPr>
        <w:t xml:space="preserve"> naknade za opće troškove za 2026.;</w:t>
      </w:r>
    </w:p>
    <w:p w14:paraId="6F42B30D" w14:textId="77777777" w:rsidR="00133B54" w:rsidRPr="004C00F1" w:rsidRDefault="00133B54" w:rsidP="00133B54">
      <w:pPr>
        <w:widowControl/>
        <w:spacing w:after="240"/>
        <w:ind w:left="567" w:hanging="567"/>
        <w:rPr>
          <w:b/>
          <w:i/>
          <w:color w:val="000000"/>
        </w:rPr>
      </w:pPr>
      <w:r w:rsidRPr="004C00F1">
        <w:rPr>
          <w:color w:val="000000"/>
        </w:rPr>
        <w:t>5.</w:t>
      </w:r>
      <w:r w:rsidRPr="004C00F1">
        <w:rPr>
          <w:b/>
          <w:i/>
          <w:color w:val="000000"/>
        </w:rPr>
        <w:tab/>
      </w:r>
      <w:r w:rsidRPr="004C00F1">
        <w:rPr>
          <w:color w:val="000000"/>
        </w:rPr>
        <w:t>prima na znanje da je iznos predviđen za naknadu za parlamentarnu pomoć procijenjen na temelju povijesnih trendova; naglašava da se zastupnicima ni u kojem slučaju ne može uskratiti pravo da u potpunosti iskoriste tu naknadu, u skladu s relevantnim pravilima, zbog nedostupnosti u ovoj proračunskoj liniji; traži od glavnog tajnika da pomno prati situaciju, obavještava Odbor za proračune o izvršenju ove proračunske linije i poduzme odgovarajuće mjere u slučaju rizika od manjka financijskih sredstava;</w:t>
      </w:r>
    </w:p>
    <w:p w14:paraId="6CDBE1CC" w14:textId="77777777" w:rsidR="00133B54" w:rsidRPr="004C00F1" w:rsidRDefault="00133B54" w:rsidP="00133B54">
      <w:pPr>
        <w:widowControl/>
        <w:spacing w:after="240"/>
        <w:ind w:left="567" w:hanging="567"/>
        <w:rPr>
          <w:color w:val="000000"/>
        </w:rPr>
      </w:pPr>
      <w:r w:rsidRPr="004C00F1">
        <w:rPr>
          <w:color w:val="000000"/>
        </w:rPr>
        <w:t>6.</w:t>
      </w:r>
      <w:r w:rsidRPr="004C00F1">
        <w:rPr>
          <w:color w:val="000000"/>
        </w:rPr>
        <w:tab/>
        <w:t xml:space="preserve">napominje da Parlament već četvrtu godinu zaredom ne traži dodatna radna mjesta za 2027.; </w:t>
      </w:r>
    </w:p>
    <w:p w14:paraId="4A72347D" w14:textId="77777777" w:rsidR="00133B54" w:rsidRPr="004C00F1" w:rsidRDefault="00133B54" w:rsidP="00133B54">
      <w:pPr>
        <w:widowControl/>
        <w:spacing w:after="240"/>
        <w:ind w:left="567" w:hanging="567"/>
        <w:rPr>
          <w:color w:val="000000"/>
        </w:rPr>
      </w:pPr>
      <w:r w:rsidRPr="004C00F1">
        <w:rPr>
          <w:color w:val="000000"/>
        </w:rPr>
        <w:t>7.</w:t>
      </w:r>
      <w:r w:rsidRPr="004C00F1">
        <w:rPr>
          <w:color w:val="000000"/>
        </w:rPr>
        <w:tab/>
        <w:t xml:space="preserve">napominje da povećanje rashoda koji ne proizlaze iz zakonskih obveza od 2026. do 2027. iznosi 2 %; </w:t>
      </w:r>
    </w:p>
    <w:p w14:paraId="1A54701C" w14:textId="77777777" w:rsidR="00133B54" w:rsidRPr="004C00F1" w:rsidRDefault="00133B54" w:rsidP="00133B54">
      <w:pPr>
        <w:widowControl/>
        <w:spacing w:after="240"/>
        <w:ind w:left="567" w:hanging="567"/>
        <w:rPr>
          <w:color w:val="000000"/>
        </w:rPr>
      </w:pPr>
      <w:r w:rsidRPr="004C00F1">
        <w:rPr>
          <w:color w:val="000000"/>
        </w:rPr>
        <w:t>8.</w:t>
      </w:r>
      <w:r w:rsidRPr="004C00F1">
        <w:rPr>
          <w:color w:val="000000"/>
        </w:rPr>
        <w:tab/>
        <w:t xml:space="preserve">pozdravlja aktualan rad glavnog tajnika, u skladu sa skupom reformi koje je predsjednica </w:t>
      </w:r>
      <w:proofErr w:type="spellStart"/>
      <w:r w:rsidRPr="004C00F1">
        <w:rPr>
          <w:color w:val="000000"/>
        </w:rPr>
        <w:t>Metsola</w:t>
      </w:r>
      <w:proofErr w:type="spellEnd"/>
      <w:r w:rsidRPr="004C00F1">
        <w:rPr>
          <w:color w:val="000000"/>
        </w:rPr>
        <w:t xml:space="preserve"> predložila 16. lipnja 2025., na administrativnoj suradnji, planiranju i pojednostavnjenju, čiji je cilj povećanje učinkovitosti, učinkovita upotreba resursa i postizanje ušteda gdje je to moguće; poziva na jačanje mehanizama izvješćivanja kako bi se povećala transparentnost i odgovornost; traži od glavnog tajnika da Odboru za proračune redovito dostavlja ažurirane informacije o provedbi akcijskog plana za administrativno pojednostavnjenje te o njegovu učinku na proračun i osoblje;</w:t>
      </w:r>
    </w:p>
    <w:p w14:paraId="345DADB3" w14:textId="77777777" w:rsidR="00133B54" w:rsidRPr="004C00F1" w:rsidRDefault="00133B54" w:rsidP="00133B54">
      <w:pPr>
        <w:pStyle w:val="action0"/>
        <w:ind w:left="0" w:firstLine="0"/>
        <w:rPr>
          <w:b/>
          <w:i/>
        </w:rPr>
      </w:pPr>
      <w:r w:rsidRPr="004C00F1">
        <w:rPr>
          <w:b/>
          <w:i/>
        </w:rPr>
        <w:t>Osnaživanje temeljnih funkcija Parlamenta</w:t>
      </w:r>
    </w:p>
    <w:p w14:paraId="08DD8977" w14:textId="77777777" w:rsidR="00133B54" w:rsidRPr="004C00F1" w:rsidRDefault="00133B54" w:rsidP="00133B54">
      <w:pPr>
        <w:widowControl/>
        <w:spacing w:after="240"/>
        <w:ind w:left="567" w:hanging="567"/>
        <w:rPr>
          <w:color w:val="000000"/>
        </w:rPr>
      </w:pPr>
      <w:r w:rsidRPr="004C00F1">
        <w:t>9.</w:t>
      </w:r>
      <w:r w:rsidRPr="004C00F1">
        <w:tab/>
        <w:t xml:space="preserve">prima na znanje četiri nove tematske glavne uprave, koje su operativne od siječnja 2025. i odgovorne za zakonodavne, proračunske i nadzorne aktivnosti te usmjerene na poboljšanje funkcioniranja Parlamenta kao </w:t>
      </w:r>
      <w:proofErr w:type="spellStart"/>
      <w:r w:rsidRPr="004C00F1">
        <w:t>suzakonodavca</w:t>
      </w:r>
      <w:proofErr w:type="spellEnd"/>
      <w:r w:rsidRPr="004C00F1">
        <w:t>, jedne grane proračunskog tijela i tijela nadležnog za davanje razrješnice;</w:t>
      </w:r>
    </w:p>
    <w:p w14:paraId="35EF611D" w14:textId="1D35BCDD" w:rsidR="00133B54" w:rsidRDefault="00133B54" w:rsidP="00133B54">
      <w:pPr>
        <w:widowControl/>
        <w:spacing w:after="240"/>
        <w:ind w:left="567" w:hanging="567"/>
        <w:rPr>
          <w:b/>
          <w:i/>
        </w:rPr>
      </w:pPr>
      <w:r w:rsidRPr="004C00F1">
        <w:t>10.</w:t>
      </w:r>
      <w:r w:rsidRPr="004C00F1">
        <w:tab/>
        <w:t xml:space="preserve">prima na znanje preraspodjelu unutarnjih resursa u pogledu broja dodijeljenih radnih mjesta (+15 % od 2024. do 2026.), proračunske omotnice za vanjsko osoblje (stavka 1 4 </w:t>
      </w:r>
      <w:r w:rsidRPr="004C00F1">
        <w:lastRenderedPageBreak/>
        <w:t xml:space="preserve">0 0, s 3,2 milijuna EUR 2024. na 8 milijuna EUR 2027.) i proračuna za vanjsko stručno znanje (stavka 3 2 0 0, s 3,2 milijuna EUR 2024. na 7,7 milijuna EUR 2027.) kako bi se povećalo stručno znanje koje se pruža zastupnicima; naglašava da je potrebno osigurati da ta povećanja i dalje budu opravdana, razmjerna i da pružaju jasnu dodanu vrijednost; traži od glavnog tajnika da Odboru za proračune redovito dostavlja ažurirane informacije o načinu raspodjele i uporabe resursa u četiri nove glavne uprave; ističe da je potrebno zajamčiti važan cilj jačanja kapaciteta Parlamenta za potporu radu zastupnika; naglašava i ključnu ulogu klubova zastupnika </w:t>
      </w:r>
      <w:bookmarkStart w:id="8" w:name="_Hlk227243597"/>
      <w:r w:rsidRPr="004C00F1">
        <w:t>u pružanju stručnog znanja i političke potpore</w:t>
      </w:r>
      <w:bookmarkEnd w:id="8"/>
      <w:r w:rsidRPr="004C00F1">
        <w:t xml:space="preserve"> zastupnicima u njihovu zakonodavnom i parlamentarnom radu;</w:t>
      </w:r>
    </w:p>
    <w:p w14:paraId="56604819" w14:textId="6126C2E7" w:rsidR="00505467" w:rsidRPr="00505467" w:rsidRDefault="00505467" w:rsidP="00133B54">
      <w:pPr>
        <w:widowControl/>
        <w:spacing w:after="240"/>
        <w:ind w:left="567" w:hanging="567"/>
        <w:rPr>
          <w:bCs/>
          <w:iCs/>
        </w:rPr>
      </w:pPr>
      <w:r w:rsidRPr="00472625">
        <w:rPr>
          <w:bCs/>
          <w:iCs/>
        </w:rPr>
        <w:t>1</w:t>
      </w:r>
      <w:r>
        <w:rPr>
          <w:bCs/>
          <w:iCs/>
        </w:rPr>
        <w:t>1</w:t>
      </w:r>
      <w:r w:rsidRPr="00472625">
        <w:rPr>
          <w:bCs/>
          <w:iCs/>
        </w:rPr>
        <w:t xml:space="preserve">. </w:t>
      </w:r>
      <w:r w:rsidRPr="00472625">
        <w:rPr>
          <w:bCs/>
          <w:iCs/>
        </w:rPr>
        <w:tab/>
        <w:t xml:space="preserve">podsjeća da se dužnost zaštite financijskih interesa Unije jednako primjenjuje na sve korisnike sredstava Unije, uključujući klubove zastupnika koji djeluju u Europskom parlamentu; napominje da istrage i mjere povrata u vezi s navodnom zlouporabom sredstava Unije od strane bivšeg Kluba zastupnika Identitet i demokracija, koji je </w:t>
      </w:r>
      <w:proofErr w:type="spellStart"/>
      <w:r w:rsidRPr="00472625">
        <w:rPr>
          <w:bCs/>
          <w:iCs/>
        </w:rPr>
        <w:t>rekonfiguriran</w:t>
      </w:r>
      <w:proofErr w:type="spellEnd"/>
      <w:r w:rsidRPr="00472625">
        <w:rPr>
          <w:bCs/>
          <w:iCs/>
        </w:rPr>
        <w:t xml:space="preserve"> kao Klub zastupnika Patrioti za Europu, naglašavaju važnost snažnih unutarnjih kontrola, učinkovitih ex post provjera i mehanizama brzog povrata unutar uprave Parlamenta; poziva upravu Parlamenta da bez odgode dovrši sve neriješene postupke povrata i da sve dokaze o nepravilnim rashodima uputi OLAF-u i EPPO-u; naglašava da vjerodostojnost strukture Unije za borbu protiv prijevara ovisi o njezinoj dosljednoj primjeni na sve korisnike, uključujući one unutar samog Parlamenta;</w:t>
      </w:r>
    </w:p>
    <w:p w14:paraId="3B6D68EE" w14:textId="77777777" w:rsidR="00133B54" w:rsidRPr="004C00F1" w:rsidRDefault="00133B54" w:rsidP="00133B54">
      <w:pPr>
        <w:spacing w:after="240"/>
        <w:rPr>
          <w:b/>
          <w:i/>
          <w:color w:val="000000"/>
        </w:rPr>
      </w:pPr>
      <w:r w:rsidRPr="004C00F1">
        <w:rPr>
          <w:b/>
          <w:i/>
          <w:color w:val="000000"/>
        </w:rPr>
        <w:t xml:space="preserve">Digitalna tranzicija </w:t>
      </w:r>
    </w:p>
    <w:p w14:paraId="6F5F52AB" w14:textId="319B23FB" w:rsidR="00133B54" w:rsidRPr="004C00F1" w:rsidRDefault="005547BA" w:rsidP="00133B54">
      <w:pPr>
        <w:pStyle w:val="action0"/>
        <w:ind w:left="567" w:hanging="567"/>
      </w:pPr>
      <w:r>
        <w:t>12</w:t>
      </w:r>
      <w:r w:rsidR="00133B54" w:rsidRPr="004C00F1">
        <w:t>.</w:t>
      </w:r>
      <w:r w:rsidR="00133B54" w:rsidRPr="004C00F1">
        <w:tab/>
      </w:r>
      <w:r w:rsidR="00133B54" w:rsidRPr="004C00F1">
        <w:rPr>
          <w:color w:val="000000"/>
        </w:rPr>
        <w:t>napominje da ukupni proračun za IT čini 7,6 % ukupnog proračuna u projekcijama za 2027. i iznosi 202,4 milijuna EUR; naglašava važnost pouzdane infrastrukture za kibernetičku sigurnost u geopolitički turbulentnim vremenima; podsjeća na planirano postupno povećanje odobrenih sredstava za kibernetičku sigurnost na 10 % proračuna Parlamenta za IKT;</w:t>
      </w:r>
      <w:r w:rsidR="00133B54" w:rsidRPr="004C00F1">
        <w:t xml:space="preserve"> napominje da bi se takvo planirano povećanje trebalo provesti što je prije moguće;</w:t>
      </w:r>
    </w:p>
    <w:p w14:paraId="36F34CA7" w14:textId="27C028C8" w:rsidR="00133B54" w:rsidRPr="004C00F1" w:rsidRDefault="005547BA" w:rsidP="00133B54">
      <w:pPr>
        <w:pStyle w:val="action0"/>
        <w:ind w:left="567" w:hanging="567"/>
      </w:pPr>
      <w:r>
        <w:t>13</w:t>
      </w:r>
      <w:r w:rsidR="00133B54" w:rsidRPr="004C00F1">
        <w:t>.</w:t>
      </w:r>
      <w:r w:rsidR="00133B54" w:rsidRPr="004C00F1">
        <w:tab/>
        <w:t>ističe da je kibernetička sigurnost Parlamenta ključni prioritet u vrijeme geopolitičke nesigurnosti; napominje da ukupni iznos dodijeljen za kibernetičku sigurnost iznosi 16,9 milijuna EUR, što uključuje povećanje centralizirane linije za kibernetičku sigurnost za 54 % u odnosu na 2026.; podsjeća na to da su ulaganja u kibernetičku sigurnost ključna za zaštitu demokratskog glasa Parlamenta i Unije i jamčenje pravilnog funkcioniranja Parlamenta;</w:t>
      </w:r>
    </w:p>
    <w:p w14:paraId="2ED0771D" w14:textId="11E936E8" w:rsidR="00133B54" w:rsidRPr="004C00F1" w:rsidRDefault="005547BA" w:rsidP="00133B54">
      <w:pPr>
        <w:pStyle w:val="action0"/>
        <w:ind w:left="567" w:hanging="567"/>
      </w:pPr>
      <w:r>
        <w:t>14</w:t>
      </w:r>
      <w:r w:rsidR="00133B54" w:rsidRPr="004C00F1">
        <w:t>.</w:t>
      </w:r>
      <w:r w:rsidR="00133B54" w:rsidRPr="004C00F1">
        <w:tab/>
        <w:t>naglašava da Parlament mora biti predvodnik u usvajanju digitalnih metoda rada; pozdravlja ulaganja u umjetnu inteligenciju u iznosu od 1 milijun EUR; poziva na povećanje upotrebe umjetne inteligencije kako bi se povećali učinkovitost i suverenost u tom području, vodeći pritom računa o povezanim rizicima, uključujući u pogledu etike i zaštite podataka; ističe da se uvođenjem umjetne inteligencije inovacije moraju uravnotežiti s potrebnim zaštitnim mjerama; ističe potencijal umjetne inteligencije za pojednostavnjenje administrativnih postupaka; potiče razvoj jasnih smjernica i zaštitnih mjera kako bi se osigurala odgovorna i transparentna primjena umjetne inteligencije kojom se potiču inovacije uz istodobno poštovanje temeljnih prava, sigurnosti i odgovornosti; napominje da će se razvoj umjetne inteligencije pomno pratiti u skladu s načelima koja je utvrdilo Predsjedništvo; naglašava da ulaganja u umjetnu inteligenciju ne bi trebala biti usmjerena samo na administrativnu učinkovitost već i na jačanje demokratske transparentnosti i uključenosti građana;</w:t>
      </w:r>
    </w:p>
    <w:p w14:paraId="0E766237" w14:textId="3AEC293D" w:rsidR="00133B54" w:rsidRPr="004C00F1" w:rsidRDefault="005547BA" w:rsidP="004C00F1">
      <w:pPr>
        <w:pStyle w:val="action0"/>
        <w:ind w:left="567" w:hanging="567"/>
        <w:rPr>
          <w:bCs/>
          <w:iCs/>
        </w:rPr>
      </w:pPr>
      <w:r>
        <w:lastRenderedPageBreak/>
        <w:t>15</w:t>
      </w:r>
      <w:r w:rsidR="00133B54" w:rsidRPr="004C00F1">
        <w:t>.</w:t>
      </w:r>
      <w:r w:rsidR="00133B54" w:rsidRPr="004C00F1">
        <w:tab/>
        <w:t>naglašava da, s obzirom na geopolitički kontekst i ulaganja koja će Europska unija morati provesti za svoju stratešku autonomiju, Europski parlament mora voditi svojim primjerom; prima na znanje pripremu konsolidiranog akcijskog plana čiji je cilj jačanje stajališta Parlamenta o digitalnoj suverenosti; sa zanimanjem iščekuje redovite obavijesti o postignutom napretku; ističe da je važno osigurati visoku razinu kibernetičke sigurnosti, zaštite podataka i otpornosti u digitalnoj infrastrukturi Parlamenta; naglašava potrebu za pomnom evaluacijom rizika povezanih s oslanjanjem na neeuropske pružatelje usluga, među ostalim u vidu procjena rizika; naglašava važnost održavanja sigurnih, konkurentnih i pouzdanih rješenja, među ostalim, ako je to izvedivo, davanjem prednosti europskim pružateljima usluga; poziva na redovitu evaluaciju komunikacijskih kanala i digitalnih alata Parlamenta, s obzirom na sigurnosti i usklađenost s pravom EU-a, na koordiniran način s drugim institucijama EU-a kako bi se osigurala zaštita parlamentarnih podataka i integritet njegove komunikacije;</w:t>
      </w:r>
    </w:p>
    <w:p w14:paraId="6B34AB8A" w14:textId="77777777" w:rsidR="00133B54" w:rsidRPr="004C00F1" w:rsidRDefault="00133B54" w:rsidP="00133B54">
      <w:pPr>
        <w:pStyle w:val="action0"/>
        <w:ind w:left="0" w:firstLine="0"/>
        <w:rPr>
          <w:b/>
          <w:i/>
        </w:rPr>
      </w:pPr>
      <w:r w:rsidRPr="004C00F1">
        <w:rPr>
          <w:b/>
          <w:i/>
        </w:rPr>
        <w:t>Infrastruktura</w:t>
      </w:r>
    </w:p>
    <w:p w14:paraId="5EA5B043" w14:textId="10F6E387" w:rsidR="00133B54" w:rsidRPr="004C00F1" w:rsidRDefault="005547BA" w:rsidP="00133B54">
      <w:pPr>
        <w:pStyle w:val="action0"/>
        <w:ind w:left="567" w:hanging="567"/>
        <w:rPr>
          <w:color w:val="000000"/>
        </w:rPr>
      </w:pPr>
      <w:r>
        <w:rPr>
          <w:color w:val="000000"/>
        </w:rPr>
        <w:t>16</w:t>
      </w:r>
      <w:r w:rsidR="00133B54" w:rsidRPr="004C00F1">
        <w:rPr>
          <w:color w:val="000000"/>
        </w:rPr>
        <w:t>.</w:t>
      </w:r>
      <w:r w:rsidR="00133B54" w:rsidRPr="004C00F1">
        <w:rPr>
          <w:color w:val="000000"/>
        </w:rPr>
        <w:tab/>
        <w:t>prima na znanje novi pristup povezan sa zgradama, točnije, njihovu konsolidaciju umjesto kupovine novih zgrada, uzimajući u obzir održivost, pristupačnost i mobilnost zastupnika i osoblja kao i posjetitelja;</w:t>
      </w:r>
    </w:p>
    <w:p w14:paraId="1567E02C" w14:textId="6A8367C4" w:rsidR="00133B54" w:rsidRPr="004C00F1" w:rsidRDefault="005547BA" w:rsidP="00133B54">
      <w:pPr>
        <w:pStyle w:val="action0"/>
        <w:ind w:left="567" w:hanging="567"/>
        <w:rPr>
          <w:color w:val="000000"/>
        </w:rPr>
      </w:pPr>
      <w:r>
        <w:rPr>
          <w:color w:val="000000"/>
        </w:rPr>
        <w:t>17</w:t>
      </w:r>
      <w:r w:rsidR="00133B54" w:rsidRPr="004C00F1">
        <w:rPr>
          <w:color w:val="000000"/>
        </w:rPr>
        <w:t>.</w:t>
      </w:r>
      <w:r w:rsidR="00133B54" w:rsidRPr="004C00F1">
        <w:rPr>
          <w:color w:val="000000"/>
        </w:rPr>
        <w:tab/>
        <w:t xml:space="preserve">prima na znanje da radovi na obnovi zgrade SPAAK počinju 2027.; prima na znanje da je ukupni proračun za obnovu utvrđen na 455 milijuna EUR i da je za 2027. predviđeno 77,67 milijuna EUR; ističe da ti troškovi nisu uključeni u proračun za 2027.; </w:t>
      </w:r>
      <w:bookmarkStart w:id="9" w:name="_Hlk227680019"/>
      <w:r w:rsidR="00133B54" w:rsidRPr="004C00F1">
        <w:rPr>
          <w:color w:val="000000"/>
        </w:rPr>
        <w:t>naglašava da treba osigurati strogu kontrolu troškova, transparentnost i poštovanje planiranog proračuna;</w:t>
      </w:r>
      <w:r w:rsidR="00133B54" w:rsidRPr="004C00F1">
        <w:rPr>
          <w:b/>
          <w:i/>
          <w:color w:val="000000"/>
        </w:rPr>
        <w:t xml:space="preserve"> </w:t>
      </w:r>
      <w:bookmarkEnd w:id="9"/>
    </w:p>
    <w:p w14:paraId="4D0FA5B1" w14:textId="4E30AD1C" w:rsidR="00133B54" w:rsidRPr="004C00F1" w:rsidRDefault="005547BA" w:rsidP="00133B54">
      <w:pPr>
        <w:pStyle w:val="action0"/>
        <w:ind w:left="567" w:hanging="567"/>
        <w:rPr>
          <w:color w:val="000000"/>
        </w:rPr>
      </w:pPr>
      <w:r>
        <w:rPr>
          <w:color w:val="000000"/>
        </w:rPr>
        <w:t>18</w:t>
      </w:r>
      <w:r w:rsidR="00133B54" w:rsidRPr="004C00F1">
        <w:rPr>
          <w:color w:val="000000"/>
        </w:rPr>
        <w:t>.</w:t>
      </w:r>
      <w:r w:rsidR="00133B54" w:rsidRPr="004C00F1">
        <w:rPr>
          <w:color w:val="000000"/>
        </w:rPr>
        <w:tab/>
        <w:t>prima na znanje da Parlament namjerava ugovoriti zajmove, među ostalim s Europskom investicijskom bankom, za financiranje projekta obnove zgrade SPAAK; prima na znanje da su u proračun za 2027. uneseni troškovi povezani s kamatama (3,17 milijuna EUR) i otplatom glavnice (0,65 milijuna EUR); apelira na to da, po potrebi, troškovi koji nisu izravno povezani s radovima na obnovi također budu jasno navedeni i uključeni u proračun; poziva upravu da pomno obavještava Odbor za proračune o primjenjivim kamatnim stopama za zajmove i dugoročnom planiranju otplate glavnice; ističe da treba osigurati razborito upravljanje dugom;</w:t>
      </w:r>
    </w:p>
    <w:p w14:paraId="6C54497F" w14:textId="3C6DDC05" w:rsidR="00133B54" w:rsidRPr="004C00F1" w:rsidRDefault="005547BA" w:rsidP="00133B54">
      <w:pPr>
        <w:pStyle w:val="action0"/>
        <w:ind w:left="567" w:hanging="567"/>
        <w:rPr>
          <w:b/>
          <w:bCs/>
          <w:i/>
          <w:iCs/>
          <w:color w:val="000000"/>
        </w:rPr>
      </w:pPr>
      <w:r>
        <w:rPr>
          <w:color w:val="000000"/>
        </w:rPr>
        <w:t>19</w:t>
      </w:r>
      <w:r w:rsidR="00133B54" w:rsidRPr="004C00F1">
        <w:rPr>
          <w:color w:val="000000"/>
        </w:rPr>
        <w:t>.</w:t>
      </w:r>
      <w:r w:rsidR="00133B54" w:rsidRPr="004C00F1">
        <w:rPr>
          <w:color w:val="000000"/>
        </w:rPr>
        <w:tab/>
        <w:t xml:space="preserve">izražava žaljenje zbog kašnjenja u otvaranju centara „Europa </w:t>
      </w:r>
      <w:proofErr w:type="spellStart"/>
      <w:r w:rsidR="00133B54" w:rsidRPr="004C00F1">
        <w:rPr>
          <w:color w:val="000000"/>
        </w:rPr>
        <w:t>Experience</w:t>
      </w:r>
      <w:proofErr w:type="spellEnd"/>
      <w:r w:rsidR="00133B54" w:rsidRPr="004C00F1">
        <w:rPr>
          <w:color w:val="000000"/>
        </w:rPr>
        <w:t xml:space="preserve">” u svim državama članicama; pozdravlja novi koncept, koji je Predsjedništvo podržalo 31. ožujka 2025., za optimizaciju upotrebe prostora „Europa </w:t>
      </w:r>
      <w:proofErr w:type="spellStart"/>
      <w:r w:rsidR="00133B54" w:rsidRPr="004C00F1">
        <w:rPr>
          <w:color w:val="000000"/>
        </w:rPr>
        <w:t>Experience</w:t>
      </w:r>
      <w:proofErr w:type="spellEnd"/>
      <w:r w:rsidR="00133B54" w:rsidRPr="004C00F1">
        <w:rPr>
          <w:color w:val="000000"/>
        </w:rPr>
        <w:t xml:space="preserve">”, uzimajući u obzir različite situacije u državama članicama; naglašava da je za privlačenje građana važno osigurati da centar „Europa </w:t>
      </w:r>
      <w:proofErr w:type="spellStart"/>
      <w:r w:rsidR="00133B54" w:rsidRPr="004C00F1">
        <w:rPr>
          <w:color w:val="000000"/>
        </w:rPr>
        <w:t>Experience</w:t>
      </w:r>
      <w:proofErr w:type="spellEnd"/>
      <w:r w:rsidR="00133B54" w:rsidRPr="004C00F1">
        <w:rPr>
          <w:color w:val="000000"/>
        </w:rPr>
        <w:t xml:space="preserve">” nudi zanimljivo iskustvo posjetiteljima; poziva na otvaranje centara „Europa </w:t>
      </w:r>
      <w:proofErr w:type="spellStart"/>
      <w:r w:rsidR="00133B54" w:rsidRPr="004C00F1">
        <w:rPr>
          <w:color w:val="000000"/>
        </w:rPr>
        <w:t>Experience</w:t>
      </w:r>
      <w:proofErr w:type="spellEnd"/>
      <w:r w:rsidR="00133B54" w:rsidRPr="004C00F1">
        <w:rPr>
          <w:color w:val="000000"/>
        </w:rPr>
        <w:t xml:space="preserve">”, pri čemu bi se prednost trebala dati državama članicama koje su najudaljenije od triju mjesta rada, osiguravajući pritom da njihov razvoj i rad ostanu ekonomični; podsjeća da bi centri „Europa </w:t>
      </w:r>
      <w:proofErr w:type="spellStart"/>
      <w:r w:rsidR="00133B54" w:rsidRPr="004C00F1">
        <w:rPr>
          <w:color w:val="000000"/>
        </w:rPr>
        <w:t>Experience</w:t>
      </w:r>
      <w:proofErr w:type="spellEnd"/>
      <w:r w:rsidR="00133B54" w:rsidRPr="004C00F1">
        <w:rPr>
          <w:color w:val="000000"/>
        </w:rPr>
        <w:t>” trebali svim građanima omogućiti bolje razumijevanje funkcioniranja institucija Unije i naših zajedničkih vrijednosti; naglašava potrebu za učinkovitom upotrebom odobrenih proračunskih sredstava dodijeljenih tim centrima kako bi se osiguralo da ostvaruju komunikaciju sa snažnim učinkom i da dopiru, u prvom redu, do mladih osoba i ranjivih skupina; naglašava da bi se pri financiranju prednost trebala dati širenju činjeničnih i dostupnih informacija o lokalnom učinku politika EU-a, jer je to troškovno učinkovit alat za zaštitu demokratskog integriteta Unije od dezinformacija;</w:t>
      </w:r>
    </w:p>
    <w:p w14:paraId="789470F0" w14:textId="5D9E8548" w:rsidR="00133B54" w:rsidRPr="004C00F1" w:rsidRDefault="005547BA" w:rsidP="00133B54">
      <w:pPr>
        <w:pStyle w:val="action0"/>
        <w:ind w:left="567" w:hanging="567"/>
        <w:rPr>
          <w:bCs/>
          <w:iCs/>
          <w:color w:val="000000"/>
        </w:rPr>
      </w:pPr>
      <w:r>
        <w:rPr>
          <w:color w:val="000000"/>
        </w:rPr>
        <w:lastRenderedPageBreak/>
        <w:t>20</w:t>
      </w:r>
      <w:r w:rsidR="00133B54" w:rsidRPr="004C00F1">
        <w:rPr>
          <w:color w:val="000000"/>
        </w:rPr>
        <w:t>.</w:t>
      </w:r>
      <w:r w:rsidR="00133B54" w:rsidRPr="004C00F1">
        <w:rPr>
          <w:color w:val="000000"/>
        </w:rPr>
        <w:tab/>
        <w:t xml:space="preserve">podsjeća na važnost programa Škola ambasadora Europskog parlamenta za promicanje aktivnog angažmana među mladim Europljanima i programa osposobljavanja za mlade novinare nazvanog u čast Davida </w:t>
      </w:r>
      <w:proofErr w:type="spellStart"/>
      <w:r w:rsidR="00133B54" w:rsidRPr="004C00F1">
        <w:rPr>
          <w:color w:val="000000"/>
        </w:rPr>
        <w:t>Sassolija</w:t>
      </w:r>
      <w:proofErr w:type="spellEnd"/>
      <w:r w:rsidR="00133B54" w:rsidRPr="004C00F1">
        <w:rPr>
          <w:color w:val="000000"/>
        </w:rPr>
        <w:t xml:space="preserve"> kako bi se poboljšalo razumijevanje Unije i njezina funkcioniranja među novinarima, kao najbolji lijek protiv dezinformacija, s obzirom na nedavne trendove koji pokazuju zabrinjavajući pad slobode i neovisnosti medija diljem Unije;</w:t>
      </w:r>
    </w:p>
    <w:p w14:paraId="71BDA54A" w14:textId="256BF05A" w:rsidR="00133B54" w:rsidRPr="004C00F1" w:rsidRDefault="005547BA" w:rsidP="00133B54">
      <w:pPr>
        <w:pStyle w:val="action0"/>
        <w:ind w:left="567" w:hanging="567"/>
        <w:rPr>
          <w:bCs/>
          <w:iCs/>
          <w:color w:val="000000"/>
        </w:rPr>
      </w:pPr>
      <w:r>
        <w:rPr>
          <w:color w:val="000000"/>
        </w:rPr>
        <w:t>21</w:t>
      </w:r>
      <w:r w:rsidR="00133B54" w:rsidRPr="004C00F1">
        <w:rPr>
          <w:color w:val="000000"/>
        </w:rPr>
        <w:t>.</w:t>
      </w:r>
      <w:r w:rsidR="00133B54" w:rsidRPr="004C00F1">
        <w:rPr>
          <w:color w:val="000000"/>
        </w:rPr>
        <w:tab/>
        <w:t>ponavlja svoju potporu izgradnji paneuropskog spomenika u Bruxellesu za žrtve totalitarnih režima 20. stoljeća, koji bi odražavao raznolikost povijesnih iskustava; poziva Predsjedništvo da razmotri to pitanje s ciljem donošenja odluke, uzimajući pritom u obzir proračunska ograničenja posljednjih godina u aktualnom VFO-u i gospodarske poteškoće s kojima se suočavaju europski građani;</w:t>
      </w:r>
    </w:p>
    <w:p w14:paraId="137AFCB3" w14:textId="38F07454" w:rsidR="00133B54" w:rsidRPr="004C00F1" w:rsidRDefault="005547BA" w:rsidP="00133B54">
      <w:pPr>
        <w:pStyle w:val="action0"/>
        <w:ind w:left="567" w:hanging="567"/>
        <w:rPr>
          <w:bCs/>
          <w:iCs/>
          <w:color w:val="000000"/>
        </w:rPr>
      </w:pPr>
      <w:r>
        <w:rPr>
          <w:color w:val="000000"/>
        </w:rPr>
        <w:t>22</w:t>
      </w:r>
      <w:r w:rsidR="00133B54" w:rsidRPr="004C00F1">
        <w:rPr>
          <w:color w:val="000000"/>
        </w:rPr>
        <w:t>.</w:t>
      </w:r>
      <w:r w:rsidR="00133B54" w:rsidRPr="004C00F1">
        <w:rPr>
          <w:color w:val="000000"/>
        </w:rPr>
        <w:tab/>
        <w:t>naglašava činjenicu da bi jedinstveno sjedište Parlamenta moglo smanjiti financijske i ekološke troškove; podsjeća na to da, u skladu s Ugovorom o Europskoj uniji, sjedište Parlamenta mora biti u Strasbourgu; napominje da bi trajne promjene zahtijevale izmjenu Ugovora za koju je potrebna jednoglasna odluka;</w:t>
      </w:r>
    </w:p>
    <w:p w14:paraId="703D1965" w14:textId="77777777" w:rsidR="00133B54" w:rsidRPr="004C00F1" w:rsidRDefault="00133B54" w:rsidP="00133B54">
      <w:pPr>
        <w:pStyle w:val="action0"/>
        <w:ind w:left="0" w:firstLine="0"/>
        <w:rPr>
          <w:b/>
          <w:i/>
          <w:color w:val="000000"/>
        </w:rPr>
      </w:pPr>
      <w:r w:rsidRPr="004C00F1">
        <w:rPr>
          <w:b/>
          <w:i/>
          <w:color w:val="000000"/>
        </w:rPr>
        <w:t xml:space="preserve">Zeleni Parlament </w:t>
      </w:r>
    </w:p>
    <w:p w14:paraId="730424A2" w14:textId="7BAB86DD" w:rsidR="00133B54" w:rsidRPr="004C00F1" w:rsidRDefault="005547BA" w:rsidP="00133B54">
      <w:pPr>
        <w:widowControl/>
        <w:spacing w:after="240"/>
        <w:ind w:left="567" w:hanging="567"/>
        <w:rPr>
          <w:color w:val="000000"/>
        </w:rPr>
      </w:pPr>
      <w:r>
        <w:rPr>
          <w:color w:val="000000"/>
        </w:rPr>
        <w:t>23</w:t>
      </w:r>
      <w:r w:rsidR="00133B54" w:rsidRPr="004C00F1">
        <w:rPr>
          <w:color w:val="000000"/>
        </w:rPr>
        <w:t>.</w:t>
      </w:r>
      <w:r w:rsidR="00133B54" w:rsidRPr="004C00F1">
        <w:rPr>
          <w:color w:val="000000"/>
        </w:rPr>
        <w:tab/>
        <w:t>pozdravlja ciljeve sustava upravljanja okolišem (EMAS) Parlamenta za razdoblje 2025. – 2029.; pozdravlja ulaganja u infrastrukturu u okviru planiranih mjera energetske učinkovitosti i ekološke obnove predviđenih u razdoblju od 2025. do 2029., kao dobru metodu postizanja vrijednosti za uloženi novac; prima na znanje proračun od 8,97 milijuna EUR za ulaganja u energetsku učinkovitost i okoliš u projekcijama za 2027. kako bi se dodatno poboljšala okolišna učinkovitost njegovih zgrada; napominje da to odgovara povećanju od 6,1 % u odnosu na proračun za 2026.; pozdravlja činjenicu da je Parlament ugradio te i dalje ugrađuje fotonaponske solarne ploče kako bi dodatno povećao udio energije iz obnovljivih izvora proizvedene na svojim lokacijama; naglašava da je potrebno osigurati da se takvim ulaganjima ostvari mjerljivo povećanje učinkovitosti, uzimajući u obzir i geopolitički kontekst, te dugoročna ušteda troškova;</w:t>
      </w:r>
    </w:p>
    <w:p w14:paraId="00FE5F41" w14:textId="7E61D001" w:rsidR="00133B54" w:rsidRPr="004C00F1" w:rsidRDefault="005547BA" w:rsidP="00133B54">
      <w:pPr>
        <w:widowControl/>
        <w:spacing w:after="240"/>
        <w:ind w:left="567" w:hanging="567"/>
        <w:rPr>
          <w:bCs/>
          <w:iCs/>
          <w:color w:val="000000"/>
        </w:rPr>
      </w:pPr>
      <w:r>
        <w:rPr>
          <w:color w:val="000000"/>
        </w:rPr>
        <w:t>24</w:t>
      </w:r>
      <w:r w:rsidR="00133B54" w:rsidRPr="004C00F1">
        <w:rPr>
          <w:color w:val="000000"/>
        </w:rPr>
        <w:t>.</w:t>
      </w:r>
      <w:r w:rsidR="00133B54" w:rsidRPr="004C00F1">
        <w:rPr>
          <w:color w:val="000000"/>
        </w:rPr>
        <w:tab/>
        <w:t>podsjeća na to da gotovo dvije trećine ugljičnog otiska Parlamenta potječe od putničkog prijevoza; konstatira da se znatan dio proračuna Parlamenta, točnije, za 2027., 162,1 milijun EUR, troši na pokrivanje izdataka za službena putovanja zastupnika i osoblja; poziva na promišljanje tijela Parlamenta o praksama službenih putovanja izvan triju mjesta rada i na reviziju pravila i praksi za službena putovanja s općim ciljem smanjenja broja službenih putovanja i povezanih financijskih troškova kao i troškova povezanih s okolišem; potiče zastupnike da se koriste alternativnim prijevoznim sredstvima s niskom razinom emisije ugljika te troškovno najpovoljnijim letovima;</w:t>
      </w:r>
    </w:p>
    <w:p w14:paraId="3998F297" w14:textId="0975C328" w:rsidR="00133B54" w:rsidRPr="004C00F1" w:rsidRDefault="005547BA" w:rsidP="00133B54">
      <w:pPr>
        <w:widowControl/>
        <w:spacing w:after="240"/>
        <w:ind w:left="567" w:hanging="567"/>
        <w:rPr>
          <w:bCs/>
          <w:iCs/>
          <w:color w:val="000000"/>
        </w:rPr>
      </w:pPr>
      <w:r>
        <w:rPr>
          <w:color w:val="000000"/>
        </w:rPr>
        <w:t>25</w:t>
      </w:r>
      <w:r w:rsidR="00133B54" w:rsidRPr="004C00F1">
        <w:rPr>
          <w:color w:val="000000"/>
        </w:rPr>
        <w:t>.</w:t>
      </w:r>
      <w:r w:rsidR="00133B54" w:rsidRPr="004C00F1">
        <w:rPr>
          <w:color w:val="000000"/>
        </w:rPr>
        <w:tab/>
        <w:t>pozdravlja povećanu upotrebu javnog prijevoza za putovanje na posao i istodobno prima na znanje povećanu potražnju za sustavom financijskih subvencija za godišnje karte za javni prijevoz, posebno u Bruxellesu, što je dovelo do povećanja odobrenih sredstava; smatra da Parlament mora služiti kao primjer poticanjem mogućih mjera za osiguravanje učinkovite upotrebe resursa u vidu poboljšanja održivih načina prijevoza za putovanje na posao i uspostavom dodatnih poticaja za putovanje na posao biciklom;</w:t>
      </w:r>
    </w:p>
    <w:p w14:paraId="3B9F6A9E" w14:textId="05CC94B3" w:rsidR="00133B54" w:rsidRPr="004C00F1" w:rsidRDefault="005547BA" w:rsidP="00133B54">
      <w:pPr>
        <w:widowControl/>
        <w:spacing w:after="240"/>
        <w:ind w:left="567" w:hanging="567"/>
        <w:rPr>
          <w:color w:val="000000"/>
        </w:rPr>
      </w:pPr>
      <w:r>
        <w:rPr>
          <w:color w:val="000000"/>
        </w:rPr>
        <w:t>26</w:t>
      </w:r>
      <w:r w:rsidR="00133B54" w:rsidRPr="004C00F1">
        <w:rPr>
          <w:color w:val="000000"/>
        </w:rPr>
        <w:t>.</w:t>
      </w:r>
      <w:r w:rsidR="00133B54" w:rsidRPr="004C00F1">
        <w:rPr>
          <w:color w:val="000000"/>
        </w:rPr>
        <w:tab/>
        <w:t xml:space="preserve">prima na znanje znatna povećanja cijena ugljičnih kredita za koje bi uz trenutačne razine emisija prema procjenama bilo potrebno 950 000 EUR za 2027.; poziva upravu da prednost da smanjenju emisija Parlamenta, među ostalim većim ulaganjima u čisto grijanje, ventilaciju i klimatizacijske sustave, a posebno u instalacije dizalica topline u </w:t>
      </w:r>
      <w:r w:rsidR="00133B54" w:rsidRPr="004C00F1">
        <w:rPr>
          <w:color w:val="000000"/>
        </w:rPr>
        <w:lastRenderedPageBreak/>
        <w:t xml:space="preserve">Bruxellesu, kao i drugim razmjernim i troškovno učinkovitim mjerama za smanjenje emisija, ako je to razumno, umjesto kupnje ugljičnih kredita; pozdravlja uvođenje širu ponudu vlakova za službena putovanja u Strasbourg od srpnja 2025., kao pozitivan korak prema smanjenju emisija CO2; </w:t>
      </w:r>
    </w:p>
    <w:p w14:paraId="6DC9F395" w14:textId="77777777" w:rsidR="00133B54" w:rsidRPr="004C00F1" w:rsidRDefault="00133B54" w:rsidP="00133B54">
      <w:pPr>
        <w:pStyle w:val="action0"/>
        <w:ind w:left="0" w:firstLine="0"/>
        <w:rPr>
          <w:b/>
          <w:i/>
          <w:color w:val="000000"/>
        </w:rPr>
      </w:pPr>
      <w:r w:rsidRPr="004C00F1">
        <w:rPr>
          <w:b/>
          <w:i/>
          <w:color w:val="000000"/>
        </w:rPr>
        <w:t>Ostalo</w:t>
      </w:r>
    </w:p>
    <w:p w14:paraId="77928034" w14:textId="14714F3A" w:rsidR="00133B54" w:rsidRPr="004C00F1" w:rsidRDefault="005547BA" w:rsidP="00133B54">
      <w:pPr>
        <w:pStyle w:val="action0"/>
        <w:ind w:left="567" w:hanging="567"/>
        <w:rPr>
          <w:bCs/>
          <w:iCs/>
          <w:color w:val="000000"/>
        </w:rPr>
      </w:pPr>
      <w:r>
        <w:rPr>
          <w:color w:val="000000"/>
        </w:rPr>
        <w:t>27</w:t>
      </w:r>
      <w:r w:rsidR="00133B54" w:rsidRPr="004C00F1">
        <w:rPr>
          <w:color w:val="000000"/>
        </w:rPr>
        <w:t>.</w:t>
      </w:r>
      <w:r w:rsidR="00133B54" w:rsidRPr="004C00F1">
        <w:rPr>
          <w:color w:val="000000"/>
        </w:rPr>
        <w:tab/>
        <w:t>poziva Konferenciju predsjednika da hitno donese odluku o relevantnim člancima svojih internih pravila koja se odnose na sudjelovanje akreditiranih parlamentarnih asistenata u pratnji zastupnika na službenim putovanjima i u izaslanstvima izvan triju mjesta rada Parlamenta ako tajništvo Parlamenta nije službeno obaviješteno ni o jednom članu osoblja njihova kluba zastupnika koji sudjeluje u službenom putovanju;</w:t>
      </w:r>
    </w:p>
    <w:p w14:paraId="4A4D4C71" w14:textId="59F92063" w:rsidR="00133B54" w:rsidRDefault="005547BA" w:rsidP="00133B54">
      <w:pPr>
        <w:spacing w:after="240"/>
        <w:ind w:left="567" w:hanging="567"/>
        <w:rPr>
          <w:bCs/>
          <w:iCs/>
          <w:color w:val="000000"/>
        </w:rPr>
      </w:pPr>
      <w:r>
        <w:rPr>
          <w:color w:val="000000"/>
        </w:rPr>
        <w:t>28</w:t>
      </w:r>
      <w:r w:rsidR="00133B54" w:rsidRPr="004C00F1">
        <w:rPr>
          <w:color w:val="000000"/>
        </w:rPr>
        <w:t>.</w:t>
      </w:r>
      <w:r w:rsidR="00133B54" w:rsidRPr="004C00F1">
        <w:rPr>
          <w:color w:val="000000"/>
        </w:rPr>
        <w:tab/>
        <w:t>smatra da bi Parlament trebao poslužiti kao primjer u pogledu prava osoba s invaliditetom, i kao poslodavac i kao javna institucija; pozdravlja politiku Parlamenta čiji je cilj osigurati da se osobe s invaliditetom potpuno neovisno koriste zgradama Parlamenta te podržava daljnje mjere i prilagodbe koje su potrebne u tom pogledu; napominje da je u tu svrhu proračunom predviđeno 2,07 milijuna EUR za njegove zgrade u Strasbourgu; naglašava da bi pristupačnost trebala biti ključni kriterij u obnovi zgrade SPAAK i razvoju svih digitalnih platformi;</w:t>
      </w:r>
      <w:r w:rsidR="00133B54" w:rsidRPr="00472625">
        <w:rPr>
          <w:bCs/>
          <w:iCs/>
          <w:color w:val="000000"/>
        </w:rPr>
        <w:t xml:space="preserve"> </w:t>
      </w:r>
    </w:p>
    <w:p w14:paraId="5D794955" w14:textId="47E5A792" w:rsidR="00505467" w:rsidRPr="00472625" w:rsidRDefault="00505467" w:rsidP="00133B54">
      <w:pPr>
        <w:spacing w:after="240"/>
        <w:ind w:left="567" w:hanging="567"/>
        <w:rPr>
          <w:bCs/>
          <w:iCs/>
          <w:color w:val="000000"/>
        </w:rPr>
      </w:pPr>
      <w:r w:rsidRPr="00472625">
        <w:rPr>
          <w:bCs/>
          <w:iCs/>
        </w:rPr>
        <w:t>2</w:t>
      </w:r>
      <w:r>
        <w:rPr>
          <w:bCs/>
          <w:iCs/>
        </w:rPr>
        <w:t>9</w:t>
      </w:r>
      <w:r w:rsidRPr="00472625">
        <w:rPr>
          <w:bCs/>
          <w:iCs/>
        </w:rPr>
        <w:t xml:space="preserve">. </w:t>
      </w:r>
      <w:r w:rsidRPr="00472625">
        <w:rPr>
          <w:bCs/>
          <w:iCs/>
        </w:rPr>
        <w:tab/>
        <w:t xml:space="preserve">pozdravlja nedavne inicijative koje su podržali Konferencija predsjednika i Predsjedništvo i kojima bi se zastupnicama u perinatalnom razdoblju omogućilo da glasuju preko opunomoćenika, što prepoznaje kao pozitivan korak prema većoj </w:t>
      </w:r>
      <w:proofErr w:type="spellStart"/>
      <w:r w:rsidRPr="00472625">
        <w:rPr>
          <w:bCs/>
          <w:iCs/>
        </w:rPr>
        <w:t>uključivosti</w:t>
      </w:r>
      <w:proofErr w:type="spellEnd"/>
      <w:r w:rsidRPr="00472625">
        <w:rPr>
          <w:bCs/>
          <w:iCs/>
        </w:rPr>
        <w:t xml:space="preserve"> u parlamentarnom radu te poziva sve strane na brzu provedbu te mjere; međutim, ustraje u tome da ta mjera nije u skladu s opetovanim pozivima Parlamenta da se osigura pravo na glasanje ne samo za zastupnice u perinatalnom razdoblju nego i za zastupnike na roditeljskom ili očinskom dopustu ili koji se suočavaju s potvrđenom dugotrajnom bolešću;</w:t>
      </w:r>
    </w:p>
    <w:p w14:paraId="127A6724" w14:textId="02B334E6" w:rsidR="00133B54" w:rsidRPr="004C00F1" w:rsidRDefault="005547BA" w:rsidP="00133B54">
      <w:pPr>
        <w:spacing w:after="240"/>
        <w:ind w:left="567" w:hanging="567"/>
        <w:rPr>
          <w:bCs/>
          <w:iCs/>
          <w:color w:val="000000"/>
        </w:rPr>
      </w:pPr>
      <w:r w:rsidRPr="00472625">
        <w:rPr>
          <w:color w:val="000000"/>
        </w:rPr>
        <w:t>30</w:t>
      </w:r>
      <w:r w:rsidR="00133B54" w:rsidRPr="00F40531">
        <w:rPr>
          <w:color w:val="000000"/>
        </w:rPr>
        <w:t>.</w:t>
      </w:r>
      <w:r w:rsidR="00133B54" w:rsidRPr="00F40531">
        <w:rPr>
          <w:color w:val="000000"/>
        </w:rPr>
        <w:tab/>
      </w:r>
      <w:r w:rsidR="00505467" w:rsidRPr="00472625">
        <w:rPr>
          <w:bCs/>
          <w:iCs/>
        </w:rPr>
        <w:t xml:space="preserve">izražava zabrinutost zbog toga što na kvalitetu i kontinuitet usluga koje pružaju jaslice </w:t>
      </w:r>
      <w:proofErr w:type="spellStart"/>
      <w:r w:rsidR="00505467" w:rsidRPr="00472625">
        <w:rPr>
          <w:bCs/>
          <w:iCs/>
        </w:rPr>
        <w:t>Crèche</w:t>
      </w:r>
      <w:proofErr w:type="spellEnd"/>
      <w:r w:rsidR="00505467" w:rsidRPr="00472625">
        <w:rPr>
          <w:bCs/>
          <w:iCs/>
        </w:rPr>
        <w:t xml:space="preserve"> </w:t>
      </w:r>
      <w:proofErr w:type="spellStart"/>
      <w:r w:rsidR="00505467" w:rsidRPr="00472625">
        <w:rPr>
          <w:bCs/>
          <w:iCs/>
        </w:rPr>
        <w:t>Wayenberg</w:t>
      </w:r>
      <w:proofErr w:type="spellEnd"/>
      <w:r w:rsidR="00505467" w:rsidRPr="00472625">
        <w:rPr>
          <w:bCs/>
          <w:iCs/>
        </w:rPr>
        <w:t xml:space="preserve"> u Parlamentu utječu česte promjene pružatelja usluga od 2020., kao i izazovi povezani s manjkom osoblja, velikim izostankom s posla i fluktuacijom osoblja u jaslicama; </w:t>
      </w:r>
      <w:r w:rsidR="00505467" w:rsidRPr="00505467">
        <w:rPr>
          <w:bCs/>
          <w:iCs/>
        </w:rPr>
        <w:t xml:space="preserve">prima na znanje </w:t>
      </w:r>
      <w:r w:rsidR="00505467" w:rsidRPr="00472625">
        <w:rPr>
          <w:bCs/>
          <w:iCs/>
        </w:rPr>
        <w:t xml:space="preserve">da je aktualni ugovor za usluge Parlamenta u Bruxellesu za skrb o djeci dodijeljen novom poduzeću koje je osnovano ubrzo nakon objave natječaja i koje je navodno povezano s bivšim pružateljem usluga, poduzećem </w:t>
      </w:r>
      <w:proofErr w:type="spellStart"/>
      <w:r w:rsidR="00505467" w:rsidRPr="00472625">
        <w:rPr>
          <w:bCs/>
          <w:iCs/>
        </w:rPr>
        <w:t>Esedra</w:t>
      </w:r>
      <w:proofErr w:type="spellEnd"/>
      <w:r w:rsidR="00505467" w:rsidRPr="00472625">
        <w:rPr>
          <w:bCs/>
          <w:iCs/>
        </w:rPr>
        <w:t>; podsjeća na to da je Parlament prijevremeno raskinuo ugovor</w:t>
      </w:r>
      <w:r w:rsidR="00505467" w:rsidRPr="00505467">
        <w:rPr>
          <w:bCs/>
          <w:iCs/>
        </w:rPr>
        <w:t xml:space="preserve"> s </w:t>
      </w:r>
      <w:proofErr w:type="spellStart"/>
      <w:r w:rsidR="00505467" w:rsidRPr="00472625">
        <w:rPr>
          <w:bCs/>
          <w:iCs/>
        </w:rPr>
        <w:t>Esedrom</w:t>
      </w:r>
      <w:proofErr w:type="spellEnd"/>
      <w:r w:rsidR="00505467" w:rsidRPr="00472625">
        <w:rPr>
          <w:bCs/>
          <w:iCs/>
        </w:rPr>
        <w:t>,</w:t>
      </w:r>
      <w:r w:rsidR="00505467" w:rsidRPr="00505467">
        <w:rPr>
          <w:bCs/>
          <w:iCs/>
        </w:rPr>
        <w:t xml:space="preserve"> prethodnim pružateljem usluga u </w:t>
      </w:r>
      <w:r w:rsidR="00505467" w:rsidRPr="00472625">
        <w:rPr>
          <w:bCs/>
          <w:iCs/>
        </w:rPr>
        <w:t>jaslicama</w:t>
      </w:r>
      <w:r w:rsidR="00505467" w:rsidRPr="00505467">
        <w:rPr>
          <w:bCs/>
          <w:iCs/>
        </w:rPr>
        <w:t xml:space="preserve"> </w:t>
      </w:r>
      <w:proofErr w:type="spellStart"/>
      <w:r w:rsidR="00505467" w:rsidRPr="00505467">
        <w:rPr>
          <w:bCs/>
          <w:iCs/>
        </w:rPr>
        <w:t>Crèche</w:t>
      </w:r>
      <w:proofErr w:type="spellEnd"/>
      <w:r w:rsidR="00505467" w:rsidRPr="00505467">
        <w:rPr>
          <w:bCs/>
          <w:iCs/>
        </w:rPr>
        <w:t xml:space="preserve"> </w:t>
      </w:r>
      <w:proofErr w:type="spellStart"/>
      <w:r w:rsidR="00505467" w:rsidRPr="00505467">
        <w:rPr>
          <w:bCs/>
          <w:iCs/>
        </w:rPr>
        <w:t>Wayenberg</w:t>
      </w:r>
      <w:proofErr w:type="spellEnd"/>
      <w:r w:rsidR="00505467" w:rsidRPr="00472625">
        <w:rPr>
          <w:bCs/>
          <w:iCs/>
        </w:rPr>
        <w:t>,</w:t>
      </w:r>
      <w:r w:rsidR="00505467" w:rsidRPr="00505467">
        <w:rPr>
          <w:bCs/>
          <w:iCs/>
        </w:rPr>
        <w:t xml:space="preserve"> nakon niza ozbiljnih optužbi protiv </w:t>
      </w:r>
      <w:r w:rsidR="00505467" w:rsidRPr="00472625">
        <w:rPr>
          <w:bCs/>
          <w:iCs/>
        </w:rPr>
        <w:t>tog</w:t>
      </w:r>
      <w:r w:rsidR="00505467" w:rsidRPr="00505467">
        <w:rPr>
          <w:bCs/>
          <w:iCs/>
        </w:rPr>
        <w:t xml:space="preserve"> ugovaratelja; ponavlja da bi pristojni radni uvjeti </w:t>
      </w:r>
      <w:r w:rsidR="00505467" w:rsidRPr="00472625">
        <w:rPr>
          <w:bCs/>
          <w:iCs/>
        </w:rPr>
        <w:t>i primjerena plaća</w:t>
      </w:r>
      <w:r w:rsidR="00505467" w:rsidRPr="00505467">
        <w:rPr>
          <w:bCs/>
          <w:iCs/>
        </w:rPr>
        <w:t xml:space="preserve"> za vanjsko osoblje, po potrebi </w:t>
      </w:r>
      <w:r w:rsidR="00505467" w:rsidRPr="00472625">
        <w:rPr>
          <w:bCs/>
          <w:iCs/>
        </w:rPr>
        <w:t>uključujući</w:t>
      </w:r>
      <w:r w:rsidR="00505467" w:rsidRPr="00505467">
        <w:rPr>
          <w:bCs/>
          <w:iCs/>
        </w:rPr>
        <w:t xml:space="preserve"> osposobljavanje, razvoj vještina</w:t>
      </w:r>
      <w:r w:rsidR="00505467" w:rsidRPr="00472625">
        <w:rPr>
          <w:bCs/>
          <w:iCs/>
        </w:rPr>
        <w:t>, mjere protiv nasilja i uznemiravanja, smislen socijalni dijalog</w:t>
      </w:r>
      <w:r w:rsidR="00505467" w:rsidRPr="00505467">
        <w:rPr>
          <w:bCs/>
          <w:iCs/>
        </w:rPr>
        <w:t xml:space="preserve"> i ulaganje u dobrobit osoblja, u načelu trebali biti prioritet u javnoj nabavi Parlamenta;</w:t>
      </w:r>
      <w:r w:rsidR="00505467" w:rsidRPr="00472625">
        <w:rPr>
          <w:bCs/>
          <w:iCs/>
        </w:rPr>
        <w:t xml:space="preserve"> traži neovisnu vanjsku reviziju natječajnog postupka i provedbe aktualnog ugovora, uključujući neovisnu vanjsku procjenu radnih uvjeta i dobrobiti osoblja;</w:t>
      </w:r>
    </w:p>
    <w:p w14:paraId="7CD38C9E" w14:textId="30010943" w:rsidR="00133B54" w:rsidRPr="004C00F1" w:rsidRDefault="005547BA" w:rsidP="00133B54">
      <w:pPr>
        <w:spacing w:after="240"/>
        <w:ind w:left="567" w:hanging="567"/>
        <w:rPr>
          <w:bCs/>
          <w:iCs/>
          <w:color w:val="000000"/>
        </w:rPr>
      </w:pPr>
      <w:r>
        <w:rPr>
          <w:color w:val="000000"/>
        </w:rPr>
        <w:t>31</w:t>
      </w:r>
      <w:r w:rsidR="00133B54" w:rsidRPr="004C00F1">
        <w:rPr>
          <w:color w:val="000000"/>
        </w:rPr>
        <w:t>.</w:t>
      </w:r>
      <w:r w:rsidR="00133B54" w:rsidRPr="004C00F1">
        <w:rPr>
          <w:color w:val="000000"/>
        </w:rPr>
        <w:tab/>
        <w:t>pozdravlja obiteljski prostor u Strasbourgu, kao vrijedan oblik potpore zastupnicima i osoblju s malom djecom tijekom obavljanja parlamentarnih aktivnosti; napominje, međutim, da on raspolaže ograničenim kapacitetom i da može smjestiti 30 djece; primjećuje pad u prosječnoj dobi zastupnika u Europskom parlamentu i među parlamentarnim osobljem posljednjih godina, zbog čega se povećao broj mladih obitelji kao i potražnja za ustanovama za skrb o djeci; poziva Predsjedništvo i glavnog tajnika da utvrde i primijene rješenja za dodatno poboljšanje skrbi o djeci u Strasbourgu;</w:t>
      </w:r>
    </w:p>
    <w:p w14:paraId="5AC6809C" w14:textId="32CD218A" w:rsidR="00133B54" w:rsidRPr="004C00F1" w:rsidRDefault="005547BA" w:rsidP="00133B54">
      <w:pPr>
        <w:spacing w:after="240"/>
        <w:ind w:left="567" w:hanging="567"/>
        <w:rPr>
          <w:color w:val="000000"/>
        </w:rPr>
      </w:pPr>
      <w:r>
        <w:rPr>
          <w:color w:val="000000"/>
        </w:rPr>
        <w:lastRenderedPageBreak/>
        <w:t>32</w:t>
      </w:r>
      <w:r w:rsidR="00133B54" w:rsidRPr="004C00F1">
        <w:rPr>
          <w:color w:val="000000"/>
        </w:rPr>
        <w:t>.</w:t>
      </w:r>
      <w:r w:rsidR="00133B54" w:rsidRPr="004C00F1">
        <w:rPr>
          <w:color w:val="000000"/>
        </w:rPr>
        <w:tab/>
        <w:t xml:space="preserve">ponovno potvrđuje svoj poziv glavnom tajniku da naglasi temeljno načelo prema kojem bi se svako zapošljavanje trebalo temeljiti na kompetencijama, uz istodobno osiguravanje geografske ravnoteže među svim državama članicama na svim razinama osoblja; naglašava da je postizanje pravedne geografske zastupljenosti na svim razinama uprave, također u pogledu dobi i roda, ključno za poticanje istinski europske javne službe; napominje da je Parlament poduzimao mjere za doprinos tom cilju, uključujući organizaciju posebnih natječaja za pojedinačne nacionalnosti; ističe potrebu za ubrzanjem provedbe natječaja uz zadržavanje strogog pristupa odabiru koji se temelji na zaslugama; </w:t>
      </w:r>
    </w:p>
    <w:p w14:paraId="0C40BA37" w14:textId="028C7F95" w:rsidR="00133B54" w:rsidRPr="004C00F1" w:rsidRDefault="005547BA" w:rsidP="00133B54">
      <w:pPr>
        <w:spacing w:after="240"/>
        <w:ind w:left="567" w:hanging="567"/>
        <w:rPr>
          <w:color w:val="000000"/>
        </w:rPr>
      </w:pPr>
      <w:r>
        <w:rPr>
          <w:color w:val="000000"/>
        </w:rPr>
        <w:t>33</w:t>
      </w:r>
      <w:r w:rsidR="00133B54" w:rsidRPr="004C00F1">
        <w:rPr>
          <w:color w:val="000000"/>
        </w:rPr>
        <w:t>.</w:t>
      </w:r>
      <w:r w:rsidR="00133B54" w:rsidRPr="004C00F1">
        <w:rPr>
          <w:color w:val="000000"/>
        </w:rPr>
        <w:tab/>
        <w:t xml:space="preserve">ističe da je višejezičnost ključno načelo na kojem se temelji rad Parlamenta; traži da Parlament, kada je to primjereno, iskoristi veliki tehnološki napredak u uslugama povezanima s višejezičnošću, uključujući razvoj i upotrebu umjetne inteligencije; </w:t>
      </w:r>
    </w:p>
    <w:p w14:paraId="2A3485C8" w14:textId="63071F70" w:rsidR="00133B54" w:rsidRPr="004C00F1" w:rsidRDefault="005547BA" w:rsidP="00133B54">
      <w:pPr>
        <w:spacing w:after="240"/>
        <w:ind w:left="567" w:hanging="567"/>
        <w:rPr>
          <w:bCs/>
          <w:iCs/>
          <w:color w:val="000000"/>
        </w:rPr>
      </w:pPr>
      <w:r>
        <w:rPr>
          <w:color w:val="000000"/>
        </w:rPr>
        <w:t>34</w:t>
      </w:r>
      <w:r w:rsidR="00133B54" w:rsidRPr="004C00F1">
        <w:rPr>
          <w:color w:val="000000"/>
        </w:rPr>
        <w:t>.</w:t>
      </w:r>
      <w:r w:rsidR="00133B54" w:rsidRPr="004C00F1">
        <w:rPr>
          <w:color w:val="000000"/>
        </w:rPr>
        <w:tab/>
        <w:t xml:space="preserve">prima na znanje presudu Općeg suda </w:t>
      </w:r>
      <w:proofErr w:type="spellStart"/>
      <w:r w:rsidR="00133B54" w:rsidRPr="004C00F1">
        <w:rPr>
          <w:color w:val="000000"/>
        </w:rPr>
        <w:t>Suda</w:t>
      </w:r>
      <w:proofErr w:type="spellEnd"/>
      <w:r w:rsidR="00133B54" w:rsidRPr="004C00F1">
        <w:rPr>
          <w:color w:val="000000"/>
        </w:rPr>
        <w:t xml:space="preserve"> Europske unije od 17. prosinca 2025. kojom se potvrđuje zakonitost mjera koje je Predsjedništvo donijelo 2023. u vezi s dobrovoljnim mirovinskim fondom za zastupnike</w:t>
      </w:r>
      <w:r w:rsidR="00133B54" w:rsidRPr="004C00F1">
        <w:rPr>
          <w:rStyle w:val="FootnoteReference"/>
          <w:bCs/>
          <w:iCs/>
          <w:color w:val="000000"/>
        </w:rPr>
        <w:footnoteReference w:id="13"/>
      </w:r>
      <w:r w:rsidR="00133B54" w:rsidRPr="004C00F1">
        <w:rPr>
          <w:color w:val="000000"/>
        </w:rPr>
        <w:t>; ističe da, iako je tim mjerama obveza u pogledu naknada smanjena za 63 %, fond je i dalje u vrlo osjetljivoj financijskoj situaciji; očekuje najnovije informacije o daljnjem razvoju događaja u vezi s dobrovoljnim mirovinskim sustavom;</w:t>
      </w:r>
    </w:p>
    <w:p w14:paraId="3BFD0D2B" w14:textId="234E0141" w:rsidR="00133B54" w:rsidRPr="004C00F1" w:rsidRDefault="005547BA" w:rsidP="00133B54">
      <w:pPr>
        <w:spacing w:after="240"/>
        <w:ind w:left="567" w:hanging="567"/>
        <w:rPr>
          <w:bCs/>
          <w:iCs/>
          <w:color w:val="000000"/>
        </w:rPr>
      </w:pPr>
      <w:r>
        <w:rPr>
          <w:color w:val="000000"/>
        </w:rPr>
        <w:t>35</w:t>
      </w:r>
      <w:r w:rsidR="00133B54" w:rsidRPr="004C00F1">
        <w:rPr>
          <w:color w:val="000000"/>
        </w:rPr>
        <w:t>.</w:t>
      </w:r>
      <w:r w:rsidR="00133B54" w:rsidRPr="004C00F1">
        <w:rPr>
          <w:color w:val="000000"/>
        </w:rPr>
        <w:tab/>
        <w:t>naglašava da će se prijedlozi o kojima se glasuje na plenarnim sjednicama provoditi kao glavni prioriteti;</w:t>
      </w:r>
    </w:p>
    <w:p w14:paraId="75EEF758" w14:textId="0292E4DF" w:rsidR="00133B54" w:rsidRPr="004C00F1" w:rsidRDefault="005547BA" w:rsidP="00133B54">
      <w:pPr>
        <w:spacing w:after="240"/>
        <w:ind w:left="567" w:hanging="567"/>
      </w:pPr>
      <w:r>
        <w:t>36</w:t>
      </w:r>
      <w:r w:rsidR="00133B54" w:rsidRPr="004C00F1">
        <w:t>.</w:t>
      </w:r>
      <w:r w:rsidR="00133B54" w:rsidRPr="004C00F1">
        <w:tab/>
      </w:r>
      <w:r w:rsidR="006527E9">
        <w:t>usvaja</w:t>
      </w:r>
      <w:r w:rsidR="006527E9" w:rsidRPr="004C00F1">
        <w:t xml:space="preserve"> </w:t>
      </w:r>
      <w:r w:rsidR="00133B54" w:rsidRPr="004C00F1">
        <w:t>projekciju proračuna za financijsku godinu 2027.;</w:t>
      </w:r>
    </w:p>
    <w:p w14:paraId="51FF5842" w14:textId="5862F2B6" w:rsidR="00E365E1" w:rsidRPr="004C00F1" w:rsidRDefault="005547BA" w:rsidP="004C00F1">
      <w:pPr>
        <w:ind w:left="567" w:hanging="567"/>
      </w:pPr>
      <w:r>
        <w:t>37</w:t>
      </w:r>
      <w:r w:rsidR="00133B54" w:rsidRPr="004C00F1">
        <w:t>.</w:t>
      </w:r>
      <w:r w:rsidR="00133B54" w:rsidRPr="004C00F1">
        <w:tab/>
        <w:t>nalaže svojoj predsjednici da ovu Rezoluciju i projekciju proračuna proslijedi Vijeću i Komisiji.</w:t>
      </w:r>
    </w:p>
    <w:sectPr w:rsidR="00E365E1" w:rsidRPr="004C00F1" w:rsidSect="005436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E052A" w14:textId="77777777" w:rsidR="00C44DC6" w:rsidRPr="005436A6" w:rsidRDefault="00C44DC6">
      <w:r w:rsidRPr="005436A6">
        <w:separator/>
      </w:r>
    </w:p>
  </w:endnote>
  <w:endnote w:type="continuationSeparator" w:id="0">
    <w:p w14:paraId="272748F0" w14:textId="77777777" w:rsidR="00C44DC6" w:rsidRPr="005436A6" w:rsidRDefault="00C44DC6">
      <w:r w:rsidRPr="005436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1113F" w14:textId="77777777" w:rsidR="00C44DC6" w:rsidRPr="005436A6" w:rsidRDefault="00C44DC6">
      <w:r w:rsidRPr="005436A6">
        <w:separator/>
      </w:r>
    </w:p>
  </w:footnote>
  <w:footnote w:type="continuationSeparator" w:id="0">
    <w:p w14:paraId="1EC8975A" w14:textId="77777777" w:rsidR="00C44DC6" w:rsidRPr="005436A6" w:rsidRDefault="00C44DC6">
      <w:r w:rsidRPr="005436A6">
        <w:continuationSeparator/>
      </w:r>
    </w:p>
  </w:footnote>
  <w:footnote w:id="1">
    <w:p w14:paraId="24B1C8BC" w14:textId="25C88150"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L, 2024/2509, 26.9.2024., ELI:</w:t>
      </w:r>
      <w:r w:rsidRPr="005436A6">
        <w:rPr>
          <w:color w:val="000000"/>
        </w:rPr>
        <w:t xml:space="preserve"> </w:t>
      </w:r>
      <w:hyperlink r:id="rId1" w:history="1">
        <w:r w:rsidRPr="005436A6">
          <w:rPr>
            <w:rStyle w:val="Hyperlink"/>
          </w:rPr>
          <w:t>http://data.europa.eu/eli/reg/2024/2509/oj</w:t>
        </w:r>
      </w:hyperlink>
      <w:r w:rsidRPr="005436A6">
        <w:rPr>
          <w:color w:val="337AB7"/>
          <w:u w:val="single"/>
        </w:rPr>
        <w:t>.</w:t>
      </w:r>
    </w:p>
  </w:footnote>
  <w:footnote w:id="2">
    <w:p w14:paraId="536E8E5E" w14:textId="12C9006C"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L 433 I, 22.12.2020., str. 11., ELI:</w:t>
      </w:r>
      <w:r w:rsidRPr="005436A6">
        <w:rPr>
          <w:color w:val="000000"/>
        </w:rPr>
        <w:t xml:space="preserve"> </w:t>
      </w:r>
      <w:hyperlink r:id="rId2" w:history="1">
        <w:r w:rsidRPr="005436A6">
          <w:rPr>
            <w:rStyle w:val="Hyperlink"/>
          </w:rPr>
          <w:t>http://data.europa.eu/eli/reg/2020/2093/oj</w:t>
        </w:r>
      </w:hyperlink>
      <w:r w:rsidRPr="005436A6">
        <w:rPr>
          <w:color w:val="000000"/>
        </w:rPr>
        <w:t>.</w:t>
      </w:r>
    </w:p>
  </w:footnote>
  <w:footnote w:id="3">
    <w:p w14:paraId="53587D38" w14:textId="63E367B3"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C 444 I, 22.12.2020., str. 4.</w:t>
      </w:r>
    </w:p>
  </w:footnote>
  <w:footnote w:id="4">
    <w:p w14:paraId="04C8BBB8" w14:textId="093748F9"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C 445, 29.10.2021., str. 252.</w:t>
      </w:r>
    </w:p>
  </w:footnote>
  <w:footnote w:id="5">
    <w:p w14:paraId="23D62450" w14:textId="3014E233" w:rsidR="00133B54" w:rsidRPr="005436A6" w:rsidRDefault="00133B54" w:rsidP="005436A6">
      <w:pPr>
        <w:ind w:left="567" w:hanging="567"/>
      </w:pPr>
      <w:r w:rsidRPr="005436A6">
        <w:rPr>
          <w:rStyle w:val="FootnoteReference"/>
          <w:rFonts w:eastAsiaTheme="majorEastAsia"/>
        </w:rPr>
        <w:footnoteRef/>
      </w:r>
      <w:r w:rsidR="005436A6" w:rsidRPr="005436A6">
        <w:t xml:space="preserve"> </w:t>
      </w:r>
      <w:r w:rsidR="005436A6" w:rsidRPr="005436A6">
        <w:tab/>
      </w:r>
      <w:r w:rsidRPr="005436A6">
        <w:t xml:space="preserve">SL L 325, 20.12.2022., str. 11., ELI: </w:t>
      </w:r>
      <w:hyperlink r:id="rId3" w:history="1">
        <w:r w:rsidRPr="005436A6">
          <w:rPr>
            <w:rStyle w:val="Hyperlink"/>
          </w:rPr>
          <w:t>http://data.europa.eu/eli/reg/2022/2496/oj</w:t>
        </w:r>
      </w:hyperlink>
      <w:r w:rsidRPr="005436A6">
        <w:t>.</w:t>
      </w:r>
    </w:p>
  </w:footnote>
  <w:footnote w:id="6">
    <w:p w14:paraId="693BD9D1" w14:textId="4574A056" w:rsidR="00133B54" w:rsidRPr="005436A6" w:rsidRDefault="00133B54" w:rsidP="005436A6">
      <w:pPr>
        <w:ind w:left="567" w:hanging="567"/>
      </w:pPr>
      <w:r w:rsidRPr="005436A6">
        <w:rPr>
          <w:rStyle w:val="FootnoteReference"/>
        </w:rPr>
        <w:footnoteRef/>
      </w:r>
      <w:r w:rsidR="005436A6" w:rsidRPr="005436A6">
        <w:t xml:space="preserve"> </w:t>
      </w:r>
      <w:r w:rsidR="005436A6" w:rsidRPr="005436A6">
        <w:tab/>
      </w:r>
      <w:r w:rsidRPr="005436A6">
        <w:t xml:space="preserve">SL L, 2024/765, 29.2.2024., ELI: </w:t>
      </w:r>
      <w:hyperlink r:id="rId4" w:history="1">
        <w:r w:rsidRPr="005436A6">
          <w:rPr>
            <w:rStyle w:val="Hyperlink"/>
          </w:rPr>
          <w:t>http://data.europa.eu/eli/reg/2024/765/oj</w:t>
        </w:r>
      </w:hyperlink>
      <w:r w:rsidRPr="005436A6">
        <w:t>.</w:t>
      </w:r>
    </w:p>
  </w:footnote>
  <w:footnote w:id="7">
    <w:p w14:paraId="38200F14" w14:textId="1811FA74"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L 433 I, 22.12.2020., str. 28</w:t>
      </w:r>
      <w:r w:rsidR="004C00F1">
        <w:t>.</w:t>
      </w:r>
      <w:r w:rsidRPr="005436A6">
        <w:t>, ELI:</w:t>
      </w:r>
      <w:r w:rsidRPr="005436A6">
        <w:rPr>
          <w:color w:val="000000"/>
        </w:rPr>
        <w:t xml:space="preserve"> </w:t>
      </w:r>
      <w:hyperlink r:id="rId5" w:history="1">
        <w:r w:rsidRPr="005436A6">
          <w:rPr>
            <w:rStyle w:val="Hyperlink"/>
          </w:rPr>
          <w:t>http://data.europa.eu/eli/agree_interinstit/2020/1222/oj</w:t>
        </w:r>
      </w:hyperlink>
      <w:r w:rsidRPr="005436A6">
        <w:rPr>
          <w:color w:val="000000"/>
        </w:rPr>
        <w:t>.</w:t>
      </w:r>
    </w:p>
  </w:footnote>
  <w:footnote w:id="8">
    <w:p w14:paraId="40EF382D" w14:textId="30170067"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C 445, 29.10.2021., str. 240.</w:t>
      </w:r>
    </w:p>
  </w:footnote>
  <w:footnote w:id="9">
    <w:p w14:paraId="344ADBE2" w14:textId="6430FB6C"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C 177, 17.5.2023., str. 115.</w:t>
      </w:r>
    </w:p>
  </w:footnote>
  <w:footnote w:id="10">
    <w:p w14:paraId="36E23628" w14:textId="605958AC"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C, C/2024/1195, 23.2.2024., ELI:</w:t>
      </w:r>
      <w:r w:rsidRPr="005436A6">
        <w:rPr>
          <w:color w:val="000000"/>
        </w:rPr>
        <w:t xml:space="preserve"> </w:t>
      </w:r>
      <w:hyperlink r:id="rId6" w:history="1">
        <w:r w:rsidRPr="005436A6">
          <w:rPr>
            <w:rStyle w:val="Hyperlink"/>
          </w:rPr>
          <w:t>http://data.europa.eu/eli/C/2024/1195/oj</w:t>
        </w:r>
      </w:hyperlink>
      <w:r w:rsidRPr="005436A6">
        <w:rPr>
          <w:color w:val="000000"/>
        </w:rPr>
        <w:t>.</w:t>
      </w:r>
    </w:p>
  </w:footnote>
  <w:footnote w:id="11">
    <w:p w14:paraId="1F447A32" w14:textId="790DADAA"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C, C/2024/6751, 26.11.2024., ELI:</w:t>
      </w:r>
      <w:r w:rsidRPr="005436A6">
        <w:rPr>
          <w:color w:val="000000"/>
        </w:rPr>
        <w:t xml:space="preserve"> </w:t>
      </w:r>
      <w:hyperlink r:id="rId7" w:history="1">
        <w:r w:rsidRPr="005436A6">
          <w:rPr>
            <w:rStyle w:val="Hyperlink"/>
          </w:rPr>
          <w:t>http://data.europa.eu/eli/C/2024/6751/oj</w:t>
        </w:r>
      </w:hyperlink>
      <w:r w:rsidRPr="005436A6">
        <w:rPr>
          <w:color w:val="000000"/>
        </w:rPr>
        <w:t>.</w:t>
      </w:r>
    </w:p>
  </w:footnote>
  <w:footnote w:id="12">
    <w:p w14:paraId="21108597" w14:textId="64F6805B" w:rsidR="00133B54" w:rsidRPr="005436A6" w:rsidRDefault="00133B54" w:rsidP="005436A6">
      <w:pPr>
        <w:ind w:left="567" w:hanging="567"/>
        <w:rPr>
          <w:color w:val="000000"/>
        </w:rPr>
      </w:pPr>
      <w:r w:rsidRPr="005436A6">
        <w:rPr>
          <w:rStyle w:val="FootnoteReference"/>
        </w:rPr>
        <w:footnoteRef/>
      </w:r>
      <w:r w:rsidR="005436A6" w:rsidRPr="005436A6">
        <w:t xml:space="preserve"> </w:t>
      </w:r>
      <w:r w:rsidR="005436A6" w:rsidRPr="005436A6">
        <w:tab/>
      </w:r>
      <w:r w:rsidRPr="005436A6">
        <w:t>SL L, 2026/72, 26.2.2026., ELI:</w:t>
      </w:r>
      <w:r w:rsidRPr="005436A6">
        <w:rPr>
          <w:color w:val="000000"/>
        </w:rPr>
        <w:t xml:space="preserve"> </w:t>
      </w:r>
      <w:hyperlink r:id="rId8" w:history="1">
        <w:r w:rsidRPr="005436A6">
          <w:rPr>
            <w:rStyle w:val="Hyperlink"/>
          </w:rPr>
          <w:t>http://data.europa.eu/eli/budget/2026/72/oj</w:t>
        </w:r>
      </w:hyperlink>
      <w:r w:rsidRPr="005436A6">
        <w:rPr>
          <w:color w:val="000000"/>
        </w:rPr>
        <w:t xml:space="preserve">. </w:t>
      </w:r>
    </w:p>
  </w:footnote>
  <w:footnote w:id="13">
    <w:p w14:paraId="11E1B8E4" w14:textId="3BCCD632" w:rsidR="00133B54" w:rsidRPr="005436A6" w:rsidRDefault="00133B54" w:rsidP="005436A6">
      <w:pPr>
        <w:pStyle w:val="FootnoteText"/>
        <w:ind w:left="567" w:hanging="567"/>
        <w:rPr>
          <w:sz w:val="24"/>
          <w:lang w:val="hr-HR"/>
        </w:rPr>
      </w:pPr>
      <w:r w:rsidRPr="005436A6">
        <w:rPr>
          <w:rStyle w:val="FootnoteReference"/>
          <w:sz w:val="24"/>
          <w:lang w:val="hr-HR"/>
        </w:rPr>
        <w:footnoteRef/>
      </w:r>
      <w:r w:rsidR="005436A6" w:rsidRPr="005436A6">
        <w:rPr>
          <w:sz w:val="24"/>
          <w:lang w:val="hr-HR"/>
        </w:rPr>
        <w:t xml:space="preserve"> </w:t>
      </w:r>
      <w:r w:rsidR="005436A6" w:rsidRPr="005436A6">
        <w:rPr>
          <w:sz w:val="24"/>
          <w:lang w:val="hr-HR"/>
        </w:rPr>
        <w:tab/>
      </w:r>
      <w:r w:rsidRPr="005436A6">
        <w:rPr>
          <w:sz w:val="24"/>
          <w:lang w:val="hr-HR"/>
        </w:rPr>
        <w:t xml:space="preserve">Presuda </w:t>
      </w:r>
      <w:r w:rsidR="006527E9">
        <w:rPr>
          <w:sz w:val="24"/>
          <w:lang w:val="hr-HR"/>
        </w:rPr>
        <w:t>Općeg s</w:t>
      </w:r>
      <w:r w:rsidRPr="005436A6">
        <w:rPr>
          <w:sz w:val="24"/>
          <w:lang w:val="hr-HR"/>
        </w:rPr>
        <w:t>uda od 17. prosinca 2025., FE/Parlament, T</w:t>
      </w:r>
      <w:r w:rsidRPr="005436A6">
        <w:rPr>
          <w:sz w:val="24"/>
          <w:lang w:val="hr-HR"/>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6411908">
    <w:abstractNumId w:val="9"/>
  </w:num>
  <w:num w:numId="2" w16cid:durableId="487988528">
    <w:abstractNumId w:val="9"/>
  </w:num>
  <w:num w:numId="3" w16cid:durableId="651444645">
    <w:abstractNumId w:val="7"/>
  </w:num>
  <w:num w:numId="4" w16cid:durableId="604656279">
    <w:abstractNumId w:val="7"/>
  </w:num>
  <w:num w:numId="5" w16cid:durableId="769933948">
    <w:abstractNumId w:val="6"/>
  </w:num>
  <w:num w:numId="6" w16cid:durableId="898709982">
    <w:abstractNumId w:val="6"/>
  </w:num>
  <w:num w:numId="7" w16cid:durableId="1554148339">
    <w:abstractNumId w:val="5"/>
  </w:num>
  <w:num w:numId="8" w16cid:durableId="698891698">
    <w:abstractNumId w:val="5"/>
  </w:num>
  <w:num w:numId="9" w16cid:durableId="1814566763">
    <w:abstractNumId w:val="4"/>
  </w:num>
  <w:num w:numId="10" w16cid:durableId="1190028103">
    <w:abstractNumId w:val="4"/>
  </w:num>
  <w:num w:numId="11" w16cid:durableId="1427532985">
    <w:abstractNumId w:val="8"/>
  </w:num>
  <w:num w:numId="12" w16cid:durableId="1787380973">
    <w:abstractNumId w:val="8"/>
  </w:num>
  <w:num w:numId="13" w16cid:durableId="1161585530">
    <w:abstractNumId w:val="3"/>
  </w:num>
  <w:num w:numId="14" w16cid:durableId="551384352">
    <w:abstractNumId w:val="3"/>
  </w:num>
  <w:num w:numId="15" w16cid:durableId="692153737">
    <w:abstractNumId w:val="2"/>
  </w:num>
  <w:num w:numId="16" w16cid:durableId="643660413">
    <w:abstractNumId w:val="2"/>
  </w:num>
  <w:num w:numId="17" w16cid:durableId="1889993964">
    <w:abstractNumId w:val="1"/>
  </w:num>
  <w:num w:numId="18" w16cid:durableId="1247687726">
    <w:abstractNumId w:val="1"/>
  </w:num>
  <w:num w:numId="19" w16cid:durableId="602542916">
    <w:abstractNumId w:val="0"/>
  </w:num>
  <w:num w:numId="20" w16cid:durableId="371417961">
    <w:abstractNumId w:val="0"/>
  </w:num>
  <w:num w:numId="21" w16cid:durableId="733624044">
    <w:abstractNumId w:val="9"/>
  </w:num>
  <w:num w:numId="22" w16cid:durableId="944311652">
    <w:abstractNumId w:val="7"/>
  </w:num>
  <w:num w:numId="23" w16cid:durableId="2032992409">
    <w:abstractNumId w:val="6"/>
  </w:num>
  <w:num w:numId="24" w16cid:durableId="1188955087">
    <w:abstractNumId w:val="5"/>
  </w:num>
  <w:num w:numId="25" w16cid:durableId="1824273223">
    <w:abstractNumId w:val="4"/>
  </w:num>
  <w:num w:numId="26" w16cid:durableId="523594022">
    <w:abstractNumId w:val="8"/>
  </w:num>
  <w:num w:numId="27" w16cid:durableId="1846359695">
    <w:abstractNumId w:val="3"/>
  </w:num>
  <w:num w:numId="28" w16cid:durableId="588277610">
    <w:abstractNumId w:val="2"/>
  </w:num>
  <w:num w:numId="29" w16cid:durableId="1410812647">
    <w:abstractNumId w:val="1"/>
  </w:num>
  <w:num w:numId="30" w16cid:durableId="1554081019">
    <w:abstractNumId w:val="0"/>
  </w:num>
  <w:num w:numId="31" w16cid:durableId="167183505">
    <w:abstractNumId w:val="9"/>
  </w:num>
  <w:num w:numId="32" w16cid:durableId="133373997">
    <w:abstractNumId w:val="7"/>
  </w:num>
  <w:num w:numId="33" w16cid:durableId="306011855">
    <w:abstractNumId w:val="6"/>
  </w:num>
  <w:num w:numId="34" w16cid:durableId="1539052797">
    <w:abstractNumId w:val="5"/>
  </w:num>
  <w:num w:numId="35" w16cid:durableId="350956387">
    <w:abstractNumId w:val="4"/>
  </w:num>
  <w:num w:numId="36" w16cid:durableId="1062093427">
    <w:abstractNumId w:val="8"/>
  </w:num>
  <w:num w:numId="37" w16cid:durableId="996108826">
    <w:abstractNumId w:val="3"/>
  </w:num>
  <w:num w:numId="38" w16cid:durableId="210651793">
    <w:abstractNumId w:val="2"/>
  </w:num>
  <w:num w:numId="39" w16cid:durableId="1225606415">
    <w:abstractNumId w:val="1"/>
  </w:num>
  <w:num w:numId="40" w16cid:durableId="1925216751">
    <w:abstractNumId w:val="0"/>
  </w:num>
  <w:num w:numId="41" w16cid:durableId="2073579108">
    <w:abstractNumId w:val="10"/>
  </w:num>
  <w:num w:numId="42" w16cid:durableId="1842700233">
    <w:abstractNumId w:val="10"/>
  </w:num>
  <w:num w:numId="43" w16cid:durableId="610357909">
    <w:abstractNumId w:val="10"/>
  </w:num>
  <w:num w:numId="44" w16cid:durableId="748506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HR"/>
    <w:docVar w:name="dvnumam" w:val="0"/>
    <w:docVar w:name="dvpe" w:val="785.303"/>
    <w:docVar w:name="dvrapporteur" w:val="Izvjestitelj: "/>
    <w:docVar w:name="dvtitre" w:val="Rezolucija Europskog parlamenta od .... 2026. o procjeni prihoda i rashoda Europskog parlamenta za financijsku godinu 2027.(2025/2247(BUI))"/>
  </w:docVars>
  <w:rsids>
    <w:rsidRoot w:val="00C44DC6"/>
    <w:rsid w:val="00002272"/>
    <w:rsid w:val="00064002"/>
    <w:rsid w:val="000677B9"/>
    <w:rsid w:val="000831BA"/>
    <w:rsid w:val="000A42CC"/>
    <w:rsid w:val="000C3AC1"/>
    <w:rsid w:val="000E7DD9"/>
    <w:rsid w:val="0010095E"/>
    <w:rsid w:val="00125B37"/>
    <w:rsid w:val="00133B54"/>
    <w:rsid w:val="00187494"/>
    <w:rsid w:val="001F32AE"/>
    <w:rsid w:val="002767FF"/>
    <w:rsid w:val="002B18FE"/>
    <w:rsid w:val="002B5493"/>
    <w:rsid w:val="00343214"/>
    <w:rsid w:val="00361C00"/>
    <w:rsid w:val="00387AB1"/>
    <w:rsid w:val="00395FA1"/>
    <w:rsid w:val="003E15D4"/>
    <w:rsid w:val="00411CCE"/>
    <w:rsid w:val="0041666E"/>
    <w:rsid w:val="00421060"/>
    <w:rsid w:val="00471C19"/>
    <w:rsid w:val="00472625"/>
    <w:rsid w:val="004867E3"/>
    <w:rsid w:val="00494A28"/>
    <w:rsid w:val="004A3BA6"/>
    <w:rsid w:val="004C0004"/>
    <w:rsid w:val="004C00F1"/>
    <w:rsid w:val="004C5D52"/>
    <w:rsid w:val="0050519A"/>
    <w:rsid w:val="00505467"/>
    <w:rsid w:val="005072A1"/>
    <w:rsid w:val="00514517"/>
    <w:rsid w:val="005436A6"/>
    <w:rsid w:val="00545827"/>
    <w:rsid w:val="005547BA"/>
    <w:rsid w:val="00560270"/>
    <w:rsid w:val="005C2568"/>
    <w:rsid w:val="005F1B17"/>
    <w:rsid w:val="006037C0"/>
    <w:rsid w:val="006527E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46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DC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531"/>
    <w:rsid w:val="00F5134D"/>
    <w:rsid w:val="00F60C9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6A502"/>
  <w15:chartTrackingRefBased/>
  <w15:docId w15:val="{0EA75A19-337B-42D5-8CE4-C511E793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3B54"/>
    <w:pPr>
      <w:spacing w:after="240"/>
      <w:ind w:left="567" w:hanging="567"/>
    </w:pPr>
  </w:style>
  <w:style w:type="paragraph" w:customStyle="1" w:styleId="EPComma">
    <w:name w:val="EPComma"/>
    <w:basedOn w:val="Normal"/>
    <w:rsid w:val="00133B54"/>
    <w:pPr>
      <w:spacing w:before="480" w:after="240"/>
    </w:pPr>
  </w:style>
  <w:style w:type="character" w:styleId="Hyperlink">
    <w:name w:val="Hyperlink"/>
    <w:basedOn w:val="DefaultParagraphFont"/>
    <w:uiPriority w:val="99"/>
    <w:rsid w:val="00133B54"/>
    <w:rPr>
      <w:color w:val="0563C1" w:themeColor="hyperlink"/>
      <w:u w:val="single"/>
    </w:rPr>
  </w:style>
  <w:style w:type="paragraph" w:customStyle="1" w:styleId="Action">
    <w:name w:val="Action"/>
    <w:basedOn w:val="Normal"/>
    <w:rsid w:val="00133B54"/>
    <w:pPr>
      <w:tabs>
        <w:tab w:val="left" w:pos="357"/>
      </w:tabs>
      <w:spacing w:after="240"/>
      <w:ind w:left="357" w:hanging="357"/>
    </w:pPr>
    <w:rPr>
      <w:lang w:eastAsia="en-US"/>
    </w:rPr>
  </w:style>
  <w:style w:type="paragraph" w:customStyle="1" w:styleId="FootnoteReference1">
    <w:name w:val="Footnote Reference1"/>
    <w:basedOn w:val="Normal"/>
    <w:link w:val="FootnoteReference"/>
    <w:rsid w:val="00133B54"/>
    <w:pPr>
      <w:widowControl/>
      <w:spacing w:after="160" w:line="240" w:lineRule="exact"/>
    </w:pPr>
    <w:rPr>
      <w:sz w:val="20"/>
      <w:vertAlign w:val="superscript"/>
      <w:lang w:val="en-GB"/>
    </w:rPr>
  </w:style>
  <w:style w:type="paragraph" w:customStyle="1" w:styleId="action0">
    <w:name w:val="action"/>
    <w:basedOn w:val="Normal"/>
    <w:rsid w:val="00133B54"/>
    <w:pPr>
      <w:widowControl/>
      <w:spacing w:after="240"/>
      <w:ind w:left="357" w:hanging="357"/>
    </w:pPr>
    <w:rPr>
      <w:rFonts w:eastAsiaTheme="minorHAnsi"/>
      <w:szCs w:val="24"/>
    </w:rPr>
  </w:style>
  <w:style w:type="paragraph" w:styleId="Revision">
    <w:name w:val="Revision"/>
    <w:hidden/>
    <w:uiPriority w:val="99"/>
    <w:semiHidden/>
    <w:rsid w:val="006527E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3827</Words>
  <Characters>23002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2026-04-30T14:01:00Z</dcterms:created>
  <dcterms:modified xsi:type="dcterms:W3CDTF">2026-04-30T14:01:00Z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A10-0124/2026</vt:lpwstr>
  </property>
  <property fmtid="{D5CDD505-2E9C-101B-9397-08002B2CF9AE}" pid="4" name="&lt;Type&gt;">
    <vt:lpwstr>RR</vt:lpwstr>
  </property>
</Properties>
</file>