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4A347C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7CB6" w:rsidP="0010095E" w14:paraId="3DB75BE3" w14:textId="77777777">
            <w:pPr>
              <w:pStyle w:val="EPName"/>
            </w:pPr>
            <w:r w:rsidRPr="00D87CB6">
              <w:t>Európai Parlament</w:t>
            </w:r>
          </w:p>
          <w:p w:rsidR="00751A4A" w:rsidRPr="00D87CB6" w:rsidP="005F1B17" w14:paraId="3E4CDF2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7CB6">
              <w:t>2024</w:t>
            </w:r>
            <w:r w:rsidRPr="00D87CB6" w:rsidR="00817416">
              <w:t>-202</w:t>
            </w:r>
            <w:r w:rsidRPr="00D87CB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87CB6" w:rsidP="0010095E" w14:paraId="26195374" w14:textId="77777777">
            <w:pPr>
              <w:pStyle w:val="EPLogo"/>
            </w:pPr>
            <w:r w:rsidRPr="00D87CB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7CB6" w:rsidP="004C5D52" w14:paraId="770597CC" w14:textId="77777777">
      <w:pPr>
        <w:pStyle w:val="LineTop"/>
      </w:pPr>
    </w:p>
    <w:p w:rsidR="00680577" w:rsidRPr="00D87CB6" w:rsidP="00680577" w14:paraId="2C9D6CA4" w14:textId="77777777">
      <w:pPr>
        <w:pStyle w:val="EPBodyTA1"/>
      </w:pPr>
      <w:r w:rsidRPr="00D87CB6">
        <w:t>ELFOGADOTT SZÖVEGEK</w:t>
      </w:r>
    </w:p>
    <w:p w:rsidR="00D058B8" w:rsidRPr="00D87CB6" w:rsidP="00D058B8" w14:paraId="2E5D890D" w14:textId="77777777">
      <w:pPr>
        <w:pStyle w:val="LineBottom"/>
      </w:pPr>
    </w:p>
    <w:p w:rsidR="004D64B8" w:rsidRPr="00D87CB6" w:rsidP="004D64B8" w14:paraId="555F7769" w14:textId="22DE7F08">
      <w:pPr>
        <w:pStyle w:val="ATHeading1"/>
      </w:pPr>
      <w:bookmarkStart w:id="0" w:name="TANumber"/>
      <w:r w:rsidRPr="00D87CB6">
        <w:t>P10_</w:t>
      </w:r>
      <w:r w:rsidRPr="00D87CB6">
        <w:t>TA(</w:t>
      </w:r>
      <w:r w:rsidRPr="00D87CB6">
        <w:t>2026)0</w:t>
      </w:r>
      <w:r w:rsidRPr="00D87CB6" w:rsidR="001035CC">
        <w:t>155</w:t>
      </w:r>
      <w:bookmarkEnd w:id="0"/>
    </w:p>
    <w:p w:rsidR="004D64B8" w:rsidRPr="00D87CB6" w:rsidP="004D64B8" w14:paraId="4A74E01E" w14:textId="77777777">
      <w:pPr>
        <w:pStyle w:val="ATHeading2"/>
      </w:pPr>
      <w:bookmarkStart w:id="1" w:name="title"/>
      <w:r w:rsidRPr="00D87CB6">
        <w:t xml:space="preserve">A 2027. évi pénzügyi évre tervezett bevételek és kiadások – I. szakasz – Európai Parlament </w:t>
      </w:r>
      <w:bookmarkEnd w:id="1"/>
    </w:p>
    <w:p w:rsidR="004D64B8" w:rsidRPr="00D87CB6" w:rsidP="004D64B8" w14:paraId="00C6CB19" w14:textId="77777777">
      <w:pPr>
        <w:rPr>
          <w:i/>
          <w:vanish/>
        </w:rPr>
      </w:pPr>
      <w:r>
        <w:rPr>
          <w:i/>
        </w:rPr>
        <w:fldChar w:fldCharType="begin"/>
      </w:r>
      <w:r w:rsidRPr="00D87CB6">
        <w:rPr>
          <w:i/>
        </w:rPr>
        <w:instrText xml:space="preserve"> TC"(</w:instrText>
      </w:r>
      <w:bookmarkStart w:id="2" w:name="DocNumber"/>
      <w:r w:rsidRPr="00D87CB6">
        <w:rPr>
          <w:i/>
        </w:rPr>
        <w:instrText>A10-0124/2026</w:instrText>
      </w:r>
      <w:bookmarkEnd w:id="2"/>
      <w:r w:rsidRPr="00D87CB6">
        <w:rPr>
          <w:i/>
        </w:rPr>
        <w:instrText xml:space="preserve"> - Előadó: </w:instrText>
      </w:r>
      <w:r w:rsidRPr="00D87CB6">
        <w:rPr>
          <w:i/>
        </w:rPr>
        <w:instrText>Michalis</w:instrText>
      </w:r>
      <w:r w:rsidRPr="00D87CB6">
        <w:rPr>
          <w:i/>
        </w:rPr>
        <w:instrText xml:space="preserve"> </w:instrText>
      </w:r>
      <w:r w:rsidRPr="00D87CB6">
        <w:rPr>
          <w:i/>
        </w:rPr>
        <w:instrText>Hadjipantela</w:instrText>
      </w:r>
      <w:r w:rsidRPr="00D87CB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D64B8" w:rsidRPr="00D87CB6" w:rsidP="004D64B8" w14:paraId="656A3CA5" w14:textId="77777777">
      <w:pPr>
        <w:rPr>
          <w:vanish/>
        </w:rPr>
      </w:pPr>
      <w:bookmarkStart w:id="3" w:name="Commission"/>
      <w:r w:rsidRPr="00D87CB6">
        <w:rPr>
          <w:vanish/>
        </w:rPr>
        <w:t>Költségvetési Bizottság</w:t>
      </w:r>
      <w:bookmarkEnd w:id="3"/>
    </w:p>
    <w:p w:rsidR="004D64B8" w:rsidRPr="00D87CB6" w:rsidP="004D64B8" w14:paraId="37A5797C" w14:textId="77777777">
      <w:pPr>
        <w:rPr>
          <w:vanish/>
        </w:rPr>
      </w:pPr>
      <w:bookmarkStart w:id="4" w:name="PE"/>
      <w:r w:rsidRPr="00D87CB6">
        <w:rPr>
          <w:vanish/>
        </w:rPr>
        <w:t>PE785.303</w:t>
      </w:r>
      <w:bookmarkEnd w:id="4"/>
    </w:p>
    <w:p w:rsidR="004D64B8" w:rsidRPr="00D87CB6" w:rsidP="004D64B8" w14:paraId="62324C6E" w14:textId="276FD40E">
      <w:pPr>
        <w:pStyle w:val="ATHeading3"/>
      </w:pPr>
      <w:bookmarkStart w:id="5" w:name="Sujet"/>
      <w:r w:rsidRPr="00D87CB6">
        <w:t xml:space="preserve">Az Európai Parlament 2026. </w:t>
      </w:r>
      <w:r w:rsidRPr="00D87CB6" w:rsidR="00942350">
        <w:t>április 30</w:t>
      </w:r>
      <w:r w:rsidRPr="00D87CB6">
        <w:t>-i állásfoglalása az Európai Parlament 2027. évi pénzügyi évre tervezett bevételeiről és kiadásairól</w:t>
      </w:r>
      <w:bookmarkEnd w:id="5"/>
      <w:r w:rsidRPr="00D87CB6">
        <w:t xml:space="preserve"> </w:t>
      </w:r>
      <w:bookmarkStart w:id="6" w:name="References"/>
      <w:r w:rsidRPr="00D87CB6">
        <w:t>(2025/2247(BUI))</w:t>
      </w:r>
      <w:bookmarkEnd w:id="6"/>
    </w:p>
    <w:p w:rsidR="007F6E0C" w:rsidRPr="00D87CB6" w:rsidP="007F6E0C" w14:paraId="174FA7F3" w14:textId="77777777">
      <w:pPr>
        <w:pStyle w:val="Institutionquiagit"/>
        <w:spacing w:before="480"/>
        <w:rPr>
          <w:i w:val="0"/>
        </w:rPr>
      </w:pPr>
      <w:bookmarkStart w:id="7" w:name="TextBodyBegin"/>
      <w:bookmarkEnd w:id="7"/>
      <w:r w:rsidRPr="00D87CB6">
        <w:t>Az Európai Parlament,</w:t>
      </w:r>
    </w:p>
    <w:p w:rsidR="007F6E0C" w:rsidRPr="00D87CB6" w:rsidP="00942350" w14:paraId="65EAD4BD" w14:textId="77777777">
      <w:pPr>
        <w:pStyle w:val="Action"/>
        <w:widowControl/>
        <w:tabs>
          <w:tab w:val="clear" w:pos="357"/>
        </w:tabs>
        <w:ind w:left="567" w:hanging="567"/>
      </w:pPr>
      <w:r w:rsidRPr="00D87CB6">
        <w:t>–</w:t>
      </w:r>
      <w:r w:rsidRPr="00D87CB6">
        <w:tab/>
        <w:t>tekintettel az Európai Unió működéséről szóló szerződés 314. cikkére,</w:t>
      </w:r>
    </w:p>
    <w:p w:rsidR="007F6E0C" w:rsidRPr="00D87CB6" w:rsidP="00A44EF6" w14:paraId="7CF05117" w14:textId="49143CA8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–</w:t>
      </w:r>
      <w:r w:rsidRPr="00D87CB6">
        <w:rPr>
          <w:color w:val="000000"/>
        </w:rPr>
        <w:tab/>
        <w:t>tekintettel az Unió általános költségvetésére alkalmazandó pénzügyi szabályokról szóló, 2024. szeptember 23-i (EU, Euratom) 2024/2509 európai parlamenti és tanácsi rendeletre (átdolgozás)</w:t>
      </w:r>
      <w:r>
        <w:rPr>
          <w:color w:val="000000"/>
          <w:vertAlign w:val="superscript"/>
        </w:rPr>
        <w:footnoteReference w:id="2"/>
      </w:r>
      <w:r w:rsidRPr="00D87CB6">
        <w:rPr>
          <w:color w:val="000000"/>
        </w:rPr>
        <w:t xml:space="preserve"> (a </w:t>
      </w:r>
      <w:r w:rsidRPr="00D87CB6" w:rsidR="00A44EF6">
        <w:rPr>
          <w:color w:val="000000"/>
        </w:rPr>
        <w:t>továbbiakban</w:t>
      </w:r>
      <w:r w:rsidRPr="00D87CB6" w:rsidR="001F56BE">
        <w:rPr>
          <w:color w:val="000000"/>
        </w:rPr>
        <w:t>:</w:t>
      </w:r>
      <w:r w:rsidRPr="00D87CB6" w:rsidR="003C0F4A">
        <w:rPr>
          <w:color w:val="000000"/>
        </w:rPr>
        <w:t xml:space="preserve"> </w:t>
      </w:r>
      <w:r w:rsidRPr="00D87CB6" w:rsidR="001F56BE">
        <w:rPr>
          <w:color w:val="000000"/>
        </w:rPr>
        <w:t xml:space="preserve">a </w:t>
      </w:r>
      <w:r w:rsidRPr="00D87CB6">
        <w:rPr>
          <w:color w:val="000000"/>
        </w:rPr>
        <w:t>költségvetési rendelet),</w:t>
      </w:r>
    </w:p>
    <w:p w:rsidR="007F6E0C" w:rsidRPr="00D87CB6" w:rsidP="00942350" w14:paraId="2A63D7EB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–</w:t>
      </w:r>
      <w:r w:rsidRPr="00D87CB6">
        <w:rPr>
          <w:color w:val="000000"/>
        </w:rPr>
        <w:tab/>
      </w:r>
      <w:r w:rsidRPr="00D87CB6">
        <w:t xml:space="preserve">tekintettel a 2021–2027-es időszakra vonatkozó </w:t>
      </w:r>
      <w:sdt>
        <w:sdtPr>
          <w:tag w:val="goog_rdk_0"/>
          <w:id w:val="399490220"/>
          <w:richText/>
        </w:sdtPr>
        <w:sdtContent/>
      </w:sdt>
      <w:sdt>
        <w:sdtPr>
          <w:tag w:val="goog_rdk_1"/>
          <w:id w:val="-2088213729"/>
          <w:richText/>
        </w:sdtPr>
        <w:sdtContent/>
      </w:sdt>
      <w:r w:rsidRPr="00D87CB6">
        <w:t>többéves pénzügyi keretről szóló, 2020. december 17-i (EU, Euratom) 2020/2093 tanácsi rendeletre</w:t>
      </w:r>
      <w:r>
        <w:rPr>
          <w:color w:val="000000"/>
          <w:vertAlign w:val="superscript"/>
        </w:rPr>
        <w:footnoteReference w:id="3"/>
      </w:r>
      <w:r w:rsidRPr="00D87CB6">
        <w:t>, valamint a Parlament, a Tanács és a Bizottság által ezzel összefüggésben elfogadott együttes nyilatkozatra</w:t>
      </w:r>
      <w:r>
        <w:rPr>
          <w:color w:val="000000"/>
          <w:vertAlign w:val="superscript"/>
        </w:rPr>
        <w:footnoteReference w:id="4"/>
      </w:r>
      <w:r w:rsidRPr="00D87CB6">
        <w:t xml:space="preserve"> és a kapcsolódó egyoldalú nyilatkozatokra</w:t>
      </w:r>
      <w:r>
        <w:rPr>
          <w:color w:val="000000"/>
          <w:vertAlign w:val="superscript"/>
        </w:rPr>
        <w:footnoteReference w:id="5"/>
      </w:r>
      <w:r w:rsidRPr="00D87CB6">
        <w:t>,</w:t>
      </w:r>
    </w:p>
    <w:p w:rsidR="007F6E0C" w:rsidRPr="00D87CB6" w:rsidP="00942350" w14:paraId="535F0FE3" w14:textId="77777777">
      <w:pPr>
        <w:widowControl/>
        <w:spacing w:after="240"/>
        <w:ind w:left="567" w:hanging="567"/>
        <w:rPr>
          <w:color w:val="000000" w:themeColor="text1"/>
        </w:rPr>
      </w:pPr>
      <w:r w:rsidRPr="00D87CB6">
        <w:rPr>
          <w:color w:val="000000"/>
        </w:rPr>
        <w:t>–</w:t>
      </w:r>
      <w:r w:rsidRPr="00D87CB6">
        <w:rPr>
          <w:color w:val="000000"/>
        </w:rPr>
        <w:tab/>
        <w:t>tekintettel a 2021–2027-es időszakra vonatkozó többéves pénzügyi keretről szóló (EU, Euratom) 2020/2093 rendelet módosításáról szóló, 2022. december 15-i (EU, Euratom) 2022/2496 tanácsi rendeletre</w:t>
      </w:r>
      <w:r>
        <w:rPr>
          <w:color w:val="000000"/>
          <w:vertAlign w:val="superscript"/>
        </w:rPr>
        <w:footnoteReference w:id="6"/>
      </w:r>
      <w:r w:rsidRPr="00D87CB6">
        <w:rPr>
          <w:color w:val="000000"/>
        </w:rPr>
        <w:t>,</w:t>
      </w:r>
    </w:p>
    <w:p w:rsidR="007F6E0C" w:rsidRPr="00D87CB6" w:rsidP="00942350" w14:paraId="00F1562E" w14:textId="22D2D862">
      <w:pPr>
        <w:widowControl/>
        <w:spacing w:after="240"/>
        <w:ind w:left="567" w:hanging="567"/>
      </w:pPr>
      <w:r w:rsidRPr="00D87CB6">
        <w:t>–</w:t>
      </w:r>
      <w:r w:rsidRPr="00D87CB6">
        <w:tab/>
      </w:r>
      <w:r w:rsidRPr="00D87CB6">
        <w:rPr>
          <w:color w:val="000000"/>
        </w:rPr>
        <w:t>tekintettel a 2021–2027-es időszakra vonatkozó többéves pénzügyi keretről szóló (EU, Euratom) 2020/2093 rendelet módosításáról szóló (EU, Euratom) 2024/765 tanácsi rendeletre</w:t>
      </w:r>
      <w:r>
        <w:rPr>
          <w:rStyle w:val="FootnoteReference"/>
          <w:color w:val="000000"/>
        </w:rPr>
        <w:footnoteReference w:id="7"/>
      </w:r>
      <w:r w:rsidRPr="00D87CB6">
        <w:rPr>
          <w:color w:val="000000"/>
        </w:rPr>
        <w:t xml:space="preserve"> (</w:t>
      </w:r>
      <w:r w:rsidRPr="00D87CB6" w:rsidR="001F56BE">
        <w:rPr>
          <w:color w:val="000000"/>
        </w:rPr>
        <w:t>a tová</w:t>
      </w:r>
      <w:r w:rsidRPr="00D87CB6" w:rsidR="00413FFF">
        <w:rPr>
          <w:color w:val="000000"/>
        </w:rPr>
        <w:t xml:space="preserve">bbiakban: </w:t>
      </w:r>
      <w:r w:rsidRPr="00D87CB6">
        <w:rPr>
          <w:color w:val="000000"/>
        </w:rPr>
        <w:t>a többéves pénzügyi keret felülvizsgálata),</w:t>
      </w:r>
    </w:p>
    <w:p w:rsidR="007F6E0C" w:rsidRPr="00D87CB6" w:rsidP="00942350" w14:paraId="4583C69A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–</w:t>
      </w:r>
      <w:r w:rsidRPr="00D87CB6">
        <w:rPr>
          <w:color w:val="000000"/>
        </w:rPr>
        <w:tab/>
        <w:t xml:space="preserve">tekintettel az Európai Parlament, az Európai Unió Tanácsa és az Európai Bizottság közötti, a költségvetési fegyelemről, a költségvetési ügyekben való együttműködésről és </w:t>
      </w:r>
      <w:r w:rsidRPr="00D87CB6">
        <w:rPr>
          <w:color w:val="000000"/>
        </w:rPr>
        <w:t>a hatékony és eredményes pénzgazdálkodásról, valamint az új saját forrásokról és az új saját források bevezetésére vonatkozó ütemtervről szóló, 2020. december 16-i intézményközi megállapodásra</w:t>
      </w:r>
      <w:r>
        <w:rPr>
          <w:color w:val="000000"/>
          <w:vertAlign w:val="superscript"/>
        </w:rPr>
        <w:footnoteReference w:id="8"/>
      </w:r>
      <w:r w:rsidRPr="00D87CB6">
        <w:rPr>
          <w:color w:val="000000"/>
        </w:rPr>
        <w:t>,</w:t>
      </w:r>
    </w:p>
    <w:p w:rsidR="007F6E0C" w:rsidRPr="00D87CB6" w:rsidP="00942350" w14:paraId="6B66DC02" w14:textId="77777777">
      <w:pPr>
        <w:widowControl/>
        <w:spacing w:after="240"/>
        <w:ind w:left="567" w:hanging="567"/>
      </w:pPr>
      <w:r w:rsidRPr="00D87CB6">
        <w:t>–</w:t>
      </w:r>
      <w:r w:rsidRPr="00D87CB6">
        <w:tab/>
        <w:t>tekintettel a 2021–2027 közötti időszakra vonatkozó többéves pénzügyi keretről szóló tanácsi rendelet tervezetéről szóló, 2020. december 16-i állásfoglalására</w:t>
      </w:r>
      <w:r>
        <w:rPr>
          <w:vertAlign w:val="superscript"/>
        </w:rPr>
        <w:footnoteReference w:id="9"/>
      </w:r>
      <w:r w:rsidRPr="00D87CB6">
        <w:t>,</w:t>
      </w:r>
    </w:p>
    <w:p w:rsidR="007F6E0C" w:rsidRPr="00D87CB6" w:rsidP="00942350" w14:paraId="64132AC4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–</w:t>
      </w:r>
      <w:r w:rsidRPr="00D87CB6">
        <w:rPr>
          <w:color w:val="000000"/>
        </w:rPr>
        <w:tab/>
        <w:t xml:space="preserve">tekintettel „A 2021–2027-re szóló többéves pénzügyi keret bővítéséről: az új kihívásoknak megfelelő, </w:t>
      </w:r>
      <w:r w:rsidRPr="00D87CB6">
        <w:rPr>
          <w:color w:val="000000"/>
        </w:rPr>
        <w:t>reziliens</w:t>
      </w:r>
      <w:r w:rsidRPr="00D87CB6">
        <w:rPr>
          <w:color w:val="000000"/>
        </w:rPr>
        <w:t xml:space="preserve"> uniós költségvetés” című, 2022. december 15-i állásfoglalására</w:t>
      </w:r>
      <w:r>
        <w:rPr>
          <w:color w:val="000000"/>
          <w:vertAlign w:val="superscript"/>
        </w:rPr>
        <w:footnoteReference w:id="10"/>
      </w:r>
      <w:r w:rsidRPr="00D87CB6">
        <w:rPr>
          <w:color w:val="000000"/>
        </w:rPr>
        <w:t>,</w:t>
      </w:r>
    </w:p>
    <w:p w:rsidR="007F6E0C" w:rsidRPr="00D87CB6" w:rsidP="00942350" w14:paraId="4E5C8CBA" w14:textId="77777777">
      <w:pPr>
        <w:widowControl/>
        <w:spacing w:after="240"/>
        <w:ind w:left="567" w:hanging="567"/>
      </w:pPr>
      <w:r w:rsidRPr="00D87CB6">
        <w:t>–</w:t>
      </w:r>
      <w:r w:rsidRPr="00D87CB6">
        <w:tab/>
        <w:t>tekintettel a 2021–2027-es időszakra vonatkozó többéves pénzügyi keret félidős felülvizsgálatára irányuló javaslatról szóló, 2023. október 3-i állásfoglalására</w:t>
      </w:r>
      <w:r>
        <w:rPr>
          <w:vertAlign w:val="superscript"/>
        </w:rPr>
        <w:footnoteReference w:id="11"/>
      </w:r>
      <w:r w:rsidRPr="00D87CB6">
        <w:t>,</w:t>
      </w:r>
    </w:p>
    <w:p w:rsidR="007F6E0C" w:rsidRPr="00D87CB6" w:rsidP="00942350" w14:paraId="4F8F8825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–</w:t>
      </w:r>
      <w:r w:rsidRPr="00D87CB6">
        <w:rPr>
          <w:color w:val="000000"/>
        </w:rPr>
        <w:tab/>
        <w:t>tekintettel a 2021–2027-es időszakra vonatkozó többéves pénzügyi keretről szóló (EU, Euratom) 2020/2093 rendelet módosítására irányuló tanácsi rendelet tervezetéről szóló, 2024. február 27-i állásfoglalására</w:t>
      </w:r>
      <w:r>
        <w:rPr>
          <w:color w:val="000000"/>
          <w:vertAlign w:val="superscript"/>
        </w:rPr>
        <w:footnoteReference w:id="12"/>
      </w:r>
      <w:r w:rsidRPr="00D87CB6">
        <w:rPr>
          <w:color w:val="000000"/>
        </w:rPr>
        <w:t>,</w:t>
      </w:r>
    </w:p>
    <w:p w:rsidR="007F6E0C" w:rsidRPr="00D87CB6" w:rsidP="00942350" w14:paraId="5066E5B5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–</w:t>
      </w:r>
      <w:r w:rsidRPr="00D87CB6">
        <w:rPr>
          <w:color w:val="000000"/>
        </w:rPr>
        <w:tab/>
      </w:r>
      <w:r w:rsidRPr="00D87CB6">
        <w:t>tekintettel az Európai Unió 2026. évi pénzügyi évre vonatkozó általános költségvetésére, amelyet 2025. november 26-án fogadtak el véglegesen</w:t>
      </w:r>
      <w:r>
        <w:rPr>
          <w:color w:val="000000"/>
          <w:vertAlign w:val="superscript"/>
        </w:rPr>
        <w:footnoteReference w:id="13"/>
      </w:r>
      <w:r w:rsidRPr="00D87CB6">
        <w:t>, és az ahhoz csatolt, a Parlament, a Tanács és a Bizottság által elfogadott együttes nyilatkozatokra,</w:t>
      </w:r>
    </w:p>
    <w:p w:rsidR="007F6E0C" w:rsidRPr="00D87CB6" w:rsidP="00942350" w14:paraId="16872AAC" w14:textId="0DC3E1D3">
      <w:pPr>
        <w:pStyle w:val="Action"/>
        <w:widowControl/>
        <w:tabs>
          <w:tab w:val="clear" w:pos="357"/>
        </w:tabs>
        <w:ind w:left="567" w:hanging="567"/>
      </w:pPr>
      <w:r w:rsidRPr="00D87CB6">
        <w:t>–</w:t>
      </w:r>
      <w:r w:rsidRPr="00D87CB6">
        <w:tab/>
        <w:t>tekintettel a Parlament 2027. évi pénzügyi évre vonatkozó előzetes költségvetési javaslattervezetének kidolgozása céljából a főtitkár által az Elnökség</w:t>
      </w:r>
      <w:r w:rsidRPr="00D87CB6" w:rsidR="00280F05">
        <w:t xml:space="preserve"> részére készített</w:t>
      </w:r>
      <w:r w:rsidRPr="00D87CB6">
        <w:t xml:space="preserve"> jelentésre,</w:t>
      </w:r>
    </w:p>
    <w:p w:rsidR="007F6E0C" w:rsidRPr="00D87CB6" w:rsidP="00942350" w14:paraId="5A7CBAC3" w14:textId="2EBB144D">
      <w:pPr>
        <w:pStyle w:val="Action"/>
        <w:widowControl/>
        <w:tabs>
          <w:tab w:val="clear" w:pos="357"/>
        </w:tabs>
        <w:ind w:left="567" w:hanging="567"/>
      </w:pPr>
      <w:r w:rsidRPr="00D87CB6">
        <w:t>–</w:t>
      </w:r>
      <w:r w:rsidRPr="00D87CB6">
        <w:tab/>
        <w:t xml:space="preserve">tekintettel az Elnökség által 2026. március 9-én, az eljárási szabályzat 25. cikkének (7) bekezdése és 104. cikkének (1) bekezdése </w:t>
      </w:r>
      <w:r w:rsidRPr="00D87CB6" w:rsidR="00280F05">
        <w:t xml:space="preserve">alapján </w:t>
      </w:r>
      <w:r w:rsidRPr="00D87CB6">
        <w:t>elkészített, előzetes költségvetési javaslattervezetre,</w:t>
      </w:r>
    </w:p>
    <w:p w:rsidR="007F6E0C" w:rsidRPr="00D87CB6" w:rsidP="00942350" w14:paraId="7E15A01B" w14:textId="77777777">
      <w:pPr>
        <w:pStyle w:val="Action"/>
        <w:widowControl/>
        <w:tabs>
          <w:tab w:val="clear" w:pos="357"/>
        </w:tabs>
        <w:ind w:left="567" w:hanging="567"/>
      </w:pPr>
      <w:r w:rsidRPr="00D87CB6">
        <w:t>–</w:t>
      </w:r>
      <w:r w:rsidRPr="00D87CB6">
        <w:tab/>
        <w:t>tekintettel a Költségvetési Bizottság által az eljárási szabályzat 104. cikkének (2) bekezdése értelmében elkészített költségvetési javaslattervezetre,</w:t>
      </w:r>
    </w:p>
    <w:p w:rsidR="007F6E0C" w:rsidRPr="00D87CB6" w:rsidP="00942350" w14:paraId="1EAC20C6" w14:textId="77777777">
      <w:pPr>
        <w:pStyle w:val="Action"/>
        <w:widowControl/>
        <w:tabs>
          <w:tab w:val="clear" w:pos="357"/>
        </w:tabs>
        <w:ind w:left="567" w:hanging="567"/>
      </w:pPr>
      <w:r w:rsidRPr="00D87CB6">
        <w:t>–</w:t>
      </w:r>
      <w:r w:rsidRPr="00D87CB6">
        <w:tab/>
        <w:t>tekintettel eljárási szabályzata 104. cikkére,</w:t>
      </w:r>
    </w:p>
    <w:p w:rsidR="007F6E0C" w:rsidRPr="00D87CB6" w:rsidP="00942350" w14:paraId="4C72143C" w14:textId="77777777">
      <w:pPr>
        <w:pStyle w:val="Action"/>
        <w:widowControl/>
        <w:tabs>
          <w:tab w:val="clear" w:pos="357"/>
        </w:tabs>
        <w:ind w:left="567" w:hanging="567"/>
      </w:pPr>
      <w:r w:rsidRPr="00D87CB6">
        <w:t>–</w:t>
      </w:r>
      <w:r w:rsidRPr="00D87CB6">
        <w:tab/>
        <w:t>tekintettel a Költségvetési Bizottság jelentésére (A10-0124/2026),</w:t>
      </w:r>
    </w:p>
    <w:p w:rsidR="007F6E0C" w:rsidRPr="00D87CB6" w:rsidP="00942350" w14:paraId="4F7F2680" w14:textId="77777777">
      <w:pPr>
        <w:pStyle w:val="Action"/>
        <w:widowControl/>
        <w:tabs>
          <w:tab w:val="clear" w:pos="357"/>
        </w:tabs>
        <w:ind w:left="567" w:hanging="567"/>
      </w:pPr>
      <w:r w:rsidRPr="00D87CB6">
        <w:t>A.</w:t>
      </w:r>
      <w:r w:rsidRPr="00D87CB6">
        <w:tab/>
        <w:t>mivel a főtitkár által a Parlament 2027. évi előzetes költségvetési javaslattervezetében 2026. február 9-én javasolt költségvetés 2 665 474 853 EUR, ami a 2026. évi költségvetéshez képest 2,33 %-os, azaz 60 618 266 EUR összegű növekedést jelent;</w:t>
      </w:r>
    </w:p>
    <w:p w:rsidR="007F6E0C" w:rsidRPr="00D87CB6" w:rsidP="00942350" w14:paraId="5BF4DB22" w14:textId="5A068DBC">
      <w:pPr>
        <w:pStyle w:val="Action"/>
        <w:widowControl/>
        <w:tabs>
          <w:tab w:val="clear" w:pos="357"/>
        </w:tabs>
        <w:ind w:left="567" w:hanging="567"/>
      </w:pPr>
      <w:r w:rsidRPr="00D87CB6">
        <w:t>B.</w:t>
      </w:r>
      <w:r w:rsidRPr="00D87CB6">
        <w:tab/>
        <w:t xml:space="preserve">mivel a főtitkár által javasolt 2,33 %-os növekedés a pénzügyi </w:t>
      </w:r>
      <w:r w:rsidRPr="00D87CB6" w:rsidR="009E2171">
        <w:t xml:space="preserve">jogszabályi </w:t>
      </w:r>
      <w:r w:rsidRPr="00D87CB6">
        <w:t>kötelezettségek 2,01 %-os és a nem jogszabályban előírt kiadások 2,89 %-os növekedésének tudható be;</w:t>
      </w:r>
    </w:p>
    <w:p w:rsidR="007F6E0C" w:rsidRPr="00D87CB6" w:rsidP="00942350" w14:paraId="5B879100" w14:textId="77777777">
      <w:pPr>
        <w:pStyle w:val="Action"/>
        <w:widowControl/>
        <w:tabs>
          <w:tab w:val="clear" w:pos="357"/>
        </w:tabs>
        <w:ind w:left="567" w:hanging="567"/>
      </w:pPr>
      <w:r w:rsidRPr="00D87CB6">
        <w:t>C.</w:t>
      </w:r>
      <w:r w:rsidRPr="00D87CB6">
        <w:tab/>
        <w:t>mivel az Eurostat szerint az Unióban az éves inflációs ráta a 2024. decemberi 2,7 %-hoz képest 2025 decemberében 2,3 %-</w:t>
      </w:r>
      <w:r w:rsidRPr="00D87CB6">
        <w:t>ra</w:t>
      </w:r>
      <w:r w:rsidRPr="00D87CB6">
        <w:t xml:space="preserve"> csökkent; mivel a 2021–2027-es időszakra vonatkozó többéves pénzügyi keret 7. fejezetében szereplő kiadások szintje évi 2 %-os növekedésen alapul;</w:t>
      </w:r>
    </w:p>
    <w:p w:rsidR="007F6E0C" w:rsidRPr="00D87CB6" w:rsidP="00942350" w14:paraId="7AD28B2E" w14:textId="77777777">
      <w:pPr>
        <w:pStyle w:val="Action"/>
        <w:widowControl/>
        <w:tabs>
          <w:tab w:val="clear" w:pos="357"/>
        </w:tabs>
        <w:ind w:left="567" w:hanging="567"/>
      </w:pPr>
      <w:r w:rsidRPr="00D87CB6">
        <w:t>D.</w:t>
      </w:r>
      <w:r w:rsidRPr="00D87CB6">
        <w:tab/>
        <w:t>mivel a Parlament hitelessége attól függ, hogy képes-e a legmagasabb színvonalon teljesíteni alapvető költségvetési, jogalkotási és ellenőrzési munkáját, miközben példát mutat a többi uniós intézménynek abban, hogy kiadásait körültekintően és hatékonyan tervezi és irányítja, igazodva a fennálló gazdasági realitásokhoz;</w:t>
      </w:r>
    </w:p>
    <w:p w:rsidR="007F6E0C" w:rsidRPr="00D87CB6" w:rsidP="00942350" w14:paraId="7A327046" w14:textId="77777777">
      <w:pPr>
        <w:pStyle w:val="NormalHanging12a"/>
        <w:widowControl/>
        <w:rPr>
          <w:b/>
          <w:i/>
        </w:rPr>
      </w:pPr>
      <w:r w:rsidRPr="00D87CB6">
        <w:rPr>
          <w:b/>
          <w:i/>
        </w:rPr>
        <w:t>Általános keret</w:t>
      </w:r>
    </w:p>
    <w:p w:rsidR="007F6E0C" w:rsidRPr="00D87CB6" w:rsidP="00942350" w14:paraId="7C0A2456" w14:textId="12D96C98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1.</w:t>
      </w:r>
      <w:r w:rsidRPr="00D87CB6">
        <w:rPr>
          <w:color w:val="000000"/>
        </w:rPr>
        <w:tab/>
        <w:t>aggodalmát fejezi ki a jelenlegi többéves pénzügyi keret 7. fejezetének helyzete miatt; emlékeztet arra, hogy a megszorítások okai azok</w:t>
      </w:r>
      <w:r w:rsidRPr="00D87CB6" w:rsidR="00280F05">
        <w:rPr>
          <w:color w:val="000000"/>
        </w:rPr>
        <w:t xml:space="preserve"> a csökkentések, amelyeket</w:t>
      </w:r>
      <w:r w:rsidRPr="00D87CB6">
        <w:rPr>
          <w:color w:val="000000"/>
        </w:rPr>
        <w:t xml:space="preserve"> a 2021–2027-es időszakra vonatkozó többéves pénzügyi keretről való megállapodáskor </w:t>
      </w:r>
      <w:r w:rsidRPr="00D87CB6" w:rsidR="00280F05">
        <w:rPr>
          <w:color w:val="000000"/>
        </w:rPr>
        <w:t xml:space="preserve">a Bizottság által </w:t>
      </w:r>
      <w:r w:rsidRPr="00D87CB6">
        <w:rPr>
          <w:color w:val="000000"/>
        </w:rPr>
        <w:t>eredetileg javasolt, már akkor is nagyon alacsony összegre</w:t>
      </w:r>
      <w:r w:rsidRPr="00D87CB6" w:rsidR="00280F05">
        <w:rPr>
          <w:color w:val="000000"/>
        </w:rPr>
        <w:t xml:space="preserve"> a Tanács alkalmazott</w:t>
      </w:r>
      <w:r w:rsidRPr="00D87CB6">
        <w:rPr>
          <w:color w:val="000000"/>
        </w:rPr>
        <w:t xml:space="preserve">, valamint a több éven keresztül a vártnál magasabb infláció halmozott hatása; sajnálatát fejezi ki amiatt, hogy a Tanács ellenzi a Bizottság azon javaslatát, hogy 2024-től emeljék meg a 7. fejezet felső határát a többéves pénzügyi keret felülvizsgálata során; rámutat arra, hogy a többéves pénzügyi keret felülvizsgálata során nem foglalkoztak a 7. fejezet felső határának kérdésével; kiemeli, hogy a 2027-re előre jelzett negatív mozgástér feltételezi a 7. fejezet speciális eszközeinek </w:t>
      </w:r>
      <w:r w:rsidRPr="00D87CB6" w:rsidR="00D8347D">
        <w:rPr>
          <w:color w:val="000000"/>
        </w:rPr>
        <w:t>az említett</w:t>
      </w:r>
      <w:r w:rsidRPr="00D87CB6">
        <w:rPr>
          <w:color w:val="000000"/>
        </w:rPr>
        <w:t xml:space="preserve"> célra történő felhasználását; hangsúlyozza, hogy a speciális eszközöket továbbra is csak kivételes jelleggel, megfelelő indokokkal és kizárólag előre nem látható körülmények esetén szabad igénybe venni;</w:t>
      </w:r>
    </w:p>
    <w:p w:rsidR="007F6E0C" w:rsidRPr="00D87CB6" w:rsidP="00942350" w14:paraId="2C2101A3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2.</w:t>
      </w:r>
      <w:r w:rsidRPr="00D87CB6">
        <w:rPr>
          <w:color w:val="000000"/>
        </w:rPr>
        <w:tab/>
        <w:t xml:space="preserve">támogatja az Elnökség és a Költségvetési Bizottság között az egyeztetés során 2026. április 15-én elért megállapodást, amely szerint a 2026-os költségvetéshez képest a növekedést 1,98 %-ban állapítják meg, ami a 2027-re tervezett 2 656 435 753 EUR összegű átfogó költségvetési szintnek felel meg, és ennek megfelelően csökkentik az alábbi költségvetési sorokra javasolt előirányzatokat összesen 10 554 000 EUR-val: </w:t>
      </w:r>
    </w:p>
    <w:p w:rsidR="007F6E0C" w:rsidRPr="00D87CB6" w:rsidP="0027245E" w14:paraId="09489094" w14:textId="77777777">
      <w:pPr>
        <w:widowControl/>
        <w:spacing w:after="240"/>
        <w:ind w:left="567"/>
        <w:rPr>
          <w:color w:val="000000"/>
        </w:rPr>
      </w:pPr>
      <w:r w:rsidRPr="00D87CB6">
        <w:rPr>
          <w:color w:val="000000"/>
        </w:rPr>
        <w:t xml:space="preserve">1 0 0 6 — Általános költségtérítés, 1 4 0 5 01 — Tolmácsolási kiadások: külső tolmácsolás, 1 4 2 — Külső fordítási szolgáltatások, 1 6 1 2 07 — Tanulás és fejlesztés: külső képzés – DG ITEC, 2 0 0 7 04 — Építkezések és épületek belső kialakítása: Kapcsolattartó irodák/Európa-élményközpontok, 2 1 0 0 02 – Informatikai irányítás és </w:t>
      </w:r>
      <w:r w:rsidRPr="00D87CB6">
        <w:rPr>
          <w:color w:val="000000"/>
        </w:rPr>
        <w:t>kiberbiztonság</w:t>
      </w:r>
      <w:r w:rsidRPr="00D87CB6">
        <w:rPr>
          <w:color w:val="000000"/>
        </w:rPr>
        <w:t xml:space="preserve"> – IKT-biztonság, kockázatok és megfelelés, </w:t>
      </w:r>
      <w:bookmarkStart w:id="8" w:name="_Hlk228444280"/>
      <w:r w:rsidRPr="00D87CB6">
        <w:rPr>
          <w:color w:val="000000"/>
        </w:rPr>
        <w:t xml:space="preserve">2 1 0 0 03 – Informatikai irányítás és </w:t>
      </w:r>
      <w:r w:rsidRPr="00D87CB6">
        <w:rPr>
          <w:color w:val="000000"/>
        </w:rPr>
        <w:t>kiberbiztonság</w:t>
      </w:r>
      <w:r w:rsidRPr="00D87CB6">
        <w:rPr>
          <w:color w:val="000000"/>
        </w:rPr>
        <w:t xml:space="preserve"> – Kialakulóban lévő technológia</w:t>
      </w:r>
      <w:bookmarkEnd w:id="8"/>
      <w:r w:rsidRPr="00D87CB6">
        <w:rPr>
          <w:color w:val="000000"/>
        </w:rPr>
        <w:t xml:space="preserve">, 2 1 0 1 02 – Üzleti alkalmazások kezelése – Informatikai megoldások megvalósítása, 2 1 0 1 13 – Üzleti alkalmazások kezelése – DG FINS, 2 1 0 2 03 – Infrastruktúra és üzemeltetés – Távközlés, 2 1 0 2 04 – Infrastruktúra és üzemeltetés – Vállalati infrastruktúra, 2 1 0 2 05 – Infrastruktúra és üzemeltetés – Szoftverek – Infrastruktúra, 2 1 0 2 07 – Infrastruktúra és üzemeltetés – Nyomtatáskezelés, 2 1 0 3 01 – Digitális munkahelyi szolgáltatások és berendezések – Egyéni informatikai berendezések, 2 1 2 0 0 01 – Bútorok: bútorok vásárlása, bérlése, karbantartása és javítása, 2 1 6 0 01. – Képviselők, egyéb személyek és ingóságok szállítása: képviselők utaztatása (bérlés és használat), 3 0 0 0 02 — A személyzet kiküldetései és a három munkahely közötti hivatalos útjai során </w:t>
      </w:r>
      <w:r w:rsidRPr="00D87CB6">
        <w:rPr>
          <w:color w:val="000000"/>
        </w:rPr>
        <w:t xml:space="preserve">felmerülő költségek: a három munkahelyszínen kívülre történő kiküldetések, 3 0 0 0 03 — A személyzet kiküldetései és a három munkahely közötti hivatalos útjai során felmerülő költségek: tanulás és fejlesztés, 3 2 1 0 01 — A parlamenti kutatási szolgáltatásokra, többek között a könyvtárra, az irattárra, a tudományos és technológiai alternatívák értékelésére (STOA) és az Európai Tudományos Médiaközpontra fordított kiadások: hatásvizsgálat és európai hozzáadott érték, 3 2 2 0 09 – Dokumentációs kiadások: előfizetések és médiafigyelés, 3 2 4 2 01 — Közzététellel, tájékoztatással és nyilvános rendezvényeken való részvétellel kapcsolatos kiadások: tájékoztató kampányok, 3 2 4 3 01 — Az Európai Parlament látogatóközpontjai: </w:t>
      </w:r>
      <w:r w:rsidRPr="00D87CB6">
        <w:rPr>
          <w:color w:val="000000"/>
        </w:rPr>
        <w:t>Parlamentárium</w:t>
      </w:r>
      <w:r w:rsidRPr="00D87CB6">
        <w:rPr>
          <w:color w:val="000000"/>
        </w:rPr>
        <w:t xml:space="preserve"> és „Európa-élményközpontok”, 3 2 4 3 02 — Az Európai Parlament látogatóközpontjai: Európai Történelem Háza, 101 – Rendkívüli tartalékalap. </w:t>
      </w:r>
    </w:p>
    <w:p w:rsidR="007F6E0C" w:rsidRPr="00D87CB6" w:rsidP="0027245E" w14:paraId="3FDF2062" w14:textId="77777777">
      <w:pPr>
        <w:widowControl/>
        <w:spacing w:after="240"/>
        <w:ind w:left="567"/>
        <w:rPr>
          <w:color w:val="000000"/>
        </w:rPr>
      </w:pPr>
      <w:r w:rsidRPr="00D87CB6">
        <w:rPr>
          <w:color w:val="000000"/>
        </w:rPr>
        <w:t>Továbbá úgy határoztak, hogy az Elnökség által 2026. március 9-én jóváhagyott előzetes költségvetési javaslattervezetben szereplő kiadások szintjét 1 514 900 EUR-val növelik, és ennek megfelelően növelik a következő költségvetési sorokra javasolt előirányzatokat:</w:t>
      </w:r>
    </w:p>
    <w:p w:rsidR="007F6E0C" w:rsidRPr="00D87CB6" w:rsidP="0027245E" w14:paraId="6DEA264B" w14:textId="77777777">
      <w:pPr>
        <w:widowControl/>
        <w:spacing w:after="240"/>
        <w:ind w:left="567"/>
        <w:rPr>
          <w:color w:val="000000"/>
        </w:rPr>
      </w:pPr>
      <w:r w:rsidRPr="00D87CB6">
        <w:rPr>
          <w:color w:val="000000"/>
        </w:rPr>
        <w:t xml:space="preserve">4 0 3 — Európai politikai alapítványok finanszírozása, és 4 4 0 — A volt képviselők üléseinek és egyéb tevékenységeinek költsége. </w:t>
      </w:r>
    </w:p>
    <w:p w:rsidR="007F6E0C" w:rsidRPr="00D87CB6" w:rsidP="00942350" w14:paraId="4ACBEB27" w14:textId="561D63E5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3.</w:t>
      </w:r>
      <w:r w:rsidRPr="00D87CB6">
        <w:rPr>
          <w:color w:val="000000"/>
        </w:rPr>
        <w:tab/>
        <w:t xml:space="preserve">emlékeztet arra, hogy a költségvetés közel kétharmadát jogszabályi kötelezettségek határozzák meg; emlékeztet arra, hogy fizetéseknek a személyzeti szabályzattal és az európai parlamenti képviselők statútumával összhangban történő indexálása a Bizottság jelenlegi becslései szerint 2026 júliusára 2,2 %-os, 2027 júliusára pedig 2,3 %-os </w:t>
      </w:r>
      <w:r w:rsidRPr="00D87CB6" w:rsidR="009E2171">
        <w:rPr>
          <w:color w:val="000000"/>
        </w:rPr>
        <w:t>mértékű lesz</w:t>
      </w:r>
      <w:r w:rsidRPr="00D87CB6">
        <w:rPr>
          <w:color w:val="000000"/>
        </w:rPr>
        <w:t>;</w:t>
      </w:r>
    </w:p>
    <w:p w:rsidR="007F6E0C" w:rsidRPr="00D87CB6" w:rsidP="00942350" w14:paraId="0C092431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4.</w:t>
      </w:r>
      <w:r w:rsidRPr="00D87CB6">
        <w:rPr>
          <w:color w:val="000000"/>
        </w:rPr>
        <w:tab/>
        <w:t>megjegyzi, hogy a 2026. évi költségvetéshez viszonyított 51,6 millió EUR összegű növekedésből 32,6 millió EUR összegű növekedés pénzügyi jogszabályi kötelezettségekből ered, és főként a tisztviselők és ideiglenes alkalmazottak (16,2 millió EUR) és a szerződéses alkalmazottak (1,7 millió EUR) fizetéseinek aktualizálásához kapcsolódik; üdvözli, hogy 2027-től rendkívüli közvetlen támogatást irányoznak elő minden Luxemburgban dolgozó gyakornok számára (a szakmai gyakorlat minden hónapjára legfeljebb 500 EUR-t), hogy segítsenek nekik megbirkózni a növekvő lakhatási költségekkel; kéri, hogy a növekvő megélhetési költségekkel összefüggésben a munkavégzés helyétől függetlenül biztosítsák a szakmai gyakorlatok hozzáférhetőségét a fiatalok számára; üdvözli az Elnökség azon döntését, hogy lemond a 2026. évi általános költségtérítés indexálásáról;</w:t>
      </w:r>
    </w:p>
    <w:p w:rsidR="007F6E0C" w:rsidRPr="00D87CB6" w:rsidP="00942350" w14:paraId="55BE2A4A" w14:textId="37087643">
      <w:pPr>
        <w:widowControl/>
        <w:spacing w:after="240"/>
        <w:ind w:left="567" w:hanging="567"/>
        <w:rPr>
          <w:b/>
          <w:i/>
          <w:color w:val="000000"/>
        </w:rPr>
      </w:pPr>
      <w:r w:rsidRPr="00D87CB6">
        <w:rPr>
          <w:color w:val="000000"/>
        </w:rPr>
        <w:t>5.</w:t>
      </w:r>
      <w:r w:rsidRPr="00D87CB6">
        <w:rPr>
          <w:b/>
          <w:i/>
          <w:color w:val="000000"/>
        </w:rPr>
        <w:tab/>
      </w:r>
      <w:r w:rsidRPr="00D87CB6">
        <w:rPr>
          <w:color w:val="000000"/>
        </w:rPr>
        <w:t>megjegyzi, hogy a parlamenti asszisztensi juttatásra előirányzott összeget a múltbeli tendenciák alapján becsülik meg; hangsúlyozza, hogy a képviselőket semmilyen körülmények között nem lehet megfosztani – a vonatkozó költségvetési sor forráshiánya miatt – attól a joguktól, hogy a vonatkozó szabályokkal összhangban teljes mértékben kihasználják ezt a juttatást; kéri a főtitkárt, hogy szorosan kövesse nyomon a helyzetet, tájékoztassa a Költségvetési Bizottságot a költségvetési sor végrehajtásáról, és tegye meg a megfelelő intézkedéseket, ha felmerül annak kockázata, hogy a pénzügyi források nem lesznek elegendők;</w:t>
      </w:r>
    </w:p>
    <w:p w:rsidR="007F6E0C" w:rsidRPr="00D87CB6" w:rsidP="00942350" w14:paraId="7B694573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6.</w:t>
      </w:r>
      <w:r w:rsidRPr="00D87CB6">
        <w:rPr>
          <w:color w:val="000000"/>
        </w:rPr>
        <w:tab/>
        <w:t xml:space="preserve">megjegyzi, hogy a Parlament 2027-re – immár negyedik éve – nem kér további álláshelyeket; </w:t>
      </w:r>
    </w:p>
    <w:p w:rsidR="007F6E0C" w:rsidRPr="00D87CB6" w:rsidP="00942350" w14:paraId="109A548D" w14:textId="408E2135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7.</w:t>
      </w:r>
      <w:r w:rsidRPr="00D87CB6">
        <w:rPr>
          <w:color w:val="000000"/>
        </w:rPr>
        <w:tab/>
        <w:t xml:space="preserve">megjegyzi, hogy a </w:t>
      </w:r>
      <w:r w:rsidRPr="00D87CB6" w:rsidR="009E2171">
        <w:rPr>
          <w:color w:val="000000"/>
        </w:rPr>
        <w:t xml:space="preserve">nem </w:t>
      </w:r>
      <w:r w:rsidRPr="00D87CB6">
        <w:rPr>
          <w:color w:val="000000"/>
        </w:rPr>
        <w:t xml:space="preserve">jogszabályban előírt kiadások 2026 és 2027 között 2 %-kal növekedtek; </w:t>
      </w:r>
    </w:p>
    <w:p w:rsidR="007F6E0C" w:rsidRPr="00D87CB6" w:rsidP="00942350" w14:paraId="0BAA5DCC" w14:textId="77777777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8.</w:t>
      </w:r>
      <w:r w:rsidRPr="00D87CB6">
        <w:rPr>
          <w:color w:val="000000"/>
        </w:rPr>
        <w:tab/>
        <w:t xml:space="preserve">üdvözli a főtitkár igazgatási együttműködéssel, tervezéssel és egyszerűsítéssel kapcsolatos, a </w:t>
      </w:r>
      <w:r w:rsidRPr="00D87CB6">
        <w:rPr>
          <w:color w:val="000000"/>
        </w:rPr>
        <w:t>Metsola</w:t>
      </w:r>
      <w:r w:rsidRPr="00D87CB6">
        <w:rPr>
          <w:color w:val="000000"/>
        </w:rPr>
        <w:t xml:space="preserve"> elnök által 2025. június 16-án javasolt reformokkal összhangban végzett, folyamatban lévő munkáját, amelynek célja a hatékonyság növelése, az erőforrások hatékony felhasználása és lehetőség szerint megtakarítások elérése; megerősített jelentéstételi mechanizmusokat szorgalmaz az átláthatóság és az elszámoltathatóság növelése érdekében; kéri a főtitkárt, hogy rendszeresen tájékoztassa a Költségvetési Bizottságot az igazgatási egyszerűsítésre vonatkozó cselekvési terv végrehajtásáról, valamint azoknak a költségvetésre és a személyzetre gyakorolt hatásairól;</w:t>
      </w:r>
    </w:p>
    <w:p w:rsidR="007F6E0C" w:rsidRPr="00D87CB6" w:rsidP="00942350" w14:paraId="21DD13E8" w14:textId="77777777">
      <w:pPr>
        <w:pStyle w:val="action0"/>
        <w:ind w:left="567" w:hanging="567"/>
        <w:rPr>
          <w:b/>
          <w:i/>
        </w:rPr>
      </w:pPr>
      <w:r w:rsidRPr="00D87CB6">
        <w:rPr>
          <w:b/>
          <w:i/>
        </w:rPr>
        <w:t>A Parlament alapvető feladatainak megerősítése</w:t>
      </w:r>
    </w:p>
    <w:p w:rsidR="007F6E0C" w:rsidRPr="00D87CB6" w:rsidP="00942350" w14:paraId="395178FC" w14:textId="77777777">
      <w:pPr>
        <w:widowControl/>
        <w:spacing w:after="240"/>
        <w:ind w:left="567" w:hanging="567"/>
        <w:rPr>
          <w:color w:val="000000"/>
        </w:rPr>
      </w:pPr>
      <w:r w:rsidRPr="00D87CB6">
        <w:t>9.</w:t>
      </w:r>
      <w:r w:rsidRPr="00D87CB6">
        <w:tab/>
        <w:t xml:space="preserve">tudomásul veszi a 2025 januárja óta működő négy új tematikus főigazgatóságot, amelyek jogalkotási, költségvetési és ellenőrzési tevékenységekért felelősek annak érdekében, hogy javítsák a </w:t>
      </w:r>
      <w:r w:rsidRPr="00D87CB6">
        <w:t>Parlament</w:t>
      </w:r>
      <w:r w:rsidRPr="00D87CB6">
        <w:t xml:space="preserve"> mint társjogalkotó, a költségvetési hatóság egyik ága és mint mentesítésért felelős hatóság működését;</w:t>
      </w:r>
    </w:p>
    <w:p w:rsidR="007F6E0C" w:rsidRPr="00D87CB6" w:rsidP="00942350" w14:paraId="059B1CE3" w14:textId="56A17BCF">
      <w:pPr>
        <w:widowControl/>
        <w:spacing w:after="240"/>
        <w:ind w:left="567" w:hanging="567"/>
        <w:rPr>
          <w:b/>
          <w:i/>
        </w:rPr>
      </w:pPr>
      <w:r w:rsidRPr="00D87CB6">
        <w:t>10.</w:t>
      </w:r>
      <w:r w:rsidRPr="00D87CB6">
        <w:tab/>
        <w:t>tudomásul veszi a belső források átcsoportosítását az elkülönített álláshelyek száma (+15 % 2024 és 2026 között), a külső személyzetre vonatkozó költségvetési keretösszeg (1400. jogcím, a 2024. évi 3,2 millió EUR-ról 2027-re 8 millió EUR) és a képviselőknek nyújtott szakértelem megerősítését célzó külső szakértői költségvetés (3200. jogcím, a 2024. évi 3,2 millió EUR-ról 2027-re 7,7 millió EUR) tekintetében; hangsúlyozza, hogy biztosítani kell, hogy ezek a növelések indokoltak és arányosak maradjanak, és egyértelmű hozzáadott értéket teremtsenek; kéri a főtitkárt, hogy rendszeresen tájékoztassa a Költségvetési Bizottságot a</w:t>
      </w:r>
      <w:r w:rsidRPr="00D87CB6" w:rsidR="002E24DB">
        <w:t>z említett</w:t>
      </w:r>
      <w:r w:rsidRPr="00D87CB6">
        <w:t xml:space="preserve"> négy új főigazgatóság erőforrásainak alakulásáról és felhasználásáról; hangsúlyozza, hogy biztosítani kell azon fontos célkitűzés teljesülését, hogy a Parlament jobban tudja támogatni a képviselők munkáját; hangsúlyozza emellett a képviselőcsoportok abban játszott kulcsfontosságú szerepét, hogy </w:t>
      </w:r>
      <w:bookmarkStart w:id="9" w:name="_Hlk227243597"/>
      <w:r w:rsidRPr="00D87CB6">
        <w:t>szakértői és politikai támogatást nyújtsanak</w:t>
      </w:r>
      <w:bookmarkEnd w:id="9"/>
      <w:r w:rsidRPr="00D87CB6">
        <w:t xml:space="preserve"> a képviselőknek jogalkotási és parlamenti munkájuk során;</w:t>
      </w:r>
      <w:r w:rsidRPr="00D87CB6">
        <w:rPr>
          <w:b/>
          <w:i/>
        </w:rPr>
        <w:t xml:space="preserve"> </w:t>
      </w:r>
    </w:p>
    <w:p w:rsidR="00C27C68" w:rsidRPr="00D87CB6" w:rsidP="00942350" w14:paraId="1231B6D8" w14:textId="5AADB1FE">
      <w:pPr>
        <w:widowControl/>
        <w:spacing w:after="240"/>
        <w:ind w:left="567" w:hanging="567"/>
      </w:pPr>
      <w:r w:rsidRPr="00D87CB6">
        <w:t>11</w:t>
      </w:r>
      <w:r w:rsidRPr="00D87CB6">
        <w:t xml:space="preserve">. </w:t>
      </w:r>
      <w:r w:rsidRPr="00D87CB6">
        <w:tab/>
        <w:t>emlékeztet arra, hogy az Unió pénzügyi érdekeinek védelmére vonatkozó kötelezettség egyformán vonatkozik az uniós források valamennyi kedvezményezettjére, beleértve a Parlamenten belül működő képviselőcsoportokat is; megjegyzi, hogy az immár Patrióták Európáért képviselőcsoporttá átalakított korábbi Identitás és Demokrácia képviselőcsoport által az uniós forrásokkal való feltételezett visszaéléssel kapcsolatos vizsgálatok és visszafizettetési intézkedés rávilágítanak a szilárd belső ellenőrzések, a hatékony utólagos ellenőrzések és a gyors helyreállítási mechanizmusok fontosságára a Parlament igazgatásán belül; felhívja a Parlament igazgatását, hogy haladéktalanul zárja le az összes függőben lévő visszafizettetési eljárást, és utalja a szabálytalan kiadásokra vonatkozó bizonyítékokat az OLAF-hoz és az Európai Ügyészséghez; hangsúlyozza, hogy az Unió csalás elleni architektúrájának hitelessége attól függ, hogy azt következetesen alkalmazzák-e valamennyi kedvezményezettre, beleértve a Parlamenten belüli kedvezményezetteket is;</w:t>
      </w:r>
    </w:p>
    <w:p w:rsidR="007F6E0C" w:rsidRPr="00D87CB6" w:rsidP="00942350" w14:paraId="2AAFF2EE" w14:textId="77777777">
      <w:pPr>
        <w:widowControl/>
        <w:spacing w:after="240"/>
        <w:ind w:left="567" w:hanging="567"/>
        <w:rPr>
          <w:b/>
          <w:i/>
          <w:color w:val="000000"/>
        </w:rPr>
      </w:pPr>
      <w:r w:rsidRPr="00D87CB6">
        <w:rPr>
          <w:b/>
          <w:i/>
          <w:color w:val="000000"/>
        </w:rPr>
        <w:t xml:space="preserve">Digitális átállás </w:t>
      </w:r>
    </w:p>
    <w:p w:rsidR="007F6E0C" w:rsidRPr="00D87CB6" w:rsidP="00942350" w14:paraId="3B074C5C" w14:textId="54924C51">
      <w:pPr>
        <w:pStyle w:val="action0"/>
        <w:ind w:left="567" w:hanging="567"/>
      </w:pPr>
      <w:r w:rsidRPr="00D87CB6">
        <w:t>12</w:t>
      </w:r>
      <w:r w:rsidRPr="00D87CB6">
        <w:t>.</w:t>
      </w:r>
      <w:r w:rsidRPr="00D87CB6">
        <w:tab/>
      </w:r>
      <w:r w:rsidRPr="00D87CB6">
        <w:rPr>
          <w:color w:val="000000"/>
        </w:rPr>
        <w:t xml:space="preserve">megjegyzi, hogy a teljes informatikai költségvetés a 2027. évi becslések szerinti teljes költségvetés 7,6 %-át, vagyis 202,4 millió EUR-t tesz ki; hangsúlyozza a megbízható </w:t>
      </w:r>
      <w:r w:rsidRPr="00D87CB6">
        <w:rPr>
          <w:color w:val="000000"/>
        </w:rPr>
        <w:t>kiberbiztonsági</w:t>
      </w:r>
      <w:r w:rsidRPr="00D87CB6">
        <w:rPr>
          <w:color w:val="000000"/>
        </w:rPr>
        <w:t xml:space="preserve"> infrastruktúra fontosságát a zavaros geopolitikai viszonyok idején; emlékeztet arra, hogy a </w:t>
      </w:r>
      <w:r w:rsidRPr="00D87CB6">
        <w:rPr>
          <w:color w:val="000000"/>
        </w:rPr>
        <w:t>kiberbiztonságra</w:t>
      </w:r>
      <w:r w:rsidRPr="00D87CB6">
        <w:rPr>
          <w:color w:val="000000"/>
        </w:rPr>
        <w:t xml:space="preserve"> vonatkozó pénzügyi előirányzatokat fokozatosan a Parlament IKT-költségvetésének 10 %-ára tervezik növelni;</w:t>
      </w:r>
      <w:r w:rsidRPr="00D87CB6">
        <w:t xml:space="preserve"> megjegyzi, hogy ezt a tervezett növelést a lehető leghamarabb végre kell hajtani;</w:t>
      </w:r>
    </w:p>
    <w:p w:rsidR="007F6E0C" w:rsidRPr="00D87CB6" w:rsidP="00942350" w14:paraId="22092C3B" w14:textId="0B86A09C">
      <w:pPr>
        <w:pStyle w:val="action0"/>
        <w:ind w:left="567" w:hanging="567"/>
      </w:pPr>
      <w:r w:rsidRPr="00D87CB6">
        <w:t>13</w:t>
      </w:r>
      <w:r w:rsidRPr="00D87CB6">
        <w:t>.</w:t>
      </w:r>
      <w:r w:rsidRPr="00D87CB6">
        <w:tab/>
        <w:t xml:space="preserve">hangsúlyozza, hogy geopolitikai bizonytalanság idején a Parlament </w:t>
      </w:r>
      <w:r w:rsidRPr="00D87CB6">
        <w:t>kiberbiztonsága</w:t>
      </w:r>
      <w:r w:rsidRPr="00D87CB6">
        <w:t xml:space="preserve"> kulcsfontosságú prioritás; megjegyzi, hogy a </w:t>
      </w:r>
      <w:r w:rsidRPr="00D87CB6">
        <w:t>kiberbiztonságra</w:t>
      </w:r>
      <w:r w:rsidRPr="00D87CB6">
        <w:t xml:space="preserve"> elkülönített teljes összeg 16,9 millió EUR, amely magában foglalja a központosított </w:t>
      </w:r>
      <w:r w:rsidRPr="00D87CB6">
        <w:t>kiberbiztonságra</w:t>
      </w:r>
      <w:r w:rsidRPr="00D87CB6">
        <w:t xml:space="preserve"> vonatkozó sor 55 %-os növelését 2026-hoz képest; emlékeztet arra, hogy a </w:t>
      </w:r>
      <w:r w:rsidRPr="00D87CB6">
        <w:t>kiberbiztonsági</w:t>
      </w:r>
      <w:r w:rsidRPr="00D87CB6">
        <w:t xml:space="preserve"> beruházások kulcsfontosságúak a Parlament és az Unió demokratikus hangjának védelmezésében, valamint a Parlament megfelelő működésének biztosításában;</w:t>
      </w:r>
    </w:p>
    <w:p w:rsidR="007F6E0C" w:rsidRPr="00D87CB6" w:rsidP="00942350" w14:paraId="54F29FDC" w14:textId="46CC4AB3">
      <w:pPr>
        <w:pStyle w:val="action0"/>
        <w:ind w:left="567" w:hanging="567"/>
      </w:pPr>
      <w:r w:rsidRPr="00D87CB6">
        <w:t>14</w:t>
      </w:r>
      <w:r w:rsidRPr="00D87CB6">
        <w:t>.</w:t>
      </w:r>
      <w:r w:rsidRPr="00D87CB6">
        <w:tab/>
        <w:t>hangsúlyozza, hogy a Parlamentnek élen kell járnia a digitálisabb munkamódszerek elfogadásában; üdvözli a mesterséges intelligenciába (MI) történő, 1 millió EUR összegű beruházásokat; sürgeti a mesterséges intelligencia használatának fokozását a hatékonyság növelése, valamint az e területtel kapcsolatos szuverenitás megerősítése érdekében, a kapcsolódó – többek között etikai és adatvédelmi – kockázatokra is figyelemmel; hangsúlyozza, hogy a mesterséges intelligencia bevezetésének egyensúlyt kell teremtenie az innováció és a szükséges biztosítékok között; kiemeli a mesterséges intelligenciában rejlő lehetőségeket az adminisztratív folyamatok egyszerűsítése terén; ösztönzi egyértelmű iránymutatások és biztosítékok kidolgozását a mesterséges intelligencia felelős és átlátható alkalmazásának biztosítása érdekében, az alapvető jogok, a biztonság és az elszámoltathatóság fenntartása mellett előmozdítva az innovációt; megjegyzi, hogy a mesterséges intelligencia fejlesztését az Elnökség által megállapított elvekkel összhangban szorosan nyomon fogják követni; hangsúlyozza, hogy a mesterséges intelligenciába történő beruházásoknak nemcsak az adminisztratív hatékonyságra kell összpontosítaniuk, hanem a demokratikus átláthatóság és a polgári szerepvállalás fokozására is;</w:t>
      </w:r>
    </w:p>
    <w:p w:rsidR="007F6E0C" w:rsidRPr="00D87CB6" w:rsidP="00942350" w14:paraId="7AEB9F3F" w14:textId="265AA08D">
      <w:pPr>
        <w:pStyle w:val="action0"/>
        <w:ind w:left="567" w:hanging="567"/>
        <w:rPr>
          <w:bCs/>
          <w:iCs/>
        </w:rPr>
      </w:pPr>
      <w:r w:rsidRPr="00D87CB6">
        <w:t>15</w:t>
      </w:r>
      <w:r w:rsidRPr="00D87CB6">
        <w:t>.</w:t>
      </w:r>
      <w:r w:rsidRPr="00D87CB6">
        <w:tab/>
        <w:t xml:space="preserve">hangsúlyozza, hogy a geopolitikai helyzetre és azokra a beruházásokra tekintettel, amelyeket az Európai Uniónak stratégiai autonómiája érdekében végre kell hajtania, az Európai Parlamentnek példát kell mutatnia; tudomásul veszi a Parlament digitális szuverenitással kapcsolatos álláspontjának megerősítését célzó konszolidált cselekvési terv előkészítését; várakozással tekint az elért eredményekről szóló rendszeres tájékoztatás elé; hangsúlyozza a magas szintű </w:t>
      </w:r>
      <w:r w:rsidRPr="00D87CB6">
        <w:t>kiberbiztonság</w:t>
      </w:r>
      <w:r w:rsidRPr="00D87CB6">
        <w:t xml:space="preserve">, adatvédelem és </w:t>
      </w:r>
      <w:r w:rsidRPr="00D87CB6">
        <w:t>reziliencia</w:t>
      </w:r>
      <w:r w:rsidRPr="00D87CB6">
        <w:t xml:space="preserve"> biztosításának fontosságát a Parlament digitális infrastruktúrájában; hangsúlyozza, hogy gondosan értékelni kell a nem európai szolgáltatókra való ráutaltsággal kapcsolatos kockázatokat, többek között kockázatértékelések révén; hangsúlyozza a biztonságos, versenyképes és megbízható megoldások fenntartásának fontosságát, többek között – amennyiben megvalósítható – az európai szolgáltatók előnyben részesítése révén; felszólít a Parlament kommunikációs csatornáinak és digitális eszközeinek rendszeres értékelésére a biztonság és az uniós jognak való megfelelés alapján, más uniós intézményekkel összehangolt módon, a Parlament adatai védelmének és kommunikációja integritásának biztosítása érdekében;</w:t>
      </w:r>
    </w:p>
    <w:p w:rsidR="007F6E0C" w:rsidRPr="00D87CB6" w:rsidP="00942350" w14:paraId="609F39D2" w14:textId="77777777">
      <w:pPr>
        <w:pStyle w:val="action0"/>
        <w:ind w:left="567" w:hanging="567"/>
        <w:rPr>
          <w:b/>
          <w:i/>
        </w:rPr>
      </w:pPr>
      <w:r w:rsidRPr="00D87CB6">
        <w:rPr>
          <w:b/>
          <w:i/>
        </w:rPr>
        <w:t>Infrastruktúra</w:t>
      </w:r>
    </w:p>
    <w:p w:rsidR="007F6E0C" w:rsidRPr="00D87CB6" w:rsidP="00942350" w14:paraId="577A1789" w14:textId="7DCE0DCC">
      <w:pPr>
        <w:pStyle w:val="action0"/>
        <w:ind w:left="567" w:hanging="567"/>
        <w:rPr>
          <w:color w:val="000000"/>
        </w:rPr>
      </w:pPr>
      <w:r w:rsidRPr="00D87CB6">
        <w:rPr>
          <w:color w:val="000000"/>
        </w:rPr>
        <w:t>16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tudomásul veszi az épületekkel kapcsolatos új megközelítést, amely új épületek vásárlása helyett konszolidációs szakaszba lépett, figyelembe véve a fenntarthatóságot, </w:t>
      </w:r>
      <w:r w:rsidRPr="00D87CB6">
        <w:rPr>
          <w:color w:val="000000"/>
        </w:rPr>
        <w:t>valamint a képviselők, a személyzet és a látogatók számára biztosítandó akadálymentességet és mobilitást;</w:t>
      </w:r>
    </w:p>
    <w:p w:rsidR="007F6E0C" w:rsidRPr="00D87CB6" w:rsidP="00942350" w14:paraId="01E5D258" w14:textId="64F43D60">
      <w:pPr>
        <w:pStyle w:val="action0"/>
        <w:ind w:left="567" w:hanging="567"/>
        <w:rPr>
          <w:color w:val="000000"/>
        </w:rPr>
      </w:pPr>
      <w:r w:rsidRPr="00D87CB6">
        <w:rPr>
          <w:color w:val="000000"/>
        </w:rPr>
        <w:t>17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tudomásul veszi, hogy a SPAAK épület felújítása 2027-től kezdődik; tudomásul veszi, hogy a felújítás teljes költségvetését 455 millió EUR-ban határozták meg, és hogy 2027-re 77,67 millió EUR-t irányoztak elő; hangsúlyozza, hogy ezek a költségek nem szerepelnek a 2027. évi költségvetésben; </w:t>
      </w:r>
      <w:bookmarkStart w:id="10" w:name="_Hlk227680019"/>
      <w:r w:rsidRPr="00D87CB6">
        <w:rPr>
          <w:color w:val="000000"/>
        </w:rPr>
        <w:t>hangsúlyozza, hogy biztosítani kell a költségek szigorú ellenőrzését, az átláthatóságot és a tervezett költségvetés betartását;</w:t>
      </w:r>
      <w:r w:rsidRPr="00D87CB6">
        <w:rPr>
          <w:b/>
          <w:i/>
          <w:color w:val="000000"/>
        </w:rPr>
        <w:t xml:space="preserve"> </w:t>
      </w:r>
      <w:bookmarkEnd w:id="10"/>
    </w:p>
    <w:p w:rsidR="007F6E0C" w:rsidRPr="00D87CB6" w:rsidP="00942350" w14:paraId="68C318D6" w14:textId="08E365DE">
      <w:pPr>
        <w:pStyle w:val="action0"/>
        <w:ind w:left="567" w:hanging="567"/>
        <w:rPr>
          <w:color w:val="000000"/>
        </w:rPr>
      </w:pPr>
      <w:r w:rsidRPr="00D87CB6">
        <w:rPr>
          <w:color w:val="000000"/>
        </w:rPr>
        <w:t>18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tudomásul veszi, hogy a Parlament kölcsönöket kíván felvenni – többek között az Európai Beruházási Banktól – a SPAAK felújítási projektjének finanszírozására; tudomásul veszi, hogy a 2027. évi költségvetésben szerepelnek a kamathoz (3,17 millió EUR) és a tőketörlesztéshez (0,65 millió EUR) kapcsolódó költségek; sürgeti, hogy adott esetben a felújítási munkálatokhoz közvetlenül nem kapcsolódó költségeket is egyértelműen sorolják fel és szerepeltessék a költségvetésben; </w:t>
      </w:r>
      <w:bookmarkStart w:id="11" w:name="_Hlk228442170"/>
      <w:r w:rsidRPr="00D87CB6">
        <w:rPr>
          <w:color w:val="000000"/>
        </w:rPr>
        <w:t>felhívja igazgatás</w:t>
      </w:r>
      <w:bookmarkEnd w:id="11"/>
      <w:r w:rsidRPr="00D87CB6" w:rsidR="00C75632">
        <w:rPr>
          <w:color w:val="000000"/>
        </w:rPr>
        <w:t>i szerveit</w:t>
      </w:r>
      <w:r w:rsidRPr="00D87CB6">
        <w:rPr>
          <w:color w:val="000000"/>
        </w:rPr>
        <w:t>, hogy folyamatosan tájékoztass</w:t>
      </w:r>
      <w:r w:rsidRPr="00D87CB6" w:rsidR="00C75632">
        <w:rPr>
          <w:color w:val="000000"/>
        </w:rPr>
        <w:t>ák</w:t>
      </w:r>
      <w:r w:rsidRPr="00D87CB6">
        <w:rPr>
          <w:color w:val="000000"/>
        </w:rPr>
        <w:t xml:space="preserve"> a Költségvetési Bizottságot a hitelekre alkalmazandó kamatlábakról és a tőketörlesztés hosszú távú tervezéséről; hangsúlyozza, hogy biztosítani kell a </w:t>
      </w:r>
      <w:r w:rsidRPr="00D87CB6">
        <w:rPr>
          <w:color w:val="000000"/>
        </w:rPr>
        <w:t>prudens</w:t>
      </w:r>
      <w:r w:rsidRPr="00D87CB6">
        <w:rPr>
          <w:color w:val="000000"/>
        </w:rPr>
        <w:t xml:space="preserve"> adósságkezelést;</w:t>
      </w:r>
    </w:p>
    <w:p w:rsidR="007F6E0C" w:rsidRPr="00D87CB6" w:rsidP="00942350" w14:paraId="1F9CC3A8" w14:textId="16C7AEE6">
      <w:pPr>
        <w:pStyle w:val="action0"/>
        <w:ind w:left="567" w:hanging="567"/>
        <w:rPr>
          <w:b/>
          <w:bCs/>
          <w:i/>
          <w:iCs/>
          <w:color w:val="000000"/>
        </w:rPr>
      </w:pPr>
      <w:r w:rsidRPr="00D87CB6">
        <w:rPr>
          <w:color w:val="000000"/>
        </w:rPr>
        <w:t>19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sajnálatát fejezi ki amiatt, hogy az Európa-élményközpontok valamennyi tagállamban tervezett létrehozása késik; üdvözli az Elnökség által 2025. március 31-én jóváhagyott, az Európa-élményközpontok használatának optimalizálására irányuló, a tagállamok eltérő helyzetét figyelembe vevő új koncepciót; hangsúlyozza annak fontosságát, hogy az Európa-élményközpontok vonzó látogatói élményt kínáljanak a polgárok bevonzása érdekében; kéri, hogy az Európa-élményközpontok létrehozása során biztosítsanak elsőbbséget a három munkahelyszíntől legtávolabb eső tagállamoknak, biztosítva ugyanakkor, hogy fejlesztésük és működésük költséghatékony maradjon; emlékeztet arra, hogy az Európa-élményközpontoknak minden polgár számára lehetővé kell tenniük az uniós intézmények működésének és közös értékeinknek a jobb megértését; hangsúlyozza, hogy az e központok számára elkülönített költségvetési előirányzatokat hatékonyan kell felhasználni annak biztosítása érdekében, hogy nagy hatású kommunikációt folytassanak és tájékoztatást nyújtsanak, különösen a fiatalok és a kiszolgáltatott csoportok számára; hangsúlyozza, hogy a finanszírozásnak prioritásként kell kezelnie az uniós politikák helyi hatására vonatkozó tényszerű és hozzáférhető információk terjesztését, ami költséghatékony eszközt jelent az Unió demokratikus integritásának dezinformációval szembeni védelmében;</w:t>
      </w:r>
    </w:p>
    <w:p w:rsidR="007F6E0C" w:rsidRPr="00D87CB6" w:rsidP="00942350" w14:paraId="5C0ABC73" w14:textId="058D5858">
      <w:pPr>
        <w:pStyle w:val="action0"/>
        <w:ind w:left="567" w:hanging="567"/>
        <w:rPr>
          <w:bCs/>
          <w:iCs/>
          <w:color w:val="000000"/>
        </w:rPr>
      </w:pPr>
      <w:r w:rsidRPr="00D87CB6">
        <w:rPr>
          <w:color w:val="000000"/>
        </w:rPr>
        <w:t>20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emlékeztet az Európai Parlament „Nagykövet iskola” programjának fontosságára a fiatal európaiak aktív szerepvállalásának előmozdítása érdekében, valamint a David </w:t>
      </w:r>
      <w:r w:rsidRPr="00D87CB6">
        <w:rPr>
          <w:color w:val="000000"/>
        </w:rPr>
        <w:t>Sassoli</w:t>
      </w:r>
      <w:r w:rsidRPr="00D87CB6" w:rsidR="00901AAF">
        <w:rPr>
          <w:color w:val="000000"/>
        </w:rPr>
        <w:t xml:space="preserve"> tiszteletére</w:t>
      </w:r>
      <w:r w:rsidRPr="00D87CB6">
        <w:rPr>
          <w:color w:val="000000"/>
        </w:rPr>
        <w:t xml:space="preserve"> elnevezett, fiatal újságíróknak szóló képzési program fontosságára annak érdekében, hogy az újságírók jobban megértsék az Uniót és annak működését, ami a legjobb ellenszer a dezinformációval szemben, tekintettel azokra a közelmúltbeli tendenciákra, amelyek a tömegtájékoztatás szabadságának és függetlenségének aggasztó csökkenését mutatják Unió-szerte;</w:t>
      </w:r>
    </w:p>
    <w:p w:rsidR="007F6E0C" w:rsidRPr="00D87CB6" w:rsidP="00942350" w14:paraId="22EC7F5D" w14:textId="1A82D095">
      <w:pPr>
        <w:pStyle w:val="action0"/>
        <w:ind w:left="567" w:hanging="567"/>
        <w:rPr>
          <w:bCs/>
          <w:iCs/>
          <w:color w:val="000000"/>
        </w:rPr>
      </w:pPr>
      <w:r w:rsidRPr="00D87CB6">
        <w:rPr>
          <w:color w:val="000000"/>
        </w:rPr>
        <w:t>21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megismétli, hogy támogatja egy a 20. századi totalitárius rendszerek áldozatairól megemlékező, a történelmi tapasztalatok sokféleségét tükröző páneurópai emlékmű megépítését Brüsszelben; felhívja az Elnökséget, hogy határozat elfogadása céljából vizsgálja meg ezt a felvetést, kellően figyelembe véve a jelenlegi többéves pénzügyi keret utolsó éveinek költségvetési korlátait és az európai polgárok előtt álló gazdasági nehézségeket;</w:t>
      </w:r>
    </w:p>
    <w:p w:rsidR="007F6E0C" w:rsidRPr="00D87CB6" w:rsidP="00942350" w14:paraId="65DEE8BA" w14:textId="2788A8D7">
      <w:pPr>
        <w:pStyle w:val="action0"/>
        <w:ind w:left="567" w:hanging="567"/>
        <w:rPr>
          <w:bCs/>
          <w:iCs/>
          <w:color w:val="000000"/>
        </w:rPr>
      </w:pPr>
      <w:r w:rsidRPr="00D87CB6">
        <w:rPr>
          <w:color w:val="000000"/>
        </w:rPr>
        <w:t>22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hangsúlyozza, hogy csökkentené a pénzügyi és környezeti költségeket, ha a Parlament egyetlen székhellyel rendelkezne; emlékeztet, hogy az Európai Unióról szóló szerződés szerint a Parlament székhelye Strasbourgban található; megjegyzi, hogy a tartós változásokhoz a Szerződés módosítására lenne szükség, amihez egyhangúság szükséges;</w:t>
      </w:r>
    </w:p>
    <w:p w:rsidR="007F6E0C" w:rsidRPr="00D87CB6" w:rsidP="00942350" w14:paraId="33930E86" w14:textId="77777777">
      <w:pPr>
        <w:pStyle w:val="action0"/>
        <w:ind w:left="567" w:hanging="567"/>
        <w:rPr>
          <w:b/>
          <w:i/>
          <w:color w:val="000000"/>
        </w:rPr>
      </w:pPr>
      <w:r w:rsidRPr="00D87CB6">
        <w:rPr>
          <w:b/>
          <w:i/>
          <w:color w:val="000000"/>
        </w:rPr>
        <w:t xml:space="preserve">Zöld Parlament </w:t>
      </w:r>
    </w:p>
    <w:p w:rsidR="007F6E0C" w:rsidRPr="00D87CB6" w:rsidP="00942350" w14:paraId="2BA0F430" w14:textId="40C2093C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23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üdvözli a Parlament környezetközpontú irányítási rendszerének (EMAS) 2025–2029-re vonatkozó célkitűzéseit; üdvözli a 2025 és 2029 között tervezett energiahatékonysági és környezeti felújítási intézkedések részét képező infrastrukturális beruházásokat, amelyek jó ár-érték arány eléréséhez fognak vezetni; tudomásul veszi, hogy a 2027. évi költségvetési javaslatban 8,97 millió EUR összegű költségvetést irányoztak elő az energiahatékonyságra és a környezetvédelemre irányuló beruházásokra az épületek környezeti teljesítményének további javítása érdekében; megjegyzi, hogy ez a 2026. évi költségvetéshez képest 6,1%-os növekedésnek felel meg; üdvözli, hogy a Parlament </w:t>
      </w:r>
      <w:r w:rsidRPr="00D87CB6">
        <w:rPr>
          <w:color w:val="000000"/>
        </w:rPr>
        <w:t>fotovoltaikus</w:t>
      </w:r>
      <w:r w:rsidRPr="00D87CB6">
        <w:rPr>
          <w:color w:val="000000"/>
        </w:rPr>
        <w:t xml:space="preserve"> napelemeket telepített és telepít továbbra is a helyben előállított megújuló energia részarányának további növelése érdekében; hangsúlyozza, hogy biztosítani kell, hogy az ilyen beruházások mérhető hatékonyságnövekedést eredményezzenek, tekintettel a geopolitikai helyzetre is, és hosszú távú költségmegtakarítást eredményezzenek;</w:t>
      </w:r>
    </w:p>
    <w:p w:rsidR="007F6E0C" w:rsidRPr="00D87CB6" w:rsidP="00942350" w14:paraId="58C4902E" w14:textId="6EE9276C">
      <w:pPr>
        <w:widowControl/>
        <w:spacing w:after="240"/>
        <w:ind w:left="567" w:hanging="567"/>
        <w:rPr>
          <w:bCs/>
          <w:iCs/>
          <w:color w:val="000000"/>
        </w:rPr>
      </w:pPr>
      <w:r w:rsidRPr="00D87CB6">
        <w:rPr>
          <w:color w:val="000000"/>
        </w:rPr>
        <w:t>24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emlékeztet arra, hogy a Parlament szénlábnyomának közel kétharmada személyszállításból származik; megjegyzi, hogy a Parlament költségvetésének jelentős részét, 2027 folyamán 162,1 millió EUR-t a képviselők és a személyzet kiküldetési költségeinek fedezésére fordítják; szorgalmazza, hogy a Parlament szervei gondolják át a három munkahelyen kívüli kiküldetésekkel kapcsolatos gyakorlatokat, valamint hogy a kiküldetési szabályok és gyakorlatok kerüljenek felülvizsgálatra azzal az általános céllal, hogy a kiküldetések száma és a kapcsolódó pénzügyi és környezeti költségek csökkenjenek; ösztönzi a képviselőket, hogy alacsony szén-dioxid-kibocsátású közlekedési alternatívákat és kiváló ár-érték arányú repülési lehetőségeket vegyenek igénybe;</w:t>
      </w:r>
    </w:p>
    <w:p w:rsidR="007F6E0C" w:rsidRPr="00D87CB6" w:rsidP="00942350" w14:paraId="07DC1E24" w14:textId="019A5845">
      <w:pPr>
        <w:widowControl/>
        <w:spacing w:after="240"/>
        <w:ind w:left="567" w:hanging="567"/>
        <w:rPr>
          <w:bCs/>
          <w:iCs/>
          <w:color w:val="000000"/>
        </w:rPr>
      </w:pPr>
      <w:r w:rsidRPr="00D87CB6">
        <w:rPr>
          <w:color w:val="000000"/>
        </w:rPr>
        <w:t>25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üdvözli a tömegközlekedés ingázásra való fokozott használatát, ugyanakkor tudomásul veszi a tömegközlekedési bérletek pénzügyi támogatási rendszere iránti megnövekedett igényt, különösen Brüsszelben, ami az előirányzatok növekedéséhez vezet; úgy véli, hogy a Parlamentnek jó példával kell elöl járnia, és ösztönöznie kell az erőforrások hatékony felhasználását biztosító lehetséges intézkedéseket azáltal, hogy javítja az ingázásra szolgáló fenntartható közlekedési módokat, és további ösztönzőket teremt a kerékpáros ingázáshoz;</w:t>
      </w:r>
    </w:p>
    <w:p w:rsidR="007F6E0C" w:rsidRPr="00D87CB6" w:rsidP="00942350" w14:paraId="227CEDFF" w14:textId="1938F043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>26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tudomásul veszi a szén-dioxid-kreditek árának jelentős emelkedését, amelynek a jelenlegi kibocsátási szinteken a becslések szerint 2027-ben 950 000 EUR-ra lenne szüksége; felhívja igazgatás</w:t>
      </w:r>
      <w:r w:rsidRPr="00D87CB6" w:rsidR="00C75632">
        <w:rPr>
          <w:color w:val="000000"/>
        </w:rPr>
        <w:t>i szerveit</w:t>
      </w:r>
      <w:r w:rsidRPr="00D87CB6">
        <w:rPr>
          <w:color w:val="000000"/>
        </w:rPr>
        <w:t>, hogy kezelj</w:t>
      </w:r>
      <w:r w:rsidRPr="00D87CB6" w:rsidR="00C75632">
        <w:rPr>
          <w:color w:val="000000"/>
        </w:rPr>
        <w:t>ék</w:t>
      </w:r>
      <w:r w:rsidRPr="00D87CB6">
        <w:rPr>
          <w:color w:val="000000"/>
        </w:rPr>
        <w:t xml:space="preserve"> prioritásként a Parlament kibocsátásainak csökkentését, többek között a tiszta fűtési, szellőzési és légkondicionáló rendszerekbe, különösen a brüsszeli hőszivattyú-berendezésekbe történő beruházások növelése, valamint – amennyiben észszerű – a kibocsátás csökkentésére irányuló egyéb arányos és költséghatékony intézkedések révén, ahelyett, hogy szén-dioxid-krediteket vásároln</w:t>
      </w:r>
      <w:r w:rsidRPr="00D87CB6" w:rsidR="00413FFF">
        <w:rPr>
          <w:color w:val="000000"/>
        </w:rPr>
        <w:t>ának</w:t>
      </w:r>
      <w:r w:rsidRPr="00D87CB6">
        <w:rPr>
          <w:color w:val="000000"/>
        </w:rPr>
        <w:t xml:space="preserve">; üdvözli, hogy 2025 júliusától kibővített vasúti kínálatot vezettek be a strasbourgi kiküldetésekre, ami pozitív lépés a szén-dioxid-kibocsátás csökkentése felé; </w:t>
      </w:r>
    </w:p>
    <w:p w:rsidR="007F6E0C" w:rsidRPr="00D87CB6" w:rsidP="00942350" w14:paraId="2DC31BD7" w14:textId="77777777">
      <w:pPr>
        <w:pStyle w:val="action0"/>
        <w:ind w:left="567" w:hanging="567"/>
        <w:rPr>
          <w:b/>
          <w:i/>
          <w:color w:val="000000"/>
        </w:rPr>
      </w:pPr>
      <w:r w:rsidRPr="00D87CB6">
        <w:rPr>
          <w:b/>
          <w:i/>
          <w:color w:val="000000"/>
        </w:rPr>
        <w:t>Egyéb</w:t>
      </w:r>
    </w:p>
    <w:p w:rsidR="007F6E0C" w:rsidRPr="00D87CB6" w:rsidP="00942350" w14:paraId="310FD688" w14:textId="3865FFBA">
      <w:pPr>
        <w:pStyle w:val="action0"/>
        <w:ind w:left="567" w:hanging="567"/>
        <w:rPr>
          <w:bCs/>
          <w:iCs/>
          <w:color w:val="000000"/>
        </w:rPr>
      </w:pPr>
      <w:r w:rsidRPr="00D87CB6">
        <w:rPr>
          <w:color w:val="000000"/>
        </w:rPr>
        <w:t>27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felhívja az Elnökök Értekezletét, hogy további késedelem nélkül hozzon határozatot belső szabályzatának azon vonatkozó cikkeiről, amelyek a képviselőket a Parlament három munkahelyszínén kívüli hivatalos kiküldetéseken és küldöttségekben kísérő akkreditált parlamenti asszisztensek részvételére vonatkoznak, amennyiben képviselőcsoportjuk kiküldetésben résztvevő személyzetének egyetlen tagját sem jelentették be hivatalosan a Parlament Főtitkárságának;</w:t>
      </w:r>
    </w:p>
    <w:p w:rsidR="007F6E0C" w:rsidRPr="00D87CB6" w:rsidP="00942350" w14:paraId="47A5E790" w14:textId="3C104931">
      <w:pPr>
        <w:widowControl/>
        <w:spacing w:after="240"/>
        <w:ind w:left="567" w:hanging="567"/>
        <w:rPr>
          <w:b/>
          <w:i/>
          <w:color w:val="000000"/>
        </w:rPr>
      </w:pPr>
      <w:r w:rsidRPr="00D87CB6">
        <w:rPr>
          <w:color w:val="000000"/>
        </w:rPr>
        <w:t>28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úgy véli, hogy a Parlamentnek jó példával kell elöl járnia a fogyatékossággal élő személyek jogai terén, mind munkáltatóként, mind pedig közintézményként; üdvözli a Parlament arra irányuló politikáját, hogy biztosítsa a Parlament épületeinek teljes mértékben önálló használatát a fogyatékossággal élő személyek számára, és támogatja az e tekintetben szükséges további intézkedéseket és kiigazításokat; megjegyzi, hogy a költségvetés erre a célra 2,07 millió </w:t>
      </w:r>
      <w:r w:rsidRPr="00D87CB6" w:rsidR="00942350">
        <w:rPr>
          <w:color w:val="000000"/>
        </w:rPr>
        <w:t xml:space="preserve">EUR-t </w:t>
      </w:r>
      <w:r w:rsidRPr="00D87CB6">
        <w:rPr>
          <w:color w:val="000000"/>
        </w:rPr>
        <w:t>biztosít strasbourgi épületei számára; hangsúlyozza, hogy az akadálymentességnek kulcsfontosságú kritériumnak kell lennie a SPAAK épület felújítása és valamennyi digitális platform fejlesztése során;</w:t>
      </w:r>
      <w:r w:rsidRPr="00D87CB6">
        <w:rPr>
          <w:b/>
          <w:i/>
          <w:color w:val="000000"/>
        </w:rPr>
        <w:t xml:space="preserve"> </w:t>
      </w:r>
    </w:p>
    <w:p w:rsidR="00D87CB6" w:rsidRPr="00D87CB6" w:rsidP="00942350" w14:paraId="5DF4DBF1" w14:textId="24401E85">
      <w:pPr>
        <w:widowControl/>
        <w:spacing w:after="240"/>
        <w:ind w:left="567" w:hanging="567"/>
        <w:rPr>
          <w:color w:val="000000"/>
        </w:rPr>
      </w:pPr>
      <w:r w:rsidRPr="00D87CB6">
        <w:rPr>
          <w:color w:val="000000"/>
        </w:rPr>
        <w:t xml:space="preserve">29. </w:t>
      </w:r>
      <w:r w:rsidRPr="00D87CB6">
        <w:rPr>
          <w:color w:val="000000"/>
        </w:rPr>
        <w:tab/>
        <w:t xml:space="preserve">üdvözli az Elnökök Értekezlete és az Elnökség által jóváhagyott közelmúltbeli kezdeményezéseket, amelyek lehetővé teszik a </w:t>
      </w:r>
      <w:r w:rsidRPr="00D87CB6">
        <w:rPr>
          <w:color w:val="000000"/>
        </w:rPr>
        <w:t>perinatális</w:t>
      </w:r>
      <w:r w:rsidRPr="00D87CB6">
        <w:rPr>
          <w:color w:val="000000"/>
        </w:rPr>
        <w:t xml:space="preserve"> időszakban a képviselők számára, hogy szavazati jogukat meghatalmazottjukra ruházzák át, elismerve, hogy ez pozitív lépés a parlamenti munka nagyobb </w:t>
      </w:r>
      <w:r w:rsidRPr="00D87CB6">
        <w:rPr>
          <w:color w:val="000000"/>
        </w:rPr>
        <w:t>inkluzivitása</w:t>
      </w:r>
      <w:r w:rsidRPr="00D87CB6">
        <w:rPr>
          <w:color w:val="000000"/>
        </w:rPr>
        <w:t xml:space="preserve"> felé, és felszólítja az összes felet az intézkedések gyors végrehajtására; hangsúlyozza azonban, hogy ez az intézkedés nem tesz eleget a Parlament azon ismételt kérésének, hogy ne csak a </w:t>
      </w:r>
      <w:r w:rsidRPr="00D87CB6">
        <w:rPr>
          <w:color w:val="000000"/>
        </w:rPr>
        <w:t>perinatális</w:t>
      </w:r>
      <w:r w:rsidRPr="00D87CB6">
        <w:rPr>
          <w:color w:val="000000"/>
        </w:rPr>
        <w:t xml:space="preserve"> időszakban lévő képviselők, hanem a szülői vagy apasági szabadságon lévő, illetve az igazolt hosszú távú betegség esetén távol levő képviselők számára is biztosítsák a szavazáshoz való jogot;</w:t>
      </w:r>
    </w:p>
    <w:p w:rsidR="00C27C68" w:rsidRPr="00D87CB6" w:rsidP="00942350" w14:paraId="677E41AE" w14:textId="14B1F74C">
      <w:pPr>
        <w:widowControl/>
        <w:spacing w:after="240"/>
        <w:ind w:left="567" w:hanging="567"/>
        <w:rPr>
          <w:bCs/>
          <w:iCs/>
        </w:rPr>
      </w:pPr>
      <w:r w:rsidRPr="00D87CB6">
        <w:rPr>
          <w:color w:val="000000"/>
        </w:rPr>
        <w:t>30</w:t>
      </w:r>
      <w:r w:rsidRPr="00D87CB6" w:rsidR="007F6E0C">
        <w:rPr>
          <w:color w:val="000000"/>
        </w:rPr>
        <w:t>.</w:t>
      </w:r>
      <w:r w:rsidRPr="00D87CB6" w:rsidR="007F6E0C">
        <w:rPr>
          <w:color w:val="000000"/>
        </w:rPr>
        <w:tab/>
      </w:r>
      <w:r w:rsidRPr="00D87CB6">
        <w:rPr>
          <w:bCs/>
          <w:iCs/>
        </w:rPr>
        <w:t xml:space="preserve">aggodalmát fejezi ki amiatt, hogy a Parlament </w:t>
      </w:r>
      <w:r w:rsidRPr="00D87CB6">
        <w:rPr>
          <w:bCs/>
          <w:iCs/>
        </w:rPr>
        <w:t>Wayenberg</w:t>
      </w:r>
      <w:r w:rsidRPr="00D87CB6">
        <w:rPr>
          <w:bCs/>
          <w:iCs/>
        </w:rPr>
        <w:t xml:space="preserve"> épületben működő bölcsődéje által nyújtott szolgáltatások minőségét és folytonosságát több tényező is kedvezőtlenül befolyásolja, ideértve a 2020 óta bekövetkező gyakori szolgáltatóváltást, valamint a munkaerőhiány és a személyzet gyakori távolléte és fluktuációja okozta kihívásokat; megállapítja, hogy a Parlament brüsszeli gyermekgondozási szolgáltatásaira vonatkozó jelenlegi szerződést egy új vállalkozásnak ítélték oda, amelyet röviddel a pályázati felhívás közzététele után hoztak létre, és amely állítólag kapcsolatban áll a korábbi szolgáltatóval, az </w:t>
      </w:r>
      <w:r w:rsidRPr="00D87CB6">
        <w:rPr>
          <w:bCs/>
          <w:iCs/>
        </w:rPr>
        <w:t>Esedrával</w:t>
      </w:r>
      <w:r w:rsidRPr="00D87CB6">
        <w:rPr>
          <w:bCs/>
          <w:iCs/>
        </w:rPr>
        <w:t xml:space="preserve">; emlékeztet arra, hogy a </w:t>
      </w:r>
      <w:r w:rsidRPr="00D87CB6">
        <w:rPr>
          <w:bCs/>
          <w:iCs/>
        </w:rPr>
        <w:t>Wayenberg</w:t>
      </w:r>
      <w:r w:rsidRPr="00D87CB6">
        <w:rPr>
          <w:bCs/>
          <w:iCs/>
        </w:rPr>
        <w:t xml:space="preserve"> épületben található bölcsőde korábbi szolgáltatójával, az </w:t>
      </w:r>
      <w:r w:rsidRPr="00D87CB6">
        <w:rPr>
          <w:bCs/>
          <w:iCs/>
        </w:rPr>
        <w:t>Esedrával</w:t>
      </w:r>
      <w:r w:rsidRPr="00D87CB6">
        <w:rPr>
          <w:bCs/>
          <w:iCs/>
        </w:rPr>
        <w:t xml:space="preserve"> kötött szerződést a Parlament idő előtt felmondta, miután több súlyos vád merült fel a vállalkozóval szemben; megismétli, hogy főszabály szerint a külső személyzet tisztességes munkakörülményeit és megfelelő fizetését, ideértve a képzést, a készségfejlesztést, az erőszakkal és zaklatással szembeni védelmet célzó intézkedéseket, az érdemi szociális párbeszédet és a személyzet jóllétébe való beruházást adott esetben prioritásként kell kezelni a Parlament közbeszerzéseiben; felszólít a közbeszerzési eljárás és a jelenlegi szerződés végrehajtásának független külső ellenőrzésére, beleértve a munkakörülmények és a személyzet jóllétének független értékelését; </w:t>
      </w:r>
    </w:p>
    <w:p w:rsidR="007F6E0C" w:rsidRPr="00D87CB6" w:rsidP="00942350" w14:paraId="28402425" w14:textId="6D970064">
      <w:pPr>
        <w:widowControl/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31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üdvözli a Strasbourgban kialakított családi szobát, amely értékes támogatást nyújt a képviselők és a kisgyermekes személyzet számára parlamenti tevékenységeik során; megjegyzi azonban, hogy kapacitása korlátozott, összesen 30 gyermek befogadására alkalmas; megállapítja, hogy az európai parlamenti képviselők és a parlamenti személyzet átlagos életkora az elmúlt években csökkent, ami a fiatal családok számának </w:t>
      </w:r>
      <w:r w:rsidRPr="00D87CB6">
        <w:rPr>
          <w:color w:val="000000"/>
        </w:rPr>
        <w:t>növekedéséhez és a gyermekgondozási létesítmények iránti kereslet növekedéséhez vezetett; felhívja az Elnökséget és a főtitkárt, hogy határozzanak meg és léptessenek életbe megoldásokat a strasbourgi gyermekgondozás további javítására;</w:t>
      </w:r>
    </w:p>
    <w:p w:rsidR="007F6E0C" w:rsidRPr="00D87CB6" w:rsidP="00942350" w14:paraId="3FB761FA" w14:textId="54F6F855">
      <w:pPr>
        <w:widowControl/>
        <w:spacing w:after="240"/>
        <w:ind w:left="567" w:hanging="567"/>
        <w:rPr>
          <w:color w:val="000000"/>
        </w:rPr>
      </w:pPr>
      <w:r>
        <w:rPr>
          <w:color w:val="000000"/>
        </w:rPr>
        <w:t>32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megismétli a főtitkárnak szóló azon felhívását, hogy fektessen hangsúlyt arra az alapelvre, hogy valamennyi személyzetfelvételt a kompetenciára kell alapozni, biztosítva ugyanakkor a földrajzi egyensúlyt valamennyi tagállam között a személyzet valamennyi szintjén; hangsúlyozza, hogy a méltányos földrajzi képviselet elérése a közigazgatás minden szintjén – az életkor és a nem tekintetében is – elengedhetetlen egy ténylegesen európai közszolgálat előmozdításához; megjegyzi, hogy a Parlament </w:t>
      </w:r>
      <w:r w:rsidRPr="00D87CB6" w:rsidR="00C76427">
        <w:rPr>
          <w:color w:val="000000"/>
        </w:rPr>
        <w:t xml:space="preserve">intézkedéseket hozott </w:t>
      </w:r>
      <w:r w:rsidRPr="00D87CB6">
        <w:rPr>
          <w:color w:val="000000"/>
        </w:rPr>
        <w:t xml:space="preserve">e cél támogatására, többek között az állampolgárság szerinti versenyvizsgák megszervezése révén; hangsúlyozza, hogy fel kell gyorsítani a versenyvizsgák folyamatát, ugyanakkor fenn kell tartani a szigorú, érdemeken alapuló kiválasztási megközelítést; </w:t>
      </w:r>
    </w:p>
    <w:p w:rsidR="007F6E0C" w:rsidRPr="00D87CB6" w:rsidP="00942350" w14:paraId="7936990C" w14:textId="21A1C666">
      <w:pPr>
        <w:widowControl/>
        <w:spacing w:after="240"/>
        <w:ind w:left="567" w:hanging="567"/>
        <w:rPr>
          <w:color w:val="000000"/>
        </w:rPr>
      </w:pPr>
      <w:r>
        <w:rPr>
          <w:color w:val="000000"/>
        </w:rPr>
        <w:t>33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 xml:space="preserve">kiemeli, hogy a többnyelvűség kulcsfontosságú elv, amelyen a Parlament munkája alapul; kéri, hogy a Parlament adott esetben használja ki a többnyelvűséggel kapcsolatos szolgáltatások jelentős technológiai fejlődését, beleértve a mesterséges intelligencia fejlesztését és használatát is; </w:t>
      </w:r>
    </w:p>
    <w:p w:rsidR="007F6E0C" w:rsidRPr="00D87CB6" w:rsidP="00942350" w14:paraId="3E9A4A69" w14:textId="5644F1A6">
      <w:pPr>
        <w:widowControl/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34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tudomásul veszi az Európai Unió Törvényszékének 2025. december 17-i ítéletét</w:t>
      </w:r>
      <w:r>
        <w:rPr>
          <w:rStyle w:val="FootnoteReference"/>
          <w:bCs/>
          <w:iCs/>
          <w:color w:val="000000"/>
        </w:rPr>
        <w:footnoteReference w:id="14"/>
      </w:r>
      <w:r w:rsidRPr="00D87CB6">
        <w:rPr>
          <w:color w:val="000000"/>
        </w:rPr>
        <w:t>, amely megerősíti az Elnökség által 2023-ban a képviselők önkéntes nyugdíjalapjával kapcsolatban elfogadott intézkedések jogszerűségét; kiemeli, hogy bár ezek az intézkedések 63%-kal csökkentették a juttatási kötelezettséget, az alap továbbra is nagyon törékeny pénzügyi helyzetben van; elvárja, hogy naprakész tájékoztatást kapjon az önkéntes nyugdíjrendszerrel kapcsolatos további fejleményekről;</w:t>
      </w:r>
    </w:p>
    <w:p w:rsidR="007F6E0C" w:rsidRPr="00D87CB6" w:rsidP="00942350" w14:paraId="40256B19" w14:textId="2DF748CB">
      <w:pPr>
        <w:widowControl/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35</w:t>
      </w:r>
      <w:r w:rsidRPr="00D87CB6">
        <w:rPr>
          <w:color w:val="000000"/>
        </w:rPr>
        <w:t>.</w:t>
      </w:r>
      <w:r w:rsidRPr="00D87CB6">
        <w:rPr>
          <w:color w:val="000000"/>
        </w:rPr>
        <w:tab/>
        <w:t>hangsúlyozza, hogy a plenáris ülés által megszavazott kéréseket kiemelt prioritásként hajtsák végre;</w:t>
      </w:r>
    </w:p>
    <w:p w:rsidR="007F6E0C" w:rsidRPr="00D87CB6" w:rsidP="00942350" w14:paraId="768A6676" w14:textId="02B06546">
      <w:pPr>
        <w:widowControl/>
        <w:spacing w:after="240"/>
        <w:ind w:left="567" w:hanging="567"/>
      </w:pPr>
      <w:r>
        <w:t>36</w:t>
      </w:r>
      <w:r w:rsidRPr="00D87CB6">
        <w:t>.</w:t>
      </w:r>
      <w:r w:rsidRPr="00D87CB6">
        <w:tab/>
        <w:t>elfogadja a 2027. évi pénzügyi évre vonatkozó költségvetési javaslatát;</w:t>
      </w:r>
    </w:p>
    <w:p w:rsidR="007F6E0C" w:rsidRPr="00AC4F95" w:rsidP="0027245E" w14:paraId="3689A88A" w14:textId="4429D385">
      <w:pPr>
        <w:widowControl/>
        <w:spacing w:after="240"/>
        <w:ind w:left="567" w:hanging="567"/>
      </w:pPr>
      <w:r>
        <w:t>37</w:t>
      </w:r>
      <w:r w:rsidRPr="00D87CB6">
        <w:t>.</w:t>
      </w:r>
      <w:r w:rsidRPr="00D87CB6">
        <w:tab/>
        <w:t>utasítja elnökét, hogy továbbítsa ezt az állásfoglalást és a költségvetési javaslatot a Tanácsnak és a Bizottságnak.</w:t>
      </w:r>
    </w:p>
    <w:p w:rsidR="00E365E1" w:rsidRPr="00AC4F95" w:rsidP="004D64B8" w14:paraId="0EFD7792" w14:textId="07876E3A"/>
    <w:sectPr w:rsidSect="00AC4F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4F95" w14:paraId="5727F8E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4F95" w14:paraId="2EDA164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4F95" w14:paraId="5B71784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64B8" w:rsidRPr="00AC4F95" w14:paraId="78291400" w14:textId="77777777">
      <w:r w:rsidRPr="00AC4F95">
        <w:separator/>
      </w:r>
    </w:p>
  </w:footnote>
  <w:footnote w:type="continuationSeparator" w:id="1">
    <w:p w:rsidR="004D64B8" w:rsidRPr="00AC4F95" w14:paraId="75DAC4BD" w14:textId="77777777">
      <w:r w:rsidRPr="00AC4F95">
        <w:continuationSeparator/>
      </w:r>
    </w:p>
  </w:footnote>
  <w:footnote w:id="2">
    <w:p w:rsidR="007F6E0C" w:rsidRPr="00AC4F95" w:rsidP="00AC4F95" w14:paraId="208A134E" w14:textId="672794D7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 xml:space="preserve">HL L, 2024/2509, 2024.9.26., ELI: </w:t>
      </w:r>
      <w:hyperlink r:id="rId1" w:history="1">
        <w:r w:rsidRPr="00AC4F95">
          <w:rPr>
            <w:rStyle w:val="Hyperlink"/>
          </w:rPr>
          <w:t>http://data.europa.eu/eli/reg/2024/2509/oj</w:t>
        </w:r>
      </w:hyperlink>
      <w:r w:rsidRPr="00AC4F95">
        <w:rPr>
          <w:color w:val="337AB7"/>
          <w:u w:val="single"/>
        </w:rPr>
        <w:t>.</w:t>
      </w:r>
    </w:p>
  </w:footnote>
  <w:footnote w:id="3">
    <w:p w:rsidR="007F6E0C" w:rsidRPr="00AC4F95" w:rsidP="00AC4F95" w14:paraId="6C1352AE" w14:textId="7485FA35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 xml:space="preserve">HL L 433. I, 2020.12.22., 11. o., ELI: </w:t>
      </w:r>
      <w:hyperlink r:id="rId2" w:history="1">
        <w:r w:rsidRPr="00AC4F95">
          <w:rPr>
            <w:rStyle w:val="Hyperlink"/>
          </w:rPr>
          <w:t>http://data.europa.eu/eli/reg/2020/2093/oj</w:t>
        </w:r>
      </w:hyperlink>
      <w:r w:rsidRPr="00AC4F95">
        <w:rPr>
          <w:color w:val="000000"/>
        </w:rPr>
        <w:t>.</w:t>
      </w:r>
    </w:p>
  </w:footnote>
  <w:footnote w:id="4">
    <w:p w:rsidR="007F6E0C" w:rsidRPr="00AC4F95" w:rsidP="00AC4F95" w14:paraId="3C57C8A9" w14:textId="52DCB7FE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>HL C 444. I, 2020.12.22., 4. o.</w:t>
      </w:r>
    </w:p>
  </w:footnote>
  <w:footnote w:id="5">
    <w:p w:rsidR="007F6E0C" w:rsidRPr="00AC4F95" w:rsidP="00AC4F95" w14:paraId="0EB9C128" w14:textId="788B651C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>HL C 445., 2021.10.29., 252. o.</w:t>
      </w:r>
    </w:p>
  </w:footnote>
  <w:footnote w:id="6">
    <w:p w:rsidR="007F6E0C" w:rsidRPr="00AC4F95" w:rsidP="00AC4F95" w14:paraId="0733D322" w14:textId="669059CB">
      <w:pPr>
        <w:ind w:left="567" w:hanging="567"/>
      </w:pPr>
      <w:r w:rsidRPr="00AC4F95">
        <w:rPr>
          <w:rStyle w:val="FootnoteReference"/>
          <w:rFonts w:eastAsiaTheme="majorEastAsia"/>
        </w:rPr>
        <w:footnoteRef/>
      </w:r>
      <w:r w:rsidRPr="00AC4F95" w:rsidR="00AC4F95">
        <w:t xml:space="preserve"> </w:t>
      </w:r>
      <w:r w:rsidRPr="00AC4F95" w:rsidR="00AC4F95">
        <w:tab/>
      </w:r>
      <w:r w:rsidRPr="00AC4F95">
        <w:t xml:space="preserve">HL L 325., 2022.12.20., 11. o., ELI: </w:t>
      </w:r>
      <w:hyperlink r:id="rId3" w:history="1">
        <w:r w:rsidRPr="00AC4F95">
          <w:rPr>
            <w:rStyle w:val="Hyperlink"/>
          </w:rPr>
          <w:t>http://data.europa.eu/eli/reg/2022/2496/oj</w:t>
        </w:r>
      </w:hyperlink>
      <w:r w:rsidRPr="00AC4F95">
        <w:t>.</w:t>
      </w:r>
    </w:p>
  </w:footnote>
  <w:footnote w:id="7">
    <w:p w:rsidR="007F6E0C" w:rsidRPr="00AC4F95" w:rsidP="00AC4F95" w14:paraId="6A376A49" w14:textId="3F95D62F">
      <w:pPr>
        <w:ind w:left="567" w:hanging="567"/>
      </w:pPr>
      <w:r w:rsidRPr="00AC4F95">
        <w:rPr>
          <w:rStyle w:val="FootnoteReference"/>
        </w:rPr>
        <w:footnoteRef/>
      </w:r>
      <w:r w:rsidRPr="00AC4F95" w:rsidR="00AC4F95">
        <w:t xml:space="preserve"> </w:t>
      </w:r>
      <w:r w:rsidRPr="00AC4F95" w:rsidR="00AC4F95">
        <w:tab/>
      </w:r>
      <w:r w:rsidRPr="00AC4F95">
        <w:t>HL L</w:t>
      </w:r>
      <w:r w:rsidR="00D518EA">
        <w:t>,</w:t>
      </w:r>
      <w:r w:rsidRPr="00AC4F95">
        <w:t xml:space="preserve"> 2024/765, 2024.2.29., ELI: </w:t>
      </w:r>
      <w:hyperlink r:id="rId4" w:history="1">
        <w:r w:rsidRPr="00AC4F95">
          <w:rPr>
            <w:rStyle w:val="Hyperlink"/>
          </w:rPr>
          <w:t>http://data.europa.eu/eli/reg/2024/765/oj</w:t>
        </w:r>
      </w:hyperlink>
      <w:r w:rsidRPr="00AC4F95">
        <w:t>.</w:t>
      </w:r>
    </w:p>
  </w:footnote>
  <w:footnote w:id="8">
    <w:p w:rsidR="007F6E0C" w:rsidRPr="00AC4F95" w:rsidP="00AC4F95" w14:paraId="6AF54F6E" w14:textId="71F87D41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 xml:space="preserve">HL L 433. I, 2020.12.22., 28. o., ELI: </w:t>
      </w:r>
      <w:hyperlink r:id="rId5" w:history="1">
        <w:r w:rsidRPr="00AC4F95">
          <w:rPr>
            <w:rStyle w:val="Hyperlink"/>
          </w:rPr>
          <w:t>http://data.europa.eu/eli/agree_interinstit/2020/1222/oj</w:t>
        </w:r>
      </w:hyperlink>
      <w:r w:rsidRPr="00AC4F95">
        <w:rPr>
          <w:color w:val="000000"/>
        </w:rPr>
        <w:t>.</w:t>
      </w:r>
    </w:p>
  </w:footnote>
  <w:footnote w:id="9">
    <w:p w:rsidR="007F6E0C" w:rsidRPr="00AC4F95" w:rsidP="00AC4F95" w14:paraId="5FF511CA" w14:textId="64EA26D0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>HL C 445., 2021.10.29., 240. o.</w:t>
      </w:r>
    </w:p>
  </w:footnote>
  <w:footnote w:id="10">
    <w:p w:rsidR="007F6E0C" w:rsidRPr="00AC4F95" w:rsidP="00AC4F95" w14:paraId="57B862B3" w14:textId="05DFF1AD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>HL C 177., 2023.5.17., 115. o.</w:t>
      </w:r>
    </w:p>
  </w:footnote>
  <w:footnote w:id="11">
    <w:p w:rsidR="007F6E0C" w:rsidRPr="00AC4F95" w:rsidP="00AC4F95" w14:paraId="57AF5194" w14:textId="7B4733D7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 xml:space="preserve">HL C, C/2024/1195, 2024.2.23., ELI: </w:t>
      </w:r>
      <w:hyperlink r:id="rId6" w:history="1">
        <w:r w:rsidRPr="00AC4F95">
          <w:rPr>
            <w:rStyle w:val="Hyperlink"/>
          </w:rPr>
          <w:t>http://data.europa.eu/eli/C/2024/1195/oj</w:t>
        </w:r>
      </w:hyperlink>
      <w:r w:rsidRPr="00AC4F95">
        <w:rPr>
          <w:color w:val="000000"/>
        </w:rPr>
        <w:t>.</w:t>
      </w:r>
    </w:p>
  </w:footnote>
  <w:footnote w:id="12">
    <w:p w:rsidR="007F6E0C" w:rsidRPr="00AC4F95" w:rsidP="00AC4F95" w14:paraId="7BD991D3" w14:textId="759CAF92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 xml:space="preserve">HL C, C/2024/6751, 2024.11.26., ELI: </w:t>
      </w:r>
      <w:hyperlink r:id="rId7" w:history="1">
        <w:r w:rsidRPr="00AC4F95">
          <w:rPr>
            <w:rStyle w:val="Hyperlink"/>
          </w:rPr>
          <w:t>http://data.europa.eu/eli/C/2024/6751/oj</w:t>
        </w:r>
      </w:hyperlink>
      <w:r w:rsidRPr="00AC4F95">
        <w:rPr>
          <w:color w:val="000000"/>
        </w:rPr>
        <w:t>.</w:t>
      </w:r>
    </w:p>
  </w:footnote>
  <w:footnote w:id="13">
    <w:p w:rsidR="007F6E0C" w:rsidRPr="00AC4F95" w:rsidP="00AC4F95" w14:paraId="64BC3D8B" w14:textId="046DCC86">
      <w:pPr>
        <w:ind w:left="567" w:hanging="567"/>
        <w:rPr>
          <w:color w:val="000000"/>
        </w:rPr>
      </w:pPr>
      <w:r w:rsidRPr="00AC4F95">
        <w:rPr>
          <w:rStyle w:val="FootnoteReference"/>
        </w:rPr>
        <w:footnoteRef/>
      </w:r>
      <w:r w:rsidRPr="00AC4F95" w:rsidR="00AC4F95">
        <w:rPr>
          <w:color w:val="000000"/>
        </w:rPr>
        <w:t xml:space="preserve"> </w:t>
      </w:r>
      <w:r w:rsidRPr="00AC4F95" w:rsidR="00AC4F95">
        <w:rPr>
          <w:color w:val="000000"/>
        </w:rPr>
        <w:tab/>
      </w:r>
      <w:r w:rsidRPr="00AC4F95">
        <w:rPr>
          <w:color w:val="000000"/>
        </w:rPr>
        <w:t>HL L</w:t>
      </w:r>
      <w:r w:rsidR="00D518EA">
        <w:rPr>
          <w:color w:val="000000"/>
        </w:rPr>
        <w:t>,</w:t>
      </w:r>
      <w:r w:rsidRPr="00AC4F95">
        <w:rPr>
          <w:color w:val="000000"/>
        </w:rPr>
        <w:t xml:space="preserve"> 2026/72, 202</w:t>
      </w:r>
      <w:r w:rsidR="00504578">
        <w:rPr>
          <w:color w:val="000000"/>
        </w:rPr>
        <w:t>6</w:t>
      </w:r>
      <w:r w:rsidRPr="00AC4F95">
        <w:rPr>
          <w:color w:val="000000"/>
        </w:rPr>
        <w:t xml:space="preserve">.2.26., ELI: </w:t>
      </w:r>
      <w:hyperlink r:id="rId8" w:history="1">
        <w:r w:rsidRPr="00AC4F95">
          <w:rPr>
            <w:rStyle w:val="Hyperlink"/>
          </w:rPr>
          <w:t>http://data.europa.eu/eli/budget/2026/72/oj</w:t>
        </w:r>
      </w:hyperlink>
      <w:r w:rsidRPr="00AC4F95">
        <w:rPr>
          <w:color w:val="000000"/>
        </w:rPr>
        <w:t xml:space="preserve">. </w:t>
      </w:r>
    </w:p>
  </w:footnote>
  <w:footnote w:id="14">
    <w:p w:rsidR="007F6E0C" w:rsidRPr="00AC4F95" w:rsidP="00AC4F95" w14:paraId="2491DAEF" w14:textId="4674E2F0">
      <w:pPr>
        <w:pStyle w:val="FootnoteText"/>
        <w:ind w:left="567" w:hanging="567"/>
        <w:rPr>
          <w:sz w:val="24"/>
          <w:lang w:val="hu-HU"/>
        </w:rPr>
      </w:pPr>
      <w:r w:rsidRPr="00AC4F95">
        <w:rPr>
          <w:rStyle w:val="FootnoteReference"/>
          <w:sz w:val="24"/>
          <w:lang w:val="hu-HU"/>
        </w:rPr>
        <w:footnoteRef/>
      </w:r>
      <w:r w:rsidRPr="00AC4F95" w:rsidR="00AC4F95">
        <w:rPr>
          <w:sz w:val="24"/>
          <w:lang w:val="hu-HU"/>
        </w:rPr>
        <w:t xml:space="preserve"> </w:t>
      </w:r>
      <w:r w:rsidRPr="00AC4F95" w:rsidR="00AC4F95">
        <w:rPr>
          <w:sz w:val="24"/>
          <w:lang w:val="hu-HU"/>
        </w:rPr>
        <w:tab/>
      </w:r>
      <w:r w:rsidRPr="00AC4F95">
        <w:rPr>
          <w:sz w:val="24"/>
          <w:lang w:val="hu-HU"/>
        </w:rPr>
        <w:t xml:space="preserve">A </w:t>
      </w:r>
      <w:r w:rsidR="009D0F57">
        <w:rPr>
          <w:sz w:val="24"/>
          <w:lang w:val="hu-HU"/>
        </w:rPr>
        <w:t>Törvényszék</w:t>
      </w:r>
      <w:r w:rsidRPr="00AC4F95" w:rsidR="009D0F57">
        <w:rPr>
          <w:sz w:val="24"/>
          <w:lang w:val="hu-HU"/>
        </w:rPr>
        <w:t xml:space="preserve"> </w:t>
      </w:r>
      <w:r w:rsidRPr="00AC4F95">
        <w:rPr>
          <w:sz w:val="24"/>
          <w:lang w:val="hu-HU"/>
        </w:rPr>
        <w:t>2025. december 17-i ítélete, FE kontra Parlament, T</w:t>
      </w:r>
      <w:r w:rsidRPr="00AC4F95">
        <w:rPr>
          <w:sz w:val="24"/>
          <w:lang w:val="hu-HU"/>
        </w:rPr>
        <w:noBreakHyphen/>
        <w:t>483/24, ECLI:</w:t>
      </w:r>
      <w:r w:rsidRPr="00AC4F95">
        <w:rPr>
          <w:sz w:val="24"/>
          <w:lang w:val="hu-HU"/>
        </w:rPr>
        <w:t>EU:T</w:t>
      </w:r>
      <w:r w:rsidRPr="00AC4F95">
        <w:rPr>
          <w:sz w:val="24"/>
          <w:lang w:val="hu-HU"/>
        </w:rPr>
        <w:t>:2025:1121.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4F95" w14:paraId="33BF657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4F95" w14:paraId="712E43C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4F95" w14:paraId="43DD80A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3E8"/>
    <w:multiLevelType w:val="multilevel"/>
    <w:tmpl w:val="3B9ACA00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700"/>
        </w:tabs>
        <w:ind w:left="1700" w:hanging="1700"/>
      </w:pPr>
    </w:lvl>
    <w:lvl w:ilvl="5">
      <w:start w:val="1"/>
      <w:numFmt w:val="decimal"/>
      <w:lvlText w:val="%1.%2.%3.%4.%5.%6."/>
      <w:lvlJc w:val="left"/>
      <w:pPr>
        <w:tabs>
          <w:tab w:val="num" w:pos="1700"/>
        </w:tabs>
        <w:ind w:left="1700" w:hanging="1700"/>
      </w:pPr>
    </w:lvl>
    <w:lvl w:ilvl="6">
      <w:start w:val="1"/>
      <w:numFmt w:val="decimal"/>
      <w:lvlText w:val="%1.%2.%3.%4.%5.%6.%7."/>
      <w:lvlJc w:val="left"/>
      <w:pPr>
        <w:tabs>
          <w:tab w:val="num" w:pos="1700"/>
        </w:tabs>
        <w:ind w:left="1700" w:hanging="1700"/>
      </w:pPr>
    </w:lvl>
    <w:lvl w:ilvl="7">
      <w:start w:val="1"/>
      <w:numFmt w:val="decimal"/>
      <w:lvlText w:val="%1.%2.%3.%4.%5.%6.%7.%8."/>
      <w:lvlJc w:val="left"/>
      <w:pPr>
        <w:tabs>
          <w:tab w:val="num" w:pos="1700"/>
        </w:tabs>
        <w:ind w:left="1700" w:hanging="1700"/>
      </w:pPr>
    </w:lvl>
    <w:lvl w:ilvl="8">
      <w:start w:val="1"/>
      <w:numFmt w:val="decimal"/>
      <w:lvlText w:val="%1.%2.%3.%4.%5.%6.%7.%8.%9."/>
      <w:lvlJc w:val="left"/>
      <w:pPr>
        <w:tabs>
          <w:tab w:val="num" w:pos="1700"/>
        </w:tabs>
        <w:ind w:left="1700" w:hanging="1700"/>
      </w:pPr>
    </w:lvl>
  </w:abstractNum>
  <w:abstractNum w:abstractNumId="1">
    <w:nsid w:val="000003F2"/>
    <w:multiLevelType w:val="singleLevel"/>
    <w:tmpl w:val="4190AB00"/>
    <w:name w:val="Tiret 0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">
    <w:nsid w:val="000003F3"/>
    <w:multiLevelType w:val="singleLevel"/>
    <w:tmpl w:val="4190AB01"/>
    <w:name w:val="Tiret 1"/>
    <w:lvl w:ilvl="0">
      <w:start w:val="1"/>
      <w:numFmt w:val="bullet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>
    <w:nsid w:val="000003F4"/>
    <w:multiLevelType w:val="singleLevel"/>
    <w:tmpl w:val="4190AB02"/>
    <w:name w:val="Tiret 2"/>
    <w:lvl w:ilvl="0">
      <w:start w:val="1"/>
      <w:numFmt w:val="bullet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">
    <w:nsid w:val="000003F5"/>
    <w:multiLevelType w:val="singleLevel"/>
    <w:tmpl w:val="4190AB03"/>
    <w:name w:val="Tiret 3"/>
    <w:lvl w:ilvl="0">
      <w:start w:val="1"/>
      <w:numFmt w:val="bullet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>
    <w:nsid w:val="000003F6"/>
    <w:multiLevelType w:val="singleLevel"/>
    <w:tmpl w:val="4190AB04"/>
    <w:name w:val="Tiret 4"/>
    <w:lvl w:ilvl="0">
      <w:start w:val="1"/>
      <w:numFmt w:val="bullet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905940">
    <w:abstractNumId w:val="6"/>
  </w:num>
  <w:num w:numId="2" w16cid:durableId="1679386977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B8"/>
    <w:rsid w:val="00002272"/>
    <w:rsid w:val="00064002"/>
    <w:rsid w:val="000677B9"/>
    <w:rsid w:val="000831BA"/>
    <w:rsid w:val="000A42CC"/>
    <w:rsid w:val="000E7DD9"/>
    <w:rsid w:val="0010095E"/>
    <w:rsid w:val="001035CC"/>
    <w:rsid w:val="00125B37"/>
    <w:rsid w:val="00187494"/>
    <w:rsid w:val="001D4CB2"/>
    <w:rsid w:val="001F32AE"/>
    <w:rsid w:val="001F56BE"/>
    <w:rsid w:val="002445C5"/>
    <w:rsid w:val="00265530"/>
    <w:rsid w:val="0027245E"/>
    <w:rsid w:val="002767FF"/>
    <w:rsid w:val="00280F05"/>
    <w:rsid w:val="002B18FE"/>
    <w:rsid w:val="002B5493"/>
    <w:rsid w:val="002C1E8C"/>
    <w:rsid w:val="002E24DB"/>
    <w:rsid w:val="0032301F"/>
    <w:rsid w:val="00343214"/>
    <w:rsid w:val="00361C00"/>
    <w:rsid w:val="00395FA1"/>
    <w:rsid w:val="003C0F4A"/>
    <w:rsid w:val="003E15D4"/>
    <w:rsid w:val="00411CCE"/>
    <w:rsid w:val="00413FFF"/>
    <w:rsid w:val="0041666E"/>
    <w:rsid w:val="00421060"/>
    <w:rsid w:val="00471C19"/>
    <w:rsid w:val="004867E3"/>
    <w:rsid w:val="00494A28"/>
    <w:rsid w:val="004C0004"/>
    <w:rsid w:val="004C4BC2"/>
    <w:rsid w:val="004C5D52"/>
    <w:rsid w:val="004D64B8"/>
    <w:rsid w:val="004F54FD"/>
    <w:rsid w:val="0050457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4C2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E0C"/>
    <w:rsid w:val="00817416"/>
    <w:rsid w:val="00842779"/>
    <w:rsid w:val="00865F67"/>
    <w:rsid w:val="00881A7B"/>
    <w:rsid w:val="008840E5"/>
    <w:rsid w:val="00887B3E"/>
    <w:rsid w:val="008C2AC6"/>
    <w:rsid w:val="00901AAF"/>
    <w:rsid w:val="00930C23"/>
    <w:rsid w:val="0093193B"/>
    <w:rsid w:val="00942350"/>
    <w:rsid w:val="00944AE6"/>
    <w:rsid w:val="009509D8"/>
    <w:rsid w:val="00950B64"/>
    <w:rsid w:val="00981893"/>
    <w:rsid w:val="00992976"/>
    <w:rsid w:val="009D0F57"/>
    <w:rsid w:val="009E2171"/>
    <w:rsid w:val="00A1687D"/>
    <w:rsid w:val="00A43E52"/>
    <w:rsid w:val="00A44EF6"/>
    <w:rsid w:val="00A4678D"/>
    <w:rsid w:val="00A778C7"/>
    <w:rsid w:val="00AB441E"/>
    <w:rsid w:val="00AB6293"/>
    <w:rsid w:val="00AC4F9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C68"/>
    <w:rsid w:val="00C61C0C"/>
    <w:rsid w:val="00C75632"/>
    <w:rsid w:val="00C76427"/>
    <w:rsid w:val="00C941CB"/>
    <w:rsid w:val="00CC2357"/>
    <w:rsid w:val="00CF071A"/>
    <w:rsid w:val="00D058B8"/>
    <w:rsid w:val="00D50B16"/>
    <w:rsid w:val="00D518EA"/>
    <w:rsid w:val="00D56C11"/>
    <w:rsid w:val="00D8347D"/>
    <w:rsid w:val="00D834A0"/>
    <w:rsid w:val="00D872DF"/>
    <w:rsid w:val="00D87CB6"/>
    <w:rsid w:val="00D91E21"/>
    <w:rsid w:val="00DA7FCD"/>
    <w:rsid w:val="00E365E1"/>
    <w:rsid w:val="00E44FB6"/>
    <w:rsid w:val="00E820A4"/>
    <w:rsid w:val="00EB006A"/>
    <w:rsid w:val="00EB4772"/>
    <w:rsid w:val="00ED169E"/>
    <w:rsid w:val="00ED4235"/>
    <w:rsid w:val="00F04346"/>
    <w:rsid w:val="00F075DC"/>
    <w:rsid w:val="00F149E9"/>
    <w:rsid w:val="00F4282D"/>
    <w:rsid w:val="00F5134D"/>
    <w:rsid w:val="00F74202"/>
    <w:rsid w:val="00F87713"/>
    <w:rsid w:val="00FB4360"/>
    <w:rsid w:val="00FD0C70"/>
  </w:rsids>
  <w:docVars>
    <w:docVar w:name="dvdocse" w:val="A10-0124/2026"/>
    <w:docVar w:name="dvlangue" w:val="HU"/>
    <w:docVar w:name="dvnumam" w:val="0"/>
    <w:docVar w:name="dvpe" w:val="785.303"/>
    <w:docVar w:name="dvrapporteur" w:val="Előadó: "/>
    <w:docVar w:name="dvtitre" w:val="Az Európai Parlament 2026.  ...-i állásfoglalása az Európai Parlament 2027. évi pénzügyi évre tervezett bevételeiről és kiadásairól(2025/2247(BU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C3EE6F"/>
  <w15:chartTrackingRefBased/>
  <w15:docId w15:val="{24C09290-5CCC-4177-8FB7-9C0CD416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F6E0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9"/>
    <w:rsid w:val="007F6E0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9"/>
    <w:rsid w:val="007F6E0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9"/>
    <w:rsid w:val="007F6E0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9"/>
    <w:rsid w:val="007F6E0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9"/>
    <w:rsid w:val="007F6E0C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9"/>
    <w:rsid w:val="007F6E0C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9"/>
    <w:rsid w:val="007F6E0C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9"/>
    <w:rsid w:val="007F6E0C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7F6E0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F6E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7F6E0C"/>
    <w:pPr>
      <w:spacing w:after="240"/>
    </w:pPr>
  </w:style>
  <w:style w:type="paragraph" w:customStyle="1" w:styleId="TOCPage">
    <w:name w:val="TOC Page"/>
    <w:basedOn w:val="Normal"/>
    <w:next w:val="TOC1"/>
    <w:rsid w:val="007F6E0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F6E0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F6E0C"/>
    <w:rPr>
      <w:b/>
    </w:rPr>
  </w:style>
  <w:style w:type="paragraph" w:customStyle="1" w:styleId="NormalHanging12a">
    <w:name w:val="NormalHanging12a"/>
    <w:basedOn w:val="Normal"/>
    <w:rsid w:val="007F6E0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F6E0C"/>
    <w:pPr>
      <w:spacing w:after="480"/>
      <w:ind w:left="1417"/>
    </w:pPr>
  </w:style>
  <w:style w:type="paragraph" w:customStyle="1" w:styleId="CoverNormal">
    <w:name w:val="CoverNormal"/>
    <w:basedOn w:val="Normal"/>
    <w:rsid w:val="007F6E0C"/>
    <w:pPr>
      <w:ind w:left="1418"/>
    </w:pPr>
  </w:style>
  <w:style w:type="paragraph" w:customStyle="1" w:styleId="CoverReference">
    <w:name w:val="CoverReference"/>
    <w:basedOn w:val="Normal"/>
    <w:rsid w:val="007F6E0C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7F6E0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F6E0C"/>
    <w:pPr>
      <w:spacing w:before="240" w:after="1200"/>
    </w:pPr>
  </w:style>
  <w:style w:type="paragraph" w:customStyle="1" w:styleId="EPBody">
    <w:name w:val="EPBody"/>
    <w:basedOn w:val="Normal"/>
    <w:rsid w:val="007F6E0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F6E0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7F6E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E0C"/>
    <w:rPr>
      <w:sz w:val="24"/>
      <w:lang w:val="hu-HU"/>
    </w:rPr>
  </w:style>
  <w:style w:type="paragraph" w:customStyle="1" w:styleId="EPComma">
    <w:name w:val="EPComma"/>
    <w:basedOn w:val="Normal"/>
    <w:rsid w:val="007F6E0C"/>
    <w:pPr>
      <w:spacing w:before="480" w:after="240"/>
    </w:pPr>
  </w:style>
  <w:style w:type="character" w:styleId="Hyperlink">
    <w:name w:val="Hyperlink"/>
    <w:basedOn w:val="DefaultParagraphFont"/>
    <w:uiPriority w:val="99"/>
    <w:rsid w:val="007F6E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6E0C"/>
    <w:rPr>
      <w:color w:val="605E5C"/>
      <w:shd w:val="clear" w:color="auto" w:fill="E1DFDD"/>
    </w:rPr>
  </w:style>
  <w:style w:type="paragraph" w:customStyle="1" w:styleId="Action">
    <w:name w:val="Action"/>
    <w:basedOn w:val="Normal"/>
    <w:rsid w:val="007F6E0C"/>
    <w:pPr>
      <w:tabs>
        <w:tab w:val="left" w:pos="357"/>
      </w:tabs>
      <w:spacing w:after="240"/>
      <w:ind w:left="357" w:hanging="357"/>
    </w:pPr>
    <w:rPr>
      <w:lang w:eastAsia="en-US"/>
    </w:rPr>
  </w:style>
  <w:style w:type="paragraph" w:customStyle="1" w:styleId="action0">
    <w:name w:val="action"/>
    <w:basedOn w:val="Normal"/>
    <w:rsid w:val="007F6E0C"/>
    <w:pPr>
      <w:widowControl/>
      <w:spacing w:after="240"/>
      <w:ind w:left="357" w:hanging="357"/>
    </w:pPr>
    <w:rPr>
      <w:rFonts w:eastAsiaTheme="minorHAnsi"/>
      <w:szCs w:val="24"/>
    </w:rPr>
  </w:style>
  <w:style w:type="paragraph" w:customStyle="1" w:styleId="Institutionquiagit">
    <w:name w:val="Institution qui agit"/>
    <w:basedOn w:val="Normal"/>
    <w:next w:val="Normal"/>
    <w:rsid w:val="007F6E0C"/>
    <w:pPr>
      <w:keepNext/>
      <w:snapToGrid w:val="0"/>
      <w:spacing w:after="240"/>
    </w:pPr>
    <w:rPr>
      <w:i/>
      <w:lang w:eastAsia="en-US"/>
    </w:rPr>
  </w:style>
  <w:style w:type="paragraph" w:customStyle="1" w:styleId="FootnoteReference1">
    <w:name w:val="Footnote Reference1"/>
    <w:basedOn w:val="Normal"/>
    <w:link w:val="FootnoteReference"/>
    <w:rsid w:val="007F6E0C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7F6E0C"/>
    <w:rPr>
      <w:sz w:val="24"/>
      <w:lang w:val="hu-HU"/>
    </w:rPr>
  </w:style>
  <w:style w:type="paragraph" w:styleId="Footer">
    <w:name w:val="footer"/>
    <w:basedOn w:val="Normal"/>
    <w:link w:val="FooterChar"/>
    <w:uiPriority w:val="99"/>
    <w:rsid w:val="007F6E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E0C"/>
    <w:rPr>
      <w:sz w:val="24"/>
      <w:lang w:val="hu-HU"/>
    </w:rPr>
  </w:style>
  <w:style w:type="character" w:styleId="CommentReference">
    <w:name w:val="annotation reference"/>
    <w:basedOn w:val="DefaultParagraphFont"/>
    <w:uiPriority w:val="99"/>
    <w:rsid w:val="007F6E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F6E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6E0C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F6E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F6E0C"/>
    <w:rPr>
      <w:b/>
      <w:bCs/>
      <w:lang w:val="hu-HU"/>
    </w:rPr>
  </w:style>
  <w:style w:type="paragraph" w:styleId="ListParagraph">
    <w:name w:val="List Paragraph"/>
    <w:basedOn w:val="Normal"/>
    <w:uiPriority w:val="34"/>
    <w:qFormat/>
    <w:rsid w:val="007F6E0C"/>
    <w:pPr>
      <w:ind w:left="720"/>
      <w:contextualSpacing/>
    </w:pPr>
  </w:style>
  <w:style w:type="paragraph" w:customStyle="1" w:styleId="Normal24a">
    <w:name w:val="Normal24a"/>
    <w:basedOn w:val="Normal"/>
    <w:rsid w:val="007F6E0C"/>
    <w:pPr>
      <w:spacing w:after="480"/>
    </w:pPr>
  </w:style>
  <w:style w:type="paragraph" w:customStyle="1" w:styleId="NormalBoldCenter">
    <w:name w:val="NormalBoldCenter"/>
    <w:basedOn w:val="Normal"/>
    <w:rsid w:val="007F6E0C"/>
    <w:pPr>
      <w:jc w:val="center"/>
    </w:pPr>
    <w:rPr>
      <w:b/>
    </w:rPr>
  </w:style>
  <w:style w:type="paragraph" w:customStyle="1" w:styleId="Footprint12b">
    <w:name w:val="Footprint12b"/>
    <w:basedOn w:val="Normal"/>
    <w:rsid w:val="007F6E0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F6E0C"/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F6E0C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F6E0C"/>
    <w:rPr>
      <w:rFonts w:ascii="Arial" w:hAnsi="Arial" w:eastAsiaTheme="majorEastAsia" w:cs="Arial"/>
      <w:b/>
      <w:bCs/>
      <w:kern w:val="28"/>
      <w:sz w:val="32"/>
      <w:szCs w:val="32"/>
      <w:lang w:val="hu-H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E0C"/>
    <w:pPr>
      <w:widowControl/>
      <w:spacing w:after="60"/>
      <w:jc w:val="center"/>
      <w:outlineLvl w:val="1"/>
    </w:pPr>
    <w:rPr>
      <w:rFonts w:ascii="Arial" w:hAnsi="Arial" w:eastAsiaTheme="majorEastAsia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F6E0C"/>
    <w:rPr>
      <w:rFonts w:ascii="Arial" w:hAnsi="Arial" w:eastAsiaTheme="majorEastAsia" w:cs="Arial"/>
      <w:sz w:val="24"/>
      <w:szCs w:val="24"/>
      <w:lang w:val="hu-HU" w:eastAsia="en-US"/>
    </w:rPr>
  </w:style>
  <w:style w:type="character" w:styleId="Strong">
    <w:name w:val="Strong"/>
    <w:basedOn w:val="DefaultParagraphFont"/>
    <w:uiPriority w:val="22"/>
    <w:qFormat/>
    <w:rsid w:val="007F6E0C"/>
    <w:rPr>
      <w:b/>
      <w:bCs/>
    </w:rPr>
  </w:style>
  <w:style w:type="character" w:styleId="Emphasis">
    <w:name w:val="Emphasis"/>
    <w:basedOn w:val="DefaultParagraphFont"/>
    <w:uiPriority w:val="20"/>
    <w:qFormat/>
    <w:rsid w:val="007F6E0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F6E0C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F6E0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F6E0C"/>
    <w:rPr>
      <w:rFonts w:eastAsiaTheme="minorHAns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E0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E0C"/>
    <w:rPr>
      <w:rFonts w:eastAsiaTheme="minorHAnsi"/>
      <w:b/>
      <w:i/>
      <w:sz w:val="24"/>
      <w:szCs w:val="22"/>
      <w:lang w:val="hu-HU" w:eastAsia="en-US"/>
    </w:rPr>
  </w:style>
  <w:style w:type="character" w:styleId="SubtleEmphasis">
    <w:name w:val="Subtle Emphasis"/>
    <w:uiPriority w:val="19"/>
    <w:qFormat/>
    <w:rsid w:val="007F6E0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F6E0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F6E0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F6E0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F6E0C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ableTitle">
    <w:name w:val="Table Title"/>
    <w:basedOn w:val="Normal"/>
    <w:uiPriority w:val="99"/>
    <w:rsid w:val="007F6E0C"/>
    <w:pPr>
      <w:keepNext/>
      <w:widowControl/>
      <w:spacing w:before="120" w:after="120"/>
    </w:pPr>
    <w:rPr>
      <w:rFonts w:eastAsiaTheme="minorEastAsia"/>
      <w:sz w:val="20"/>
    </w:rPr>
  </w:style>
  <w:style w:type="paragraph" w:customStyle="1" w:styleId="Tablesubtitle">
    <w:name w:val="Table subtitle"/>
    <w:basedOn w:val="Normal"/>
    <w:next w:val="Normal"/>
    <w:uiPriority w:val="99"/>
    <w:rsid w:val="007F6E0C"/>
    <w:pPr>
      <w:keepNext/>
      <w:widowControl/>
    </w:pPr>
    <w:rPr>
      <w:rFonts w:eastAsiaTheme="minorEastAsia"/>
      <w:sz w:val="18"/>
      <w:szCs w:val="18"/>
    </w:rPr>
  </w:style>
  <w:style w:type="paragraph" w:customStyle="1" w:styleId="NormalRight">
    <w:name w:val="Normal Right"/>
    <w:basedOn w:val="Normal"/>
    <w:next w:val="Normal"/>
    <w:uiPriority w:val="99"/>
    <w:rsid w:val="007F6E0C"/>
    <w:pPr>
      <w:widowControl/>
      <w:spacing w:before="120" w:after="120"/>
      <w:jc w:val="right"/>
    </w:pPr>
    <w:rPr>
      <w:rFonts w:eastAsiaTheme="minorEastAsia"/>
      <w:szCs w:val="24"/>
    </w:rPr>
  </w:style>
  <w:style w:type="paragraph" w:customStyle="1" w:styleId="ReusedInfo">
    <w:name w:val="ReusedInfo"/>
    <w:next w:val="Normal"/>
    <w:uiPriority w:val="99"/>
    <w:rsid w:val="007F6E0C"/>
    <w:pPr>
      <w:shd w:val="clear" w:color="auto" w:fill="C0C0C0"/>
      <w:spacing w:before="60" w:after="60"/>
    </w:pPr>
    <w:rPr>
      <w:rFonts w:eastAsiaTheme="minorEastAsia"/>
      <w:lang w:val="hu-HU"/>
    </w:rPr>
  </w:style>
  <w:style w:type="paragraph" w:customStyle="1" w:styleId="Section">
    <w:name w:val="Section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b/>
      <w:bCs/>
      <w:smallCaps/>
      <w:sz w:val="44"/>
      <w:szCs w:val="44"/>
    </w:rPr>
  </w:style>
  <w:style w:type="paragraph" w:customStyle="1" w:styleId="Part">
    <w:name w:val="Part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b/>
      <w:bCs/>
      <w:smallCaps/>
      <w:sz w:val="40"/>
      <w:szCs w:val="40"/>
    </w:rPr>
  </w:style>
  <w:style w:type="paragraph" w:customStyle="1" w:styleId="Revenue">
    <w:name w:val="Revenue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Expenditure">
    <w:name w:val="Expenditure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title2">
    <w:name w:val="title2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b/>
      <w:bCs/>
      <w:smallCaps/>
      <w:sz w:val="32"/>
      <w:szCs w:val="32"/>
    </w:rPr>
  </w:style>
  <w:style w:type="paragraph" w:customStyle="1" w:styleId="Chapter">
    <w:name w:val="Chapter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b/>
      <w:bCs/>
      <w:smallCaps/>
      <w:sz w:val="28"/>
      <w:szCs w:val="28"/>
    </w:rPr>
  </w:style>
  <w:style w:type="paragraph" w:customStyle="1" w:styleId="Article">
    <w:name w:val="Article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b/>
      <w:bCs/>
      <w:i/>
      <w:iCs/>
      <w:szCs w:val="24"/>
    </w:rPr>
  </w:style>
  <w:style w:type="paragraph" w:customStyle="1" w:styleId="Item">
    <w:name w:val="Item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sz w:val="22"/>
      <w:szCs w:val="22"/>
    </w:rPr>
  </w:style>
  <w:style w:type="paragraph" w:customStyle="1" w:styleId="SubItem">
    <w:name w:val="SubItem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sz w:val="20"/>
    </w:rPr>
  </w:style>
  <w:style w:type="paragraph" w:customStyle="1" w:styleId="Annex">
    <w:name w:val="Annex"/>
    <w:basedOn w:val="Normal"/>
    <w:next w:val="Normal"/>
    <w:uiPriority w:val="99"/>
    <w:rsid w:val="007F6E0C"/>
    <w:pPr>
      <w:keepNext/>
      <w:widowControl/>
      <w:spacing w:before="480" w:after="120"/>
    </w:pPr>
    <w:rPr>
      <w:rFonts w:eastAsiaTheme="minorEastAsia"/>
      <w:b/>
      <w:bCs/>
      <w:sz w:val="32"/>
      <w:szCs w:val="32"/>
    </w:rPr>
  </w:style>
  <w:style w:type="paragraph" w:customStyle="1" w:styleId="EndofAnnex">
    <w:name w:val="End of Annex"/>
    <w:basedOn w:val="Normal"/>
    <w:next w:val="Normal"/>
    <w:uiPriority w:val="99"/>
    <w:rsid w:val="007F6E0C"/>
    <w:pPr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Objective">
    <w:name w:val="Objective"/>
    <w:basedOn w:val="Normal"/>
    <w:next w:val="Normal"/>
    <w:uiPriority w:val="99"/>
    <w:rsid w:val="007F6E0C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Figures">
    <w:name w:val="Figures"/>
    <w:basedOn w:val="Normal"/>
    <w:next w:val="Normal"/>
    <w:uiPriority w:val="99"/>
    <w:rsid w:val="007F6E0C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marks">
    <w:name w:val="Remarks"/>
    <w:basedOn w:val="Normal"/>
    <w:next w:val="Normal"/>
    <w:uiPriority w:val="99"/>
    <w:rsid w:val="007F6E0C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serveCond">
    <w:name w:val="ReserveCond"/>
    <w:basedOn w:val="Normal"/>
    <w:next w:val="Normal"/>
    <w:uiPriority w:val="99"/>
    <w:rsid w:val="007F6E0C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Legalbasis">
    <w:name w:val="Legal basis"/>
    <w:basedOn w:val="Normal"/>
    <w:next w:val="Normal"/>
    <w:uiPriority w:val="99"/>
    <w:rsid w:val="007F6E0C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ference">
    <w:name w:val="Reference"/>
    <w:basedOn w:val="Normal"/>
    <w:next w:val="Normal"/>
    <w:uiPriority w:val="99"/>
    <w:rsid w:val="007F6E0C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character" w:customStyle="1" w:styleId="tw4winExternal">
    <w:name w:val="tw4winExternal"/>
    <w:basedOn w:val="DefaultParagraphFont"/>
    <w:uiPriority w:val="99"/>
    <w:rsid w:val="007F6E0C"/>
  </w:style>
  <w:style w:type="character" w:customStyle="1" w:styleId="tw4winInternal">
    <w:name w:val="tw4winInternal"/>
    <w:basedOn w:val="DefaultParagraphFont"/>
    <w:uiPriority w:val="99"/>
    <w:rsid w:val="007F6E0C"/>
    <w:rPr>
      <w:sz w:val="16"/>
      <w:szCs w:val="16"/>
      <w:u w:val="dash"/>
      <w:shd w:val="clear" w:color="auto" w:fill="FFFF00"/>
    </w:rPr>
  </w:style>
  <w:style w:type="character" w:customStyle="1" w:styleId="ReusedInlineInfo">
    <w:name w:val="ReusedInlineInfo"/>
    <w:basedOn w:val="DefaultParagraphFont"/>
    <w:uiPriority w:val="99"/>
    <w:rsid w:val="007F6E0C"/>
    <w:rPr>
      <w:sz w:val="16"/>
      <w:szCs w:val="16"/>
      <w:u w:val="dash"/>
      <w:shd w:val="clear" w:color="auto" w:fill="FFFF00"/>
    </w:rPr>
  </w:style>
  <w:style w:type="character" w:customStyle="1" w:styleId="Error">
    <w:name w:val="Error"/>
    <w:basedOn w:val="DefaultParagraphFont"/>
    <w:uiPriority w:val="99"/>
    <w:rsid w:val="007F6E0C"/>
    <w:rPr>
      <w:shd w:val="clear" w:color="auto" w:fill="FF0000"/>
    </w:rPr>
  </w:style>
  <w:style w:type="paragraph" w:styleId="BalloonText">
    <w:name w:val="Balloon Text"/>
    <w:basedOn w:val="Normal"/>
    <w:link w:val="BalloonTextChar"/>
    <w:uiPriority w:val="99"/>
    <w:unhideWhenUsed/>
    <w:rsid w:val="007F6E0C"/>
    <w:pPr>
      <w:widowControl/>
      <w:jc w:val="both"/>
    </w:pPr>
    <w:rPr>
      <w:rFonts w:ascii="Segoe UI" w:hAnsi="Segoe UI" w:eastAsiaTheme="minorHAns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F6E0C"/>
    <w:rPr>
      <w:rFonts w:ascii="Segoe UI" w:hAnsi="Segoe UI" w:eastAsiaTheme="minorHAnsi" w:cs="Segoe UI"/>
      <w:sz w:val="18"/>
      <w:szCs w:val="18"/>
      <w:lang w:val="hu-HU" w:eastAsia="en-US"/>
    </w:rPr>
  </w:style>
  <w:style w:type="numbering" w:customStyle="1" w:styleId="NoList1">
    <w:name w:val="No List1"/>
    <w:next w:val="NoList"/>
    <w:uiPriority w:val="99"/>
    <w:semiHidden/>
    <w:unhideWhenUsed/>
    <w:rsid w:val="007F6E0C"/>
  </w:style>
  <w:style w:type="numbering" w:customStyle="1" w:styleId="NoList2">
    <w:name w:val="No List2"/>
    <w:next w:val="NoList"/>
    <w:uiPriority w:val="99"/>
    <w:semiHidden/>
    <w:unhideWhenUsed/>
    <w:rsid w:val="007F6E0C"/>
  </w:style>
  <w:style w:type="paragraph" w:customStyle="1" w:styleId="RollCallVotes">
    <w:name w:val="RollCallVotes"/>
    <w:basedOn w:val="Normal"/>
    <w:rsid w:val="007F6E0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F6E0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F6E0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F6E0C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4/2509/oj" TargetMode="External" /><Relationship Id="rId2" Type="http://schemas.openxmlformats.org/officeDocument/2006/relationships/hyperlink" Target="http://data.europa.eu/eli/reg/2020/2093/oj" TargetMode="External" /><Relationship Id="rId3" Type="http://schemas.openxmlformats.org/officeDocument/2006/relationships/hyperlink" Target="http://data.europa.eu/eli/reg/2022/2496/oj" TargetMode="External" /><Relationship Id="rId4" Type="http://schemas.openxmlformats.org/officeDocument/2006/relationships/hyperlink" Target="http://data.europa.eu/eli/reg/2024/765/oj" TargetMode="External" /><Relationship Id="rId5" Type="http://schemas.openxmlformats.org/officeDocument/2006/relationships/hyperlink" Target="http://data.europa.eu/eli/agree_interinstit/2020/1222/oj" TargetMode="External" /><Relationship Id="rId6" Type="http://schemas.openxmlformats.org/officeDocument/2006/relationships/hyperlink" Target="http://data.europa.eu/eli/C/2024/1195/oj" TargetMode="External" /><Relationship Id="rId7" Type="http://schemas.openxmlformats.org/officeDocument/2006/relationships/hyperlink" Target="http://data.europa.eu/eli/C/2024/6751/oj" TargetMode="External" /><Relationship Id="rId8" Type="http://schemas.openxmlformats.org/officeDocument/2006/relationships/hyperlink" Target="http://data.europa.eu/eli/budget/2026/7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3657</Words>
  <Characters>26415</Characters>
  <Application>Microsoft Office Word</Application>
  <DocSecurity>0</DocSecurity>
  <Lines>220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2026-07-06T09:25:00Z</dcterms:created>
  <dcterms:modified xsi:type="dcterms:W3CDTF">2026-09-21T12:50:00Z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P10_TA(2026)0155_</vt:lpwstr>
  </property>
  <property fmtid="{D5CDD505-2E9C-101B-9397-08002B2CF9AE}" pid="4" name="&lt;Type&gt;">
    <vt:lpwstr>RR</vt:lpwstr>
  </property>
</Properties>
</file>