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13D" w14:paraId="6E97F1F3" w14:textId="77777777" w:rsidTr="0010095E">
        <w:trPr>
          <w:trHeight w:hRule="exact" w:val="1418"/>
        </w:trPr>
        <w:tc>
          <w:tcPr>
            <w:tcW w:w="6804" w:type="dxa"/>
            <w:shd w:val="clear" w:color="auto" w:fill="auto"/>
            <w:vAlign w:val="center"/>
          </w:tcPr>
          <w:p w14:paraId="7F7535DB" w14:textId="77777777" w:rsidR="00751A4A" w:rsidRPr="007A313D" w:rsidRDefault="002B71E4" w:rsidP="0010095E">
            <w:pPr>
              <w:pStyle w:val="EPName"/>
            </w:pPr>
            <w:r w:rsidRPr="007A313D">
              <w:t>Europos Parlamentas</w:t>
            </w:r>
          </w:p>
          <w:p w14:paraId="4EA009B2" w14:textId="77777777" w:rsidR="00751A4A" w:rsidRPr="007A313D" w:rsidRDefault="005F1B17" w:rsidP="005F1B17">
            <w:pPr>
              <w:pStyle w:val="EPTerm"/>
              <w:rPr>
                <w:rStyle w:val="HideTWBExt"/>
                <w:noProof w:val="0"/>
                <w:vanish w:val="0"/>
                <w:color w:val="auto"/>
              </w:rPr>
            </w:pPr>
            <w:r w:rsidRPr="007A313D">
              <w:t>2024</w:t>
            </w:r>
            <w:r w:rsidR="00817416" w:rsidRPr="007A313D">
              <w:t>-202</w:t>
            </w:r>
            <w:r w:rsidRPr="007A313D">
              <w:t>9</w:t>
            </w:r>
          </w:p>
        </w:tc>
        <w:tc>
          <w:tcPr>
            <w:tcW w:w="2268" w:type="dxa"/>
            <w:shd w:val="clear" w:color="auto" w:fill="auto"/>
          </w:tcPr>
          <w:p w14:paraId="6CA0C44F" w14:textId="77777777" w:rsidR="00751A4A" w:rsidRPr="007A313D" w:rsidRDefault="00187494" w:rsidP="0010095E">
            <w:pPr>
              <w:pStyle w:val="EPLogo"/>
            </w:pPr>
            <w:r w:rsidRPr="007A313D">
              <w:rPr>
                <w:noProof/>
                <w:lang w:eastAsia="ja-JP"/>
              </w:rPr>
              <w:drawing>
                <wp:inline distT="0" distB="0" distL="0" distR="0" wp14:anchorId="4EEEE77E" wp14:editId="3E339F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29DCCE" w14:textId="77777777" w:rsidR="00D058B8" w:rsidRPr="007A313D" w:rsidRDefault="00D058B8" w:rsidP="004C5D52">
      <w:pPr>
        <w:pStyle w:val="LineTop"/>
      </w:pPr>
    </w:p>
    <w:p w14:paraId="1F08A979" w14:textId="77777777" w:rsidR="00680577" w:rsidRPr="007A313D" w:rsidRDefault="002B71E4" w:rsidP="00680577">
      <w:pPr>
        <w:pStyle w:val="EPBodyTA1"/>
      </w:pPr>
      <w:r w:rsidRPr="007A313D">
        <w:t>PRIIMTI TEKSTAI</w:t>
      </w:r>
    </w:p>
    <w:p w14:paraId="2A5A4A3F" w14:textId="77777777" w:rsidR="00D058B8" w:rsidRPr="007A313D" w:rsidRDefault="00D058B8" w:rsidP="00D058B8">
      <w:pPr>
        <w:pStyle w:val="LineBottom"/>
      </w:pPr>
    </w:p>
    <w:p w14:paraId="64DF0AB5" w14:textId="7EBD9847" w:rsidR="002B71E4" w:rsidRPr="007A313D" w:rsidRDefault="002B71E4" w:rsidP="002B71E4">
      <w:pPr>
        <w:pStyle w:val="ATHeading1"/>
      </w:pPr>
      <w:bookmarkStart w:id="0" w:name="TANumber"/>
      <w:r w:rsidRPr="007A313D">
        <w:t>P10_TA(2026)0</w:t>
      </w:r>
      <w:r w:rsidR="00CB66B3" w:rsidRPr="007A313D">
        <w:t>155</w:t>
      </w:r>
      <w:bookmarkEnd w:id="0"/>
    </w:p>
    <w:p w14:paraId="5BAAA7F4" w14:textId="77777777" w:rsidR="002B71E4" w:rsidRPr="007A313D" w:rsidRDefault="002B71E4" w:rsidP="002B71E4">
      <w:pPr>
        <w:pStyle w:val="ATHeading2"/>
      </w:pPr>
      <w:bookmarkStart w:id="1" w:name="title"/>
      <w:r w:rsidRPr="007A313D">
        <w:t>2027 finansinių metų pajamų ir išlaidų sąmata – I skirsnis – Europos Parlamentas</w:t>
      </w:r>
      <w:bookmarkEnd w:id="1"/>
    </w:p>
    <w:p w14:paraId="3CFA328D" w14:textId="77777777" w:rsidR="002B71E4" w:rsidRPr="007A313D" w:rsidRDefault="002B71E4" w:rsidP="002B71E4">
      <w:pPr>
        <w:rPr>
          <w:i/>
          <w:vanish/>
        </w:rPr>
      </w:pPr>
      <w:r w:rsidRPr="007A313D">
        <w:rPr>
          <w:i/>
        </w:rPr>
        <w:fldChar w:fldCharType="begin"/>
      </w:r>
      <w:r w:rsidRPr="007A313D">
        <w:rPr>
          <w:i/>
        </w:rPr>
        <w:instrText xml:space="preserve"> TC"(</w:instrText>
      </w:r>
      <w:bookmarkStart w:id="2" w:name="DocNumber"/>
      <w:r w:rsidRPr="007A313D">
        <w:rPr>
          <w:i/>
        </w:rPr>
        <w:instrText>A10-0124/2026</w:instrText>
      </w:r>
      <w:bookmarkEnd w:id="2"/>
      <w:r w:rsidRPr="007A313D">
        <w:rPr>
          <w:i/>
        </w:rPr>
        <w:instrText xml:space="preserve"> - Pranešėjas: Michalis Hadjipantela)"\l3 \n&gt; \* MERGEFORMAT </w:instrText>
      </w:r>
      <w:r w:rsidRPr="007A313D">
        <w:rPr>
          <w:i/>
        </w:rPr>
        <w:fldChar w:fldCharType="end"/>
      </w:r>
    </w:p>
    <w:p w14:paraId="65722F2D" w14:textId="77777777" w:rsidR="002B71E4" w:rsidRPr="007A313D" w:rsidRDefault="002B71E4" w:rsidP="002B71E4">
      <w:pPr>
        <w:rPr>
          <w:vanish/>
        </w:rPr>
      </w:pPr>
      <w:bookmarkStart w:id="3" w:name="Commission"/>
      <w:r w:rsidRPr="007A313D">
        <w:rPr>
          <w:vanish/>
        </w:rPr>
        <w:t>Biudžeto komitetas</w:t>
      </w:r>
      <w:bookmarkEnd w:id="3"/>
    </w:p>
    <w:p w14:paraId="6888B706" w14:textId="77777777" w:rsidR="002B71E4" w:rsidRPr="007A313D" w:rsidRDefault="002B71E4" w:rsidP="002B71E4">
      <w:pPr>
        <w:rPr>
          <w:vanish/>
        </w:rPr>
      </w:pPr>
      <w:bookmarkStart w:id="4" w:name="PE"/>
      <w:r w:rsidRPr="007A313D">
        <w:rPr>
          <w:vanish/>
        </w:rPr>
        <w:t>PE785.303</w:t>
      </w:r>
      <w:bookmarkEnd w:id="4"/>
    </w:p>
    <w:p w14:paraId="07CAC04A" w14:textId="12941D08" w:rsidR="002B71E4" w:rsidRPr="007A313D" w:rsidRDefault="002B71E4" w:rsidP="005C18EC">
      <w:pPr>
        <w:pStyle w:val="ATHeading3"/>
      </w:pPr>
      <w:bookmarkStart w:id="5" w:name="Sujet"/>
      <w:r w:rsidRPr="007A313D">
        <w:t xml:space="preserve">2026 m. </w:t>
      </w:r>
      <w:r w:rsidR="00C57CEE" w:rsidRPr="007A313D">
        <w:t>balandžio 30</w:t>
      </w:r>
      <w:r w:rsidRPr="007A313D">
        <w:t xml:space="preserve"> d. Europos Parlamento rezoliucija dėl Europos Parlamento 2027 finansinių metų pajamų ir išlaidų sąmatos</w:t>
      </w:r>
      <w:bookmarkEnd w:id="5"/>
      <w:r w:rsidRPr="007A313D">
        <w:t xml:space="preserve"> </w:t>
      </w:r>
      <w:bookmarkStart w:id="6" w:name="References"/>
      <w:r w:rsidRPr="007A313D">
        <w:t>(2025/2247(BUI))</w:t>
      </w:r>
      <w:bookmarkEnd w:id="6"/>
    </w:p>
    <w:p w14:paraId="758B26E1" w14:textId="77777777" w:rsidR="005E08BE" w:rsidRPr="007A313D" w:rsidRDefault="005E08BE" w:rsidP="005E08BE">
      <w:pPr>
        <w:pStyle w:val="Institutionquiagit"/>
        <w:spacing w:before="480"/>
        <w:rPr>
          <w:i w:val="0"/>
        </w:rPr>
      </w:pPr>
      <w:bookmarkStart w:id="7" w:name="TextBodyBegin"/>
      <w:bookmarkEnd w:id="7"/>
      <w:r w:rsidRPr="007A313D">
        <w:t>Europos Parlamentas,</w:t>
      </w:r>
    </w:p>
    <w:p w14:paraId="765F6E09" w14:textId="77777777" w:rsidR="005E08BE" w:rsidRPr="007A313D" w:rsidRDefault="005E08BE" w:rsidP="005E08BE">
      <w:pPr>
        <w:pStyle w:val="Action"/>
        <w:tabs>
          <w:tab w:val="clear" w:pos="357"/>
        </w:tabs>
        <w:spacing w:after="120"/>
        <w:ind w:left="567" w:hanging="567"/>
        <w:outlineLvl w:val="0"/>
      </w:pPr>
      <w:r w:rsidRPr="007A313D">
        <w:t>–</w:t>
      </w:r>
      <w:r w:rsidRPr="007A313D">
        <w:tab/>
        <w:t>atsižvelgdamas į Sutarties dėl Europos Sąjungos veikimo 314 straipsnį,</w:t>
      </w:r>
    </w:p>
    <w:p w14:paraId="460D497A" w14:textId="77777777" w:rsidR="005E08BE" w:rsidRPr="007A313D" w:rsidRDefault="005E08BE" w:rsidP="005E08BE">
      <w:pPr>
        <w:widowControl/>
        <w:spacing w:after="240"/>
        <w:ind w:left="567" w:hanging="567"/>
        <w:rPr>
          <w:color w:val="000000"/>
        </w:rPr>
      </w:pPr>
      <w:r w:rsidRPr="007A313D">
        <w:rPr>
          <w:color w:val="000000"/>
        </w:rPr>
        <w:t>–</w:t>
      </w:r>
      <w:r w:rsidRPr="007A313D">
        <w:rPr>
          <w:color w:val="000000"/>
        </w:rPr>
        <w:tab/>
        <w:t>atsižvelgdamas į 2024 m. rugsėjo 23 d. Europos Parlamento ir Tarybos reglamentą (ES, Euratomas) 2024/2509 dėl Sąjungos bendrajam biudžetui taikomų finansinių taisyklių (nauja redakcija)</w:t>
      </w:r>
      <w:r w:rsidRPr="007A313D">
        <w:rPr>
          <w:color w:val="000000"/>
          <w:vertAlign w:val="superscript"/>
        </w:rPr>
        <w:footnoteReference w:id="1"/>
      </w:r>
      <w:r w:rsidRPr="007A313D">
        <w:rPr>
          <w:color w:val="000000"/>
        </w:rPr>
        <w:t xml:space="preserve"> (toliau – Finansinis reglamentas),</w:t>
      </w:r>
    </w:p>
    <w:p w14:paraId="06C8B10E" w14:textId="77777777" w:rsidR="005E08BE" w:rsidRPr="007A313D" w:rsidRDefault="005E08BE" w:rsidP="005E08BE">
      <w:pPr>
        <w:spacing w:after="240"/>
        <w:ind w:left="567" w:hanging="567"/>
        <w:rPr>
          <w:color w:val="000000"/>
        </w:rPr>
      </w:pPr>
      <w:r w:rsidRPr="007A313D">
        <w:rPr>
          <w:color w:val="000000"/>
        </w:rPr>
        <w:t>–</w:t>
      </w:r>
      <w:r w:rsidRPr="007A313D">
        <w:rPr>
          <w:color w:val="000000"/>
        </w:rPr>
        <w:tab/>
      </w:r>
      <w:r w:rsidRPr="007A313D">
        <w:t>atsižvelgdamas į 2020 m. gruodžio 17 d. Tarybos reglamentą (ES, Euratomas) 2020/2093, kuriuo nustatoma 2021–2027 m. daugiametė finansinė programa</w:t>
      </w:r>
      <w:r w:rsidRPr="007A313D">
        <w:rPr>
          <w:color w:val="000000"/>
          <w:vertAlign w:val="superscript"/>
        </w:rPr>
        <w:footnoteReference w:id="2"/>
      </w:r>
      <w:r w:rsidRPr="007A313D">
        <w:t>, į bendrą deklaraciją, dėl kurios šiuo klausimu susitarė Parlamentas, Taryba ir Komisija</w:t>
      </w:r>
      <w:r w:rsidRPr="007A313D">
        <w:rPr>
          <w:color w:val="000000"/>
          <w:vertAlign w:val="superscript"/>
        </w:rPr>
        <w:footnoteReference w:id="3"/>
      </w:r>
      <w:r w:rsidRPr="007A313D">
        <w:t>, ir į susijusias vienašales deklaracijas</w:t>
      </w:r>
      <w:r w:rsidRPr="007A313D">
        <w:rPr>
          <w:color w:val="000000"/>
          <w:vertAlign w:val="superscript"/>
        </w:rPr>
        <w:footnoteReference w:id="4"/>
      </w:r>
      <w:r w:rsidRPr="007A313D">
        <w:t>,</w:t>
      </w:r>
      <w:sdt>
        <w:sdtPr>
          <w:tag w:val="goog_rdk_0"/>
          <w:id w:val="399490220"/>
        </w:sdtPr>
        <w:sdtEndPr/>
        <w:sdtContent/>
      </w:sdt>
      <w:sdt>
        <w:sdtPr>
          <w:tag w:val="goog_rdk_1"/>
          <w:id w:val="-2088213729"/>
        </w:sdtPr>
        <w:sdtEndPr/>
        <w:sdtContent/>
      </w:sdt>
    </w:p>
    <w:p w14:paraId="5C3D107E" w14:textId="77777777" w:rsidR="005E08BE" w:rsidRPr="007A313D" w:rsidRDefault="005E08BE" w:rsidP="005E08BE">
      <w:pPr>
        <w:spacing w:after="240"/>
        <w:ind w:left="567" w:hanging="567"/>
        <w:rPr>
          <w:color w:val="000000" w:themeColor="text1"/>
        </w:rPr>
      </w:pPr>
      <w:r w:rsidRPr="007A313D">
        <w:rPr>
          <w:color w:val="000000"/>
        </w:rPr>
        <w:t>–</w:t>
      </w:r>
      <w:r w:rsidRPr="007A313D">
        <w:rPr>
          <w:color w:val="000000"/>
        </w:rPr>
        <w:tab/>
        <w:t>atsižvelgdamas į 2022 m. gruodžio 15 d. Tarybos reglamentą (ES, Euratomas) 2022/2496, kuriuo iš dalies keičiamas Reglamentas (ES, Euratomas) 2020/2093, kuriuo nustatoma 2021–2027 m. daugiametė finansinė programa</w:t>
      </w:r>
      <w:r w:rsidRPr="007A313D">
        <w:rPr>
          <w:color w:val="000000"/>
          <w:vertAlign w:val="superscript"/>
        </w:rPr>
        <w:footnoteReference w:id="5"/>
      </w:r>
      <w:r w:rsidRPr="007A313D">
        <w:rPr>
          <w:color w:val="000000"/>
        </w:rPr>
        <w:t>,</w:t>
      </w:r>
    </w:p>
    <w:p w14:paraId="2DAEAAA2" w14:textId="77777777" w:rsidR="005E08BE" w:rsidRPr="007A313D" w:rsidRDefault="005E08BE" w:rsidP="005E08BE">
      <w:pPr>
        <w:spacing w:after="240"/>
        <w:ind w:left="567" w:hanging="567"/>
      </w:pPr>
      <w:r w:rsidRPr="007A313D">
        <w:t>–</w:t>
      </w:r>
      <w:r w:rsidRPr="007A313D">
        <w:tab/>
      </w:r>
      <w:r w:rsidRPr="007A313D">
        <w:rPr>
          <w:color w:val="000000"/>
        </w:rPr>
        <w:t>atsižvelgdamas į Tarybos reglamentą (ES, Euratomas) 2024/765, kuriuo iš dalies keičiamas Reglamentas (ES, Euratomas) 2020/2093, kuriuo nustatoma 2021–2027 m. daugiametė finansinė programa</w:t>
      </w:r>
      <w:r w:rsidRPr="007A313D">
        <w:rPr>
          <w:rStyle w:val="FootnoteReference"/>
          <w:color w:val="000000"/>
        </w:rPr>
        <w:footnoteReference w:id="6"/>
      </w:r>
      <w:r w:rsidRPr="007A313D">
        <w:rPr>
          <w:color w:val="000000"/>
        </w:rPr>
        <w:t xml:space="preserve"> (toliau – DFP tikslinimas),</w:t>
      </w:r>
    </w:p>
    <w:p w14:paraId="20D4E22B" w14:textId="77777777" w:rsidR="005E08BE" w:rsidRPr="007A313D" w:rsidRDefault="005E08BE" w:rsidP="005E08BE">
      <w:pPr>
        <w:spacing w:after="240"/>
        <w:ind w:left="567" w:hanging="567"/>
        <w:rPr>
          <w:color w:val="000000"/>
        </w:rPr>
      </w:pPr>
      <w:r w:rsidRPr="007A313D">
        <w:rPr>
          <w:color w:val="000000"/>
        </w:rPr>
        <w:t>–</w:t>
      </w:r>
      <w:r w:rsidRPr="007A313D">
        <w:rPr>
          <w:color w:val="000000"/>
        </w:rPr>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7A313D">
        <w:rPr>
          <w:color w:val="000000"/>
        </w:rPr>
        <w:lastRenderedPageBreak/>
        <w:t>nuosavų išteklių, įskaitant veiksmų gaires dėl naujų nuosavų išteklių nustatymo</w:t>
      </w:r>
      <w:r w:rsidRPr="007A313D">
        <w:rPr>
          <w:color w:val="000000"/>
          <w:vertAlign w:val="superscript"/>
        </w:rPr>
        <w:footnoteReference w:id="7"/>
      </w:r>
      <w:r w:rsidRPr="007A313D">
        <w:rPr>
          <w:color w:val="000000"/>
        </w:rPr>
        <w:t>,</w:t>
      </w:r>
    </w:p>
    <w:p w14:paraId="21F552E1" w14:textId="77777777" w:rsidR="005E08BE" w:rsidRPr="007A313D" w:rsidRDefault="005E08BE" w:rsidP="005E08BE">
      <w:pPr>
        <w:spacing w:after="240"/>
        <w:ind w:left="567" w:hanging="567"/>
      </w:pPr>
      <w:r w:rsidRPr="007A313D">
        <w:t>–</w:t>
      </w:r>
      <w:r w:rsidRPr="007A313D">
        <w:tab/>
        <w:t>atsižvelgdamas į 2020 m. gruodžio 16 d. teisėkūros rezoliuciją dėl Tarybos reglamento, kuriuo nustatoma 2021–2027 m. daugiametė finansinė programa, projekto</w:t>
      </w:r>
      <w:r w:rsidRPr="007A313D">
        <w:rPr>
          <w:vertAlign w:val="superscript"/>
        </w:rPr>
        <w:footnoteReference w:id="8"/>
      </w:r>
      <w:r w:rsidRPr="007A313D">
        <w:t>,</w:t>
      </w:r>
    </w:p>
    <w:p w14:paraId="5B79519C" w14:textId="77777777" w:rsidR="005E08BE" w:rsidRPr="007A313D" w:rsidRDefault="005E08BE" w:rsidP="005E08BE">
      <w:pPr>
        <w:spacing w:after="240"/>
        <w:ind w:left="567" w:hanging="567"/>
        <w:rPr>
          <w:color w:val="000000"/>
        </w:rPr>
      </w:pPr>
      <w:r w:rsidRPr="007A313D">
        <w:rPr>
          <w:color w:val="000000"/>
        </w:rPr>
        <w:t>–</w:t>
      </w:r>
      <w:r w:rsidRPr="007A313D">
        <w:rPr>
          <w:color w:val="000000"/>
        </w:rPr>
        <w:tab/>
        <w:t>atsižvelgdamas į 2022 m. gruodžio 15 d. rezoliuciją „2021–2027 m. daugiametės finansinės programos tobulinimas: atsparus ir naujiems iššūkiams pritaikytas ES biudžetas“</w:t>
      </w:r>
      <w:r w:rsidRPr="007A313D">
        <w:rPr>
          <w:color w:val="000000"/>
          <w:vertAlign w:val="superscript"/>
        </w:rPr>
        <w:footnoteReference w:id="9"/>
      </w:r>
      <w:r w:rsidRPr="007A313D">
        <w:rPr>
          <w:color w:val="000000"/>
        </w:rPr>
        <w:t>,</w:t>
      </w:r>
    </w:p>
    <w:p w14:paraId="583CBFA3" w14:textId="77777777" w:rsidR="005E08BE" w:rsidRPr="007A313D" w:rsidRDefault="005E08BE" w:rsidP="005E08BE">
      <w:pPr>
        <w:spacing w:after="240"/>
        <w:ind w:left="567" w:hanging="567"/>
      </w:pPr>
      <w:r w:rsidRPr="007A313D">
        <w:t>–</w:t>
      </w:r>
      <w:r w:rsidRPr="007A313D">
        <w:tab/>
        <w:t>atsižvelgdamas į 2023 m. spalio 3 d. rezoliuciją dėl pasiūlymo dėl 2021–2027 m. daugiametės finansinės programos laikotarpio vidurio tikslinimo</w:t>
      </w:r>
      <w:r w:rsidRPr="007A313D">
        <w:rPr>
          <w:vertAlign w:val="superscript"/>
        </w:rPr>
        <w:footnoteReference w:id="10"/>
      </w:r>
      <w:r w:rsidRPr="007A313D">
        <w:t>,</w:t>
      </w:r>
    </w:p>
    <w:p w14:paraId="2D90B49F" w14:textId="77777777" w:rsidR="005E08BE" w:rsidRPr="007A313D" w:rsidRDefault="005E08BE" w:rsidP="005E08BE">
      <w:pPr>
        <w:spacing w:after="240"/>
        <w:ind w:left="567" w:hanging="567"/>
        <w:rPr>
          <w:color w:val="000000"/>
        </w:rPr>
      </w:pPr>
      <w:r w:rsidRPr="007A313D">
        <w:rPr>
          <w:color w:val="000000"/>
        </w:rPr>
        <w:t>–</w:t>
      </w:r>
      <w:r w:rsidRPr="007A313D">
        <w:rPr>
          <w:color w:val="000000"/>
        </w:rPr>
        <w:tab/>
        <w:t>atsižvelgdamas į 2024 m. vasario 27 d. rezoliuciją dėl Tarybos reglamento, kuriuo iš dalies keičiamas Reglamentas (ES, Euratomas) 2020/2093, kuriuo nustatoma 2021–2027 m. daugiametė finansinė programa, projekto</w:t>
      </w:r>
      <w:r w:rsidRPr="007A313D">
        <w:rPr>
          <w:color w:val="000000"/>
          <w:vertAlign w:val="superscript"/>
        </w:rPr>
        <w:footnoteReference w:id="11"/>
      </w:r>
      <w:r w:rsidRPr="007A313D">
        <w:rPr>
          <w:color w:val="000000"/>
        </w:rPr>
        <w:t>,</w:t>
      </w:r>
    </w:p>
    <w:p w14:paraId="236DFA86" w14:textId="77777777" w:rsidR="005E08BE" w:rsidRPr="007A313D" w:rsidRDefault="005E08BE" w:rsidP="005E08BE">
      <w:pPr>
        <w:spacing w:after="240"/>
        <w:ind w:left="567" w:hanging="567"/>
        <w:rPr>
          <w:color w:val="000000"/>
        </w:rPr>
      </w:pPr>
      <w:r w:rsidRPr="007A313D">
        <w:rPr>
          <w:color w:val="000000"/>
        </w:rPr>
        <w:t>–</w:t>
      </w:r>
      <w:r w:rsidRPr="007A313D">
        <w:rPr>
          <w:color w:val="000000"/>
        </w:rPr>
        <w:tab/>
      </w:r>
      <w:r w:rsidRPr="007A313D">
        <w:t>atsižvelgdamas į 2025 m. lapkričio 26 d. galutinai priimtą 2026 finansinių metų Europos Sąjungos bendrąjį biudžetą</w:t>
      </w:r>
      <w:r w:rsidRPr="007A313D">
        <w:rPr>
          <w:color w:val="000000"/>
          <w:vertAlign w:val="superscript"/>
        </w:rPr>
        <w:footnoteReference w:id="12"/>
      </w:r>
      <w:r w:rsidRPr="007A313D">
        <w:t xml:space="preserve"> ir prie jo pridėtus bendrus pareiškimus, dėl kurių susitarė Parlamentas, Taryba ir Komisija,</w:t>
      </w:r>
    </w:p>
    <w:p w14:paraId="4D30BA73" w14:textId="77777777" w:rsidR="005E08BE" w:rsidRPr="007A313D" w:rsidRDefault="005E08BE" w:rsidP="005E08BE">
      <w:pPr>
        <w:pStyle w:val="Action"/>
        <w:tabs>
          <w:tab w:val="clear" w:pos="357"/>
        </w:tabs>
        <w:spacing w:after="120"/>
        <w:ind w:left="567" w:hanging="567"/>
        <w:outlineLvl w:val="0"/>
      </w:pPr>
      <w:r w:rsidRPr="007A313D">
        <w:t>–</w:t>
      </w:r>
      <w:r w:rsidRPr="007A313D">
        <w:tab/>
        <w:t>atsižvelgdamas į generalinio sekretoriaus Biurui pateiktą pranešimą dėl Europos Parlamento 2027 finansinių metų preliminaraus biudžeto sąmatos projekto rengimo,</w:t>
      </w:r>
    </w:p>
    <w:p w14:paraId="616DAA76" w14:textId="77777777" w:rsidR="005E08BE" w:rsidRPr="007A313D" w:rsidRDefault="005E08BE" w:rsidP="005E08BE">
      <w:pPr>
        <w:pStyle w:val="Action"/>
        <w:tabs>
          <w:tab w:val="clear" w:pos="357"/>
        </w:tabs>
        <w:spacing w:after="120"/>
        <w:ind w:left="567" w:hanging="567"/>
        <w:outlineLvl w:val="0"/>
      </w:pPr>
      <w:r w:rsidRPr="007A313D">
        <w:t>–</w:t>
      </w:r>
      <w:r w:rsidRPr="007A313D">
        <w:tab/>
        <w:t>atsižvelgdamas į pagal Europos Parlamento darbo tvarkos taisyklių 25 straipsnio 7 dalį ir 104 straipsnio 1 dalį 2026 m. kovo 9 d. Biuro parengtą preliminarų sąmatos projektą,</w:t>
      </w:r>
    </w:p>
    <w:p w14:paraId="47316528" w14:textId="77777777" w:rsidR="005E08BE" w:rsidRPr="007A313D" w:rsidRDefault="005E08BE" w:rsidP="005E08BE">
      <w:pPr>
        <w:pStyle w:val="Action"/>
        <w:tabs>
          <w:tab w:val="clear" w:pos="357"/>
        </w:tabs>
        <w:spacing w:after="120"/>
        <w:ind w:left="567" w:hanging="567"/>
        <w:outlineLvl w:val="0"/>
      </w:pPr>
      <w:r w:rsidRPr="007A313D">
        <w:t>–</w:t>
      </w:r>
      <w:r w:rsidRPr="007A313D">
        <w:tab/>
        <w:t>atsižvelgdamas į Biudžeto komiteto pagal Europos Parlamento darbo tvarkos taisyklių 104 straipsnio 2 dalį parengtą sąmatos projektą,</w:t>
      </w:r>
    </w:p>
    <w:p w14:paraId="4D0285C6" w14:textId="77777777" w:rsidR="005E08BE" w:rsidRPr="007A313D" w:rsidRDefault="005E08BE" w:rsidP="005E08BE">
      <w:pPr>
        <w:pStyle w:val="Action"/>
        <w:tabs>
          <w:tab w:val="clear" w:pos="357"/>
        </w:tabs>
        <w:spacing w:after="120"/>
        <w:ind w:left="567" w:hanging="567"/>
        <w:outlineLvl w:val="0"/>
      </w:pPr>
      <w:r w:rsidRPr="007A313D">
        <w:t>–</w:t>
      </w:r>
      <w:r w:rsidRPr="007A313D">
        <w:tab/>
        <w:t>atsižvelgdamas į Darbo tvarkos taisyklių 104 straipsnį,</w:t>
      </w:r>
    </w:p>
    <w:p w14:paraId="74D2D963" w14:textId="77777777" w:rsidR="005E08BE" w:rsidRPr="007A313D" w:rsidRDefault="005E08BE" w:rsidP="005E08BE">
      <w:pPr>
        <w:pStyle w:val="Action"/>
        <w:tabs>
          <w:tab w:val="clear" w:pos="357"/>
        </w:tabs>
        <w:ind w:left="567" w:hanging="567"/>
        <w:outlineLvl w:val="0"/>
      </w:pPr>
      <w:r w:rsidRPr="007A313D">
        <w:t>–</w:t>
      </w:r>
      <w:r w:rsidRPr="007A313D">
        <w:tab/>
        <w:t>atsižvelgdamas į Biudžeto komiteto pranešimą (A10-0124/2026),</w:t>
      </w:r>
    </w:p>
    <w:p w14:paraId="57EAB0B6" w14:textId="77777777" w:rsidR="005E08BE" w:rsidRPr="007A313D" w:rsidRDefault="005E08BE" w:rsidP="005E08BE">
      <w:pPr>
        <w:pStyle w:val="Action"/>
        <w:tabs>
          <w:tab w:val="clear" w:pos="357"/>
        </w:tabs>
        <w:spacing w:after="120"/>
        <w:ind w:left="567" w:hanging="567"/>
        <w:outlineLvl w:val="0"/>
      </w:pPr>
      <w:r w:rsidRPr="007A313D">
        <w:t>A.</w:t>
      </w:r>
      <w:r w:rsidRPr="007A313D">
        <w:tab/>
        <w:t>kadangi 2026 m. vasario 9 d. generalinio sekretoriaus pasiūlytas biudžetas, susijęs su Parlamento 2027 m. preliminariu sąmatos projektu, siekia 2 665 474 853 EUR ir yra 2,33 proc. arba 60 618 266 EUR didesnis, palyginti su 2026 m. biudžetu;</w:t>
      </w:r>
    </w:p>
    <w:p w14:paraId="618A18CC" w14:textId="77777777" w:rsidR="005E08BE" w:rsidRPr="007A313D" w:rsidRDefault="005E08BE" w:rsidP="005E08BE">
      <w:pPr>
        <w:pStyle w:val="Action"/>
        <w:tabs>
          <w:tab w:val="clear" w:pos="357"/>
        </w:tabs>
        <w:spacing w:after="120"/>
        <w:ind w:left="567" w:hanging="567"/>
        <w:outlineLvl w:val="0"/>
      </w:pPr>
      <w:r w:rsidRPr="007A313D">
        <w:t>B.</w:t>
      </w:r>
      <w:r w:rsidRPr="007A313D">
        <w:tab/>
        <w:t>kadangi 2,33 proc. padidėjimas, kurį pasiūlė generalinis sekretorius, yra susijęs su 2,01 proc. didesniais nuostatuose numatytais finansiniais įsipareigojimais ir 2,89 proc. didesnėmis nuostatuose nenumatytomis išlaidomis;</w:t>
      </w:r>
    </w:p>
    <w:p w14:paraId="09E62C6B" w14:textId="77777777" w:rsidR="005E08BE" w:rsidRPr="007A313D" w:rsidRDefault="005E08BE" w:rsidP="005E08BE">
      <w:pPr>
        <w:pStyle w:val="Action"/>
        <w:tabs>
          <w:tab w:val="clear" w:pos="357"/>
        </w:tabs>
        <w:ind w:left="567" w:hanging="567"/>
        <w:outlineLvl w:val="0"/>
      </w:pPr>
      <w:r w:rsidRPr="007A313D">
        <w:t>C.</w:t>
      </w:r>
      <w:r w:rsidRPr="007A313D">
        <w:tab/>
        <w:t>kadangi, Eurostato duomenimis, 2025 m. gruodžio mėn. metinė infliacija Sąjungoje siekė 2,3 proc. ir buvo mažesnė už 2,7 proc. 2024 m. gruodžio mėn. infliaciją; kadangi 2021–2027 m. daugiametės finansinės programos (DFP) 7 išlaidų kategorijos išlaidų lygis grindžiamas 2 proc. metiniu padidinimu;</w:t>
      </w:r>
    </w:p>
    <w:p w14:paraId="5E42C455" w14:textId="77777777" w:rsidR="005E08BE" w:rsidRPr="007A313D" w:rsidRDefault="005E08BE" w:rsidP="005E08BE">
      <w:pPr>
        <w:pStyle w:val="Action"/>
        <w:tabs>
          <w:tab w:val="clear" w:pos="357"/>
        </w:tabs>
        <w:ind w:left="567" w:hanging="567"/>
        <w:outlineLvl w:val="0"/>
      </w:pPr>
      <w:r w:rsidRPr="007A313D">
        <w:t>D.</w:t>
      </w:r>
      <w:r w:rsidRPr="007A313D">
        <w:tab/>
        <w:t xml:space="preserve">kadangi Parlamento patikimumas priklauso nuo jo gebėjimo pasiekti rezultatų atliekant savo pagrindinį biudžeto srities, teisėkūros ir tikrinimo darbą laikantis aukščiausių </w:t>
      </w:r>
      <w:r w:rsidRPr="007A313D">
        <w:lastRenderedPageBreak/>
        <w:t>standartų ir kartu rodyti pavyzdį kitoms Sąjungos institucijoms apdairiai ir veiksmingai planuojant bei vykdant išlaidas ir atspindint vyraujančias ekonomines realijas;</w:t>
      </w:r>
    </w:p>
    <w:p w14:paraId="4272EB50" w14:textId="77777777" w:rsidR="005E08BE" w:rsidRPr="007A313D" w:rsidRDefault="005E08BE" w:rsidP="005E08BE">
      <w:pPr>
        <w:pStyle w:val="NormalHanging12a"/>
        <w:rPr>
          <w:b/>
          <w:i/>
        </w:rPr>
      </w:pPr>
      <w:r w:rsidRPr="007A313D">
        <w:rPr>
          <w:b/>
          <w:i/>
        </w:rPr>
        <w:t>Bendroji informacija</w:t>
      </w:r>
    </w:p>
    <w:p w14:paraId="4DBA2E42" w14:textId="77777777" w:rsidR="005E08BE" w:rsidRPr="007A313D" w:rsidRDefault="005E08BE" w:rsidP="005E08BE">
      <w:pPr>
        <w:widowControl/>
        <w:spacing w:after="240"/>
        <w:ind w:left="567" w:hanging="567"/>
        <w:rPr>
          <w:color w:val="000000"/>
        </w:rPr>
      </w:pPr>
      <w:r w:rsidRPr="007A313D">
        <w:rPr>
          <w:color w:val="000000"/>
        </w:rPr>
        <w:t>1.</w:t>
      </w:r>
      <w:r w:rsidRPr="007A313D">
        <w:rPr>
          <w:color w:val="000000"/>
        </w:rPr>
        <w:tab/>
        <w:t>yra susirūpinęs dėl dabartinės DFP 7 išlaidų kategorijos padėties; primena, kad suvaržymai atsirado dėl to, kad Taryba tuo metu, kai buvo tariamasi dėl 2021–2027 m. DFP, sumažino pradiniame Komisijos pasiūlyme, kuriame nustatytas finansavimo lygis jau buvo labai žemas, numatytas asignavimų sumas, ir atkreipia dėmesį į kumuliacinį poveikį dėl kelerius metus buvusios didesnės nei tikėtasi infliacijos; apgailestauja dėl Tarybos prieštaravimo Komisijos pasiūlymui tikslinant DFP nuo 2024 m. padidinti 7 išlaidų kategorijos viršutinę ribą; atkreipia dėmesį į tai, kad tikslinant DFP nebuvo išspręstas 7 išlaidų kategorijos viršutinės ribos klausimas; pabrėžia, kad 2027 m. prognozuojama neigiama marža reiškia, kad 7 išlaidų kategorijoje tuo tikslu bus naudojamos specialios priemonės; pabrėžia, kad specialiomis priemonėmis ir toliau turėtų būti naudojamasi išimtiniais bei tinkamai pagrįstais atvejais ir tik susidarius nenumatytoms aplinkybėms;</w:t>
      </w:r>
    </w:p>
    <w:p w14:paraId="7A8D7DC7" w14:textId="77777777" w:rsidR="005E08BE" w:rsidRPr="007A313D" w:rsidRDefault="005E08BE" w:rsidP="005E08BE">
      <w:pPr>
        <w:widowControl/>
        <w:spacing w:after="240"/>
        <w:ind w:left="567" w:hanging="567"/>
        <w:rPr>
          <w:color w:val="000000"/>
        </w:rPr>
      </w:pPr>
      <w:r w:rsidRPr="007A313D">
        <w:rPr>
          <w:color w:val="000000"/>
        </w:rPr>
        <w:t>2.</w:t>
      </w:r>
      <w:r w:rsidRPr="007A313D">
        <w:rPr>
          <w:color w:val="000000"/>
        </w:rPr>
        <w:tab/>
        <w:t xml:space="preserve">pritaria 2026 m. balandžio 15 d. Biuro ir Biudžeto komiteto taikinimo posėdyje pasiektam susitarimui nustatyti 1,98 proc. padidinimą (lyginant su 2026 m. biudžetu), kuris atitinka bendrą 2027 m. sąmatą – 2 656 435 753 EUR, ir atitinkamai sumažinti siūlomus asignavimus šiose biudžeto eilutėse (iš viso 10 554 000 EUR): </w:t>
      </w:r>
    </w:p>
    <w:p w14:paraId="211F3966" w14:textId="77777777" w:rsidR="005E08BE" w:rsidRPr="007A313D" w:rsidRDefault="005E08BE" w:rsidP="005E08BE">
      <w:pPr>
        <w:widowControl/>
        <w:spacing w:after="240"/>
        <w:ind w:left="567"/>
        <w:rPr>
          <w:color w:val="000000"/>
        </w:rPr>
      </w:pPr>
      <w:r w:rsidRPr="007A313D">
        <w:rPr>
          <w:color w:val="000000"/>
        </w:rPr>
        <w:t xml:space="preserve">1 0 0 6 punktas — Bendrųjų išlaidų apmokėjimas, 1 4 0 5 01 punktas — Vertimo žodžiu išlaidos: išorės vertimas žodžiu, 1 4 2 straipsnis — Išorės vertimo vertėjų raštu paslaugos, 1 6 1 2 07 punktas — Mokymasis ir tobulinimasis: ITEC GD skirti išorės mokymai, 2 0 0 7 04 punktas — Pastatų statyba ir patalpų įrengimas: ryšių biurai/centrai „Europa Experience“, 2 1 0 0 02 punktas – IT valdymas ir kibernetinis saugumas – IRT saugumas, rizika ir atitiktis reikalavimams, 2 1 0 0 03 punktas – IT valdymas ir kibernetinis saugumas – Avangardinės technologijos, 2 1 0 1 02 punktas – Verslo taikomųjų programų valdymas – IT sprendimų pateikimas, 2 1 0 1 13 punktas – Verslo taikomųjų programų valdymas – FINS GD, 2 1 0 2 03 punktas – Infrastruktūros ir operacijų valdymas – Telekomunikacija, 2 1 0 2 04 punktas – Infrastruktūros ir operacijų valdymas – Organizacijos infrastruktūra, 2 1 0 2 05 punktas – Infrastruktūros ir operacijų valdymas – Programinė įranga – Infrastruktūra, 2 1 0 2 07 punktas – Infrastruktūros ir operacijų valdymas – Spausdinimo veiklos valdymas, 2 1 0 3 01 punktas – Skaitmeninės darbo vietos paslaugos ir įranga – Individuali IT įranga, 2 1 2 0 01 punktas – Baldai: baldų pirkimas, nuoma, atnaujinimas, priežiūra ir remontas, 2 1 6 0 01 punktas – Parlamento narių, kitų asmenų ir prekių transportas: transporto paslaugos Parlamento nariams, 3 0 0 02 punktas — Darbuotojų komandiruočių ir kelionės tarp trijų darbo vietų išlaidos: komandiruotės ne į tris darbo vietas, 3 0 0 03 punktas — Darbuotojų komandiruočių ir kelionės tarp trijų darbo vietų išlaidos: mokymasis ir tobulinimasis, 3 2 1 0 01 punktas – Išlaidos Parlamentinių tyrimų paslaugoms, įskaitant biblioteką, istorinius archyvus, Mokslinių ir technologinių sprendimų vertinimą (STOA) ir Europos mokslo žiniasklaidos centrą: poveikio vertinimas ir Europos pridėtinė vertė, 3 2 2 0 09 punktas – Dokumentavimo išlaidos: abonementai ir žiniasklaidos stebėjimas, 3 2 4 2 01 punktas — Leidinių, informavimo ir dalyvavimo viešuose renginiuose išlaidos: informavimo kampanijos, 3 2 4 3 01 punktas — Europos Parlamento lankytojų centrai: Parlamentariumas ir centrai „Europa Experience“, 3 2 4 3 02 punktas – Europos Parlamento lankytojų centrai: Europos istorijos namai, 101 straipsnis – Rezervas nenumatytoms išlaidoms. </w:t>
      </w:r>
    </w:p>
    <w:p w14:paraId="45E9CC81" w14:textId="77777777" w:rsidR="005E08BE" w:rsidRPr="007A313D" w:rsidRDefault="005E08BE" w:rsidP="005E08BE">
      <w:pPr>
        <w:widowControl/>
        <w:spacing w:after="240"/>
        <w:ind w:left="567"/>
        <w:rPr>
          <w:color w:val="000000"/>
        </w:rPr>
      </w:pPr>
      <w:r w:rsidRPr="007A313D">
        <w:rPr>
          <w:color w:val="000000"/>
        </w:rPr>
        <w:lastRenderedPageBreak/>
        <w:t>be to, buvo nuspręsta 1 514 900 EUR padidinti preliminaraus sąmatos projekto, kurį Biuras patvirtino 2026 m. kovo 9 d., išlaidų lygį ir atitinkamai padidinti siūlomus asignavimus šiose biudžeto eilutėse:</w:t>
      </w:r>
    </w:p>
    <w:p w14:paraId="35575186" w14:textId="77777777" w:rsidR="005E08BE" w:rsidRPr="007A313D" w:rsidRDefault="005E08BE" w:rsidP="005E08BE">
      <w:pPr>
        <w:widowControl/>
        <w:spacing w:after="240"/>
        <w:ind w:left="567"/>
        <w:rPr>
          <w:color w:val="000000"/>
        </w:rPr>
      </w:pPr>
      <w:r w:rsidRPr="007A313D">
        <w:rPr>
          <w:color w:val="000000"/>
        </w:rPr>
        <w:t xml:space="preserve">4 0 3 straipsnis — Europos politinių fondų finansavimas ir 4 4 0 straipsnis — Buvusių Parlamento narių susirinkimų ir kitos veiklos išlaidos. </w:t>
      </w:r>
    </w:p>
    <w:p w14:paraId="71DF414B" w14:textId="77777777" w:rsidR="005E08BE" w:rsidRPr="007A313D" w:rsidRDefault="005E08BE" w:rsidP="005E08BE">
      <w:pPr>
        <w:widowControl/>
        <w:spacing w:after="240"/>
        <w:ind w:left="567" w:hanging="567"/>
        <w:rPr>
          <w:color w:val="000000"/>
        </w:rPr>
      </w:pPr>
      <w:r w:rsidRPr="007A313D">
        <w:rPr>
          <w:color w:val="000000"/>
        </w:rPr>
        <w:t>3.</w:t>
      </w:r>
      <w:r w:rsidRPr="007A313D">
        <w:rPr>
          <w:color w:val="000000"/>
        </w:rPr>
        <w:tab/>
        <w:t>primena, kad beveik du trečdaliai biudžeto yra nustatyti atsižvelgiant į nuostatuose numatytus įsipareigojimus; primena, kad pagal Tarnybos nuostatus ir Europos Parlamento narių statutą šiuo metu Komisija prognozuoja darbo užmokesčio indeksavimą 2026 m. liepos mėn. (2,2 proc.) ir 2027 m. liepos mėn. (2,3 proc.);</w:t>
      </w:r>
    </w:p>
    <w:p w14:paraId="1CD8BC41" w14:textId="77777777" w:rsidR="005E08BE" w:rsidRPr="007A313D" w:rsidRDefault="005E08BE" w:rsidP="005E08BE">
      <w:pPr>
        <w:widowControl/>
        <w:spacing w:after="240"/>
        <w:ind w:left="567" w:hanging="567"/>
        <w:rPr>
          <w:color w:val="000000"/>
        </w:rPr>
      </w:pPr>
      <w:r w:rsidRPr="007A313D">
        <w:rPr>
          <w:color w:val="000000"/>
        </w:rPr>
        <w:t>4.</w:t>
      </w:r>
      <w:r w:rsidRPr="007A313D">
        <w:rPr>
          <w:color w:val="000000"/>
        </w:rPr>
        <w:tab/>
        <w:t>pažymi, kad iš 51,6 mln. EUR finansavimo padidinimo, palyginti su 2026 m. biudžetu, 32,6 mln. EUR padidinimą lėmė nuostatuose numatyti finansiniai įsipareigojimai, daugiausia susiję su pareigūnų ir laikinųjų darbuotojų (16,2 mln. EUR) ir sutartininkų (1,7 mln. EUR) darbo užmokesčio indeksavimu; palankiai vertina tai, kad nuo 2027 m. kiekvienam Liuksemburge įsikūrusiam stažuotojui numatyta išskirtinė tiesioginė pagalba (iki 500 EUR per stažuotės mėnesį), siekiant padėti jiems padengti didėjančias būsto išlaidas; ragina užtikrinti stažuočių prieinamumą jauniems žmonėms, turint omenyje didėjančias pragyvenimo išlaidas, neatsižvelgiant į darbo vietą; palankiai vertina Biuro sprendimą atsisakyti 2026 m. bendroms išlaidoms kompensuoti skirtos išmokos indeksavimo;</w:t>
      </w:r>
    </w:p>
    <w:p w14:paraId="41BAD391" w14:textId="3B286008" w:rsidR="005E08BE" w:rsidRPr="007A313D" w:rsidRDefault="00F715BE" w:rsidP="005E08BE">
      <w:pPr>
        <w:widowControl/>
        <w:spacing w:after="240"/>
        <w:ind w:left="567" w:hanging="567"/>
        <w:rPr>
          <w:b/>
          <w:i/>
          <w:color w:val="000000"/>
        </w:rPr>
      </w:pPr>
      <w:r w:rsidRPr="007A313D">
        <w:rPr>
          <w:color w:val="000000"/>
        </w:rPr>
        <w:t>5</w:t>
      </w:r>
      <w:r w:rsidR="005E08BE" w:rsidRPr="007A313D">
        <w:rPr>
          <w:color w:val="000000"/>
        </w:rPr>
        <w:t>.</w:t>
      </w:r>
      <w:r w:rsidR="005E08BE" w:rsidRPr="007A313D">
        <w:rPr>
          <w:b/>
          <w:i/>
          <w:color w:val="000000"/>
        </w:rPr>
        <w:tab/>
      </w:r>
      <w:r w:rsidR="005E08BE" w:rsidRPr="007A313D">
        <w:rPr>
          <w:color w:val="000000"/>
        </w:rPr>
        <w:t>atkreipia dėmesį į tai, kad suma, numatyta pagalbos Parlamento nariui išmokai, apskaičiuota remiantis ankstesnėmis tendencijomis; pabrėžia, kad iš Parlamento narių jokiomis aplinkybėmis negali būti atimta teisė visapusiškai pasinaudoti šia išmoka, laikantis atitinkamų taisyklių, kaip priežastį nurodant lėšų pagal šią biudžeto eilutę nepakankamumą; prašo generalinio sekretoriaus atidžiai stebėti padėtį, informuoti Biudžeto komitetą apie šios biudžeto eilutės įgyvendinimą ir imtis atitinkamų veiksmų, kai kyla rizika, kad finansinių išteklių nepakaks;</w:t>
      </w:r>
    </w:p>
    <w:p w14:paraId="3753463B" w14:textId="16F8E448" w:rsidR="005E08BE" w:rsidRPr="007A313D" w:rsidRDefault="00F715BE" w:rsidP="005E08BE">
      <w:pPr>
        <w:widowControl/>
        <w:spacing w:after="240"/>
        <w:ind w:left="567" w:hanging="567"/>
        <w:rPr>
          <w:color w:val="000000"/>
        </w:rPr>
      </w:pPr>
      <w:r w:rsidRPr="007A313D">
        <w:rPr>
          <w:color w:val="000000"/>
        </w:rPr>
        <w:t>6</w:t>
      </w:r>
      <w:r w:rsidR="005E08BE" w:rsidRPr="007A313D">
        <w:rPr>
          <w:color w:val="000000"/>
        </w:rPr>
        <w:t>.</w:t>
      </w:r>
      <w:r w:rsidR="005E08BE" w:rsidRPr="007A313D">
        <w:rPr>
          <w:color w:val="000000"/>
        </w:rPr>
        <w:tab/>
        <w:t xml:space="preserve">pažymi, kad 2027 m., t. y. ketvirtus metus iš eilės, Parlamentas neprašo jokių papildomų etatų; </w:t>
      </w:r>
    </w:p>
    <w:p w14:paraId="10BA1622" w14:textId="655A5BAC" w:rsidR="005E08BE" w:rsidRPr="007A313D" w:rsidRDefault="00F715BE" w:rsidP="005E08BE">
      <w:pPr>
        <w:widowControl/>
        <w:spacing w:after="240"/>
        <w:ind w:left="567" w:hanging="567"/>
        <w:rPr>
          <w:color w:val="000000"/>
        </w:rPr>
      </w:pPr>
      <w:r w:rsidRPr="007A313D">
        <w:rPr>
          <w:color w:val="000000"/>
        </w:rPr>
        <w:t>7</w:t>
      </w:r>
      <w:r w:rsidR="005E08BE" w:rsidRPr="007A313D">
        <w:rPr>
          <w:color w:val="000000"/>
        </w:rPr>
        <w:t>.</w:t>
      </w:r>
      <w:r w:rsidR="005E08BE" w:rsidRPr="007A313D">
        <w:rPr>
          <w:color w:val="000000"/>
        </w:rPr>
        <w:tab/>
        <w:t xml:space="preserve">pažymi, kad 2026–2027 m. nuostatuose nenumatytos išlaidos padidėjo 2 proc.; </w:t>
      </w:r>
    </w:p>
    <w:p w14:paraId="4DEFE1E1" w14:textId="567BB431" w:rsidR="005E08BE" w:rsidRPr="007A313D" w:rsidRDefault="00F715BE" w:rsidP="005E08BE">
      <w:pPr>
        <w:widowControl/>
        <w:spacing w:after="240"/>
        <w:ind w:left="567" w:hanging="567"/>
        <w:rPr>
          <w:color w:val="000000"/>
        </w:rPr>
      </w:pPr>
      <w:r w:rsidRPr="007A313D">
        <w:rPr>
          <w:color w:val="000000"/>
        </w:rPr>
        <w:t>8</w:t>
      </w:r>
      <w:r w:rsidR="005E08BE" w:rsidRPr="007A313D">
        <w:rPr>
          <w:color w:val="000000"/>
        </w:rPr>
        <w:t>.</w:t>
      </w:r>
      <w:r w:rsidR="005E08BE" w:rsidRPr="007A313D">
        <w:rPr>
          <w:color w:val="000000"/>
        </w:rPr>
        <w:tab/>
        <w:t>palankiai vertina generalinio sekretoriaus vykdomą darbą įgyvendinant Parlamento Pirmininkės R. Metsolos 2025 m. birželio 16 d. pasiūlytas reformas administracinio bendradarbiavimo, planavimo ir supaprastinimo srityje, kuriuo siekiama padidinti veiksmingumą, efektyvų išteklių naudojimą ir, kai įmanoma, sutaupyti lėšų; ragina stiprinti ataskaitų teikimo mechanizmus, kad būtų padidintas skaidrumas ir atskaitomybė; prašo generalinio sekretoriaus reguliariai teikti Biudžeto komitetui naujausią informaciją apie administracinio supaprastinimo veiksmų plano įgyvendinimą, ir jo poveikį biudžetui bei darbuotojams;</w:t>
      </w:r>
    </w:p>
    <w:p w14:paraId="06B9522D" w14:textId="77777777" w:rsidR="005E08BE" w:rsidRPr="007A313D" w:rsidRDefault="005E08BE" w:rsidP="005E08BE">
      <w:pPr>
        <w:pStyle w:val="action0"/>
        <w:ind w:left="0" w:firstLine="0"/>
        <w:rPr>
          <w:b/>
          <w:i/>
        </w:rPr>
      </w:pPr>
      <w:r w:rsidRPr="007A313D">
        <w:rPr>
          <w:b/>
          <w:i/>
        </w:rPr>
        <w:t>Pagrindinių Parlamento funkcijų stiprinimas</w:t>
      </w:r>
    </w:p>
    <w:p w14:paraId="0E924F3C" w14:textId="62BCAC6B" w:rsidR="005E08BE" w:rsidRPr="007A313D" w:rsidRDefault="00035F11" w:rsidP="005E08BE">
      <w:pPr>
        <w:widowControl/>
        <w:spacing w:after="240"/>
        <w:ind w:left="567" w:hanging="567"/>
        <w:rPr>
          <w:color w:val="000000"/>
        </w:rPr>
      </w:pPr>
      <w:r w:rsidRPr="007A313D">
        <w:t>9</w:t>
      </w:r>
      <w:r w:rsidR="005E08BE" w:rsidRPr="007A313D">
        <w:t>.</w:t>
      </w:r>
      <w:r w:rsidR="005E08BE" w:rsidRPr="007A313D">
        <w:tab/>
        <w:t>atkreipia dėmesį į keturis naujus teminius generalinius direktoratus (GD), veikiančius nuo 2025 m. sausio mėn. ir atsakingus už teisėkūros, biudžeto ir tikrinimo veiklą, siekiant pagerinti Parlamento, kaip vienos iš teisėkūros institucijų, vienos iš biudžeto valdymo institucijų ir biudžeto įvykdymą tvirtinančios institucijos, veikimą;</w:t>
      </w:r>
    </w:p>
    <w:p w14:paraId="1DF65DD5" w14:textId="7B2F5EEE" w:rsidR="005E08BE" w:rsidRPr="007A313D" w:rsidRDefault="00035F11" w:rsidP="005E08BE">
      <w:pPr>
        <w:widowControl/>
        <w:spacing w:after="240"/>
        <w:ind w:left="567" w:hanging="567"/>
        <w:rPr>
          <w:b/>
          <w:i/>
        </w:rPr>
      </w:pPr>
      <w:r w:rsidRPr="007A313D">
        <w:lastRenderedPageBreak/>
        <w:t>10</w:t>
      </w:r>
      <w:r w:rsidR="005E08BE" w:rsidRPr="007A313D">
        <w:t>.</w:t>
      </w:r>
      <w:r w:rsidR="005E08BE" w:rsidRPr="007A313D">
        <w:tab/>
        <w:t>atkreipia dėmesį į vidaus išteklių perskirstymą, susijusį su skirtų etatų skaičiumi (+15 proc. nuo 2024 iki 2026 m.), išorės darbuotojams skirtu biudžeto paketu (1 4 0 0 punktas, nuo 3,2 mln. EUR 2024 m. iki 8 mln. EUR 2027 m.) ir išorės ekspertų paslaugoms skirtu biudžetu (3 2 0 0 punktas, nuo 3,2 mln. EUR 2024 m. iki 7,7 mln. EUR 2027 m.), siekiant sustiprinti Parlamento nariams teikiamas ekspertines žinias; pabrėžia, jog reikia užtikrinti, kad šie lėšų padidinimai ir toliau būtų pagrįsti, proporcingi ir teiktų aiškią pridėtinę vertę; prašo generalinio sekretoriaus reguliariai teikti Biudžeto komitetui naujausią informaciją apie šių keturių naujų GD išteklių raidą ir naudojimą; pabrėžia, jog reikia užtikrinti, kad bus pasiektas svarbus tikslas – didinti Parlamento pajėgumus remti Parlamento narių darbą; taip pat pabrėžia esminį frakcijų vaidmenį teikiant ekspertines žinias ir politinę paramą Parlamento nariams dirbant teisėkūros ir parlamentinį darbą;</w:t>
      </w:r>
      <w:bookmarkStart w:id="8" w:name="_Hlk227243597"/>
      <w:bookmarkEnd w:id="8"/>
      <w:r w:rsidR="005E08BE" w:rsidRPr="007A313D">
        <w:rPr>
          <w:b/>
          <w:i/>
        </w:rPr>
        <w:t xml:space="preserve"> </w:t>
      </w:r>
    </w:p>
    <w:p w14:paraId="36EBF860" w14:textId="6359DD66" w:rsidR="00CB66B3" w:rsidRPr="007A313D" w:rsidRDefault="00035F11" w:rsidP="005E08BE">
      <w:pPr>
        <w:widowControl/>
        <w:spacing w:after="240"/>
        <w:ind w:left="567" w:hanging="567"/>
      </w:pPr>
      <w:r w:rsidRPr="007A313D">
        <w:t>11</w:t>
      </w:r>
      <w:r w:rsidR="00CB66B3" w:rsidRPr="007A313D">
        <w:t xml:space="preserve">. </w:t>
      </w:r>
      <w:r w:rsidR="00CB66B3" w:rsidRPr="007A313D">
        <w:tab/>
        <w:t xml:space="preserve">primena, kad pareiga apsaugoti Sąjungos finansinius interesus vienodai taikoma visiems Sąjungos lėšų gavėjams, įskaitant Parlamente veikiančias frakcijas; pažymi, kad tyrimai ir lėšų susigrąžinimo veiksmai, susiję su įtariamu buvusios Identiteto ir demokratijos frakcijos (dabar pertvarkytos į frakciją „Patriotai už Europą“) netinkamu Sąjungos lėšų naudojimu, rodo, kokia svarbi patikima vidaus kontrolė, veiksmingas </w:t>
      </w:r>
      <w:r w:rsidR="00CB66B3" w:rsidRPr="007A313D">
        <w:rPr>
          <w:i/>
          <w:iCs/>
        </w:rPr>
        <w:t>ex post</w:t>
      </w:r>
      <w:r w:rsidR="00CB66B3" w:rsidRPr="007A313D">
        <w:t xml:space="preserve"> tikrinimas ir greiti lėšų susigrąžinimo mechanizmai Parlamento administracijoje; ragina Parlamento administraciją nedelsiant užbaigti visas likusias lėšų susigrąžinimo procedūras ir perduoti OLAF ir Europos prokuratūrai visus reikalavimų neatitinkančių išlaidų įrodymus; pabrėžia, kad Sąjungos kovos su sukčiavimu struktūros patikimumas priklauso nuo nuoseklaus jos taikymo visiems lėšų ga-vėjams, įskaitant lėšų gavėjus pačiame Parlamente;</w:t>
      </w:r>
    </w:p>
    <w:p w14:paraId="0F7A6E3A" w14:textId="77777777" w:rsidR="005E08BE" w:rsidRPr="007A313D" w:rsidRDefault="005E08BE" w:rsidP="005E08BE">
      <w:pPr>
        <w:spacing w:after="240"/>
        <w:rPr>
          <w:b/>
          <w:i/>
          <w:color w:val="000000"/>
        </w:rPr>
      </w:pPr>
      <w:r w:rsidRPr="007A313D">
        <w:rPr>
          <w:b/>
          <w:i/>
          <w:color w:val="000000"/>
        </w:rPr>
        <w:t xml:space="preserve">Skaitmeninė pertvarka </w:t>
      </w:r>
    </w:p>
    <w:p w14:paraId="66E3633C" w14:textId="098F8586" w:rsidR="005E08BE" w:rsidRPr="007A313D" w:rsidRDefault="006D0B04" w:rsidP="005E08BE">
      <w:pPr>
        <w:pStyle w:val="action0"/>
        <w:ind w:left="567" w:hanging="567"/>
      </w:pPr>
      <w:r w:rsidRPr="007A313D">
        <w:t>12</w:t>
      </w:r>
      <w:r w:rsidR="005E08BE" w:rsidRPr="007A313D">
        <w:t>.</w:t>
      </w:r>
      <w:r w:rsidR="005E08BE" w:rsidRPr="007A313D">
        <w:tab/>
      </w:r>
      <w:r w:rsidR="005E08BE" w:rsidRPr="007A313D">
        <w:rPr>
          <w:color w:val="000000"/>
        </w:rPr>
        <w:t>pažymi, kad bendras informacinėms technologijoms (IT) numatytas biudžetas 2027 m. sąmatoje sudaro 7,6 proc. viso biudžeto ir siekia 202,4 mln. EUR; pabrėžia patikimos kibernetinio saugumo infrastruktūros svarbą geopolitiniu požiūriu neramiais laikais; primena, kad planuojama laipsniškai padidinti kibernetinio saugumo srities finansinius asignavimus iki 10 proc. Parlamento informacinių ir ryšių technologijų (IRT) biudžeto;</w:t>
      </w:r>
      <w:r w:rsidR="005E08BE" w:rsidRPr="007A313D">
        <w:t xml:space="preserve"> pažymi, kad toks planuojamas lėšų sumos padidinimas turėtų būti įgyvendintas kuo greičiau;</w:t>
      </w:r>
    </w:p>
    <w:p w14:paraId="3C62EF88" w14:textId="620215A2" w:rsidR="005E08BE" w:rsidRPr="007A313D" w:rsidRDefault="006D0B04" w:rsidP="005E08BE">
      <w:pPr>
        <w:pStyle w:val="action0"/>
        <w:ind w:left="567" w:hanging="567"/>
      </w:pPr>
      <w:r w:rsidRPr="007A313D">
        <w:t>13</w:t>
      </w:r>
      <w:r w:rsidR="005E08BE" w:rsidRPr="007A313D">
        <w:t>.</w:t>
      </w:r>
      <w:r w:rsidR="005E08BE" w:rsidRPr="007A313D">
        <w:tab/>
        <w:t>pabrėžia, kad Parlamento kibernetinis saugumas yra pagrindinis prioritetas geopolitinio netikrumo laikotarpiu; pažymi, kad bendra kibernetiniam saugumui skirta suma yra 16,9 mln. EUR, įskaitant į centralizuotą su kibernetiniu saugumu susijusią biudžeto eilutę įrašytos lėšų sumos padidinimą 54 proc., palyginti su 2026 m.; primena, kad, siekiant apsaugoti Parlamento ir Sąjungos demokratinį balsą, itin svarbu yra investuoti į kibernetinį saugumą ir užtikrinti tinkamą Parlamento veikimą;</w:t>
      </w:r>
    </w:p>
    <w:p w14:paraId="3A8BFC1D" w14:textId="0504CB49" w:rsidR="005E08BE" w:rsidRPr="007A313D" w:rsidRDefault="006D0B04" w:rsidP="005E08BE">
      <w:pPr>
        <w:pStyle w:val="action0"/>
        <w:ind w:left="567" w:hanging="567"/>
      </w:pPr>
      <w:r w:rsidRPr="007A313D">
        <w:t>14</w:t>
      </w:r>
      <w:r w:rsidR="005E08BE" w:rsidRPr="007A313D">
        <w:t>.</w:t>
      </w:r>
      <w:r w:rsidR="005E08BE" w:rsidRPr="007A313D">
        <w:tab/>
        <w:t xml:space="preserve">pabrėžia, kad Parlamentas turi pirmauti taikant labiau skaitmeninius darbo metodus; palankiai vertina 1 mln. EUR siekiančias investicijas į dirbtinį intelektą (DI); ragina didinti DI naudojimą, kad būtų padidintas veiksmingumas ir sustiprintas suverenumas šioje srityje, kartu atsižvelgiant į susijusią riziką, be kita ko, etikos ir duomenų apsaugos aspektais; pabrėžia, kad diegiant DI inovacijos turi būti derinamos su būtinomis apsaugos priemonėmis; pabrėžia DI teikiamas galimybes supaprastinti administracinius procesus; ragina parengti aiškias gaires ir apsaugos priemones, kad būtų užtikrintas atsakingas ir skaidrus DI diegimas, skatinant inovacijas ir kartu užtikrinant pagrindines teises, saugumą ir atskaitomybę; pažymi, kad DI plėtra bus atidžiai stebima laikantis Biuro nustatytų principų; pabrėžia, kad investicijos į DI turėtų būti orientuojamos ne tik </w:t>
      </w:r>
      <w:r w:rsidR="005E08BE" w:rsidRPr="007A313D">
        <w:lastRenderedPageBreak/>
        <w:t>į administracinį veiksmingumą, bet ir į demokratinio skaidrumo ir piliečių dalyvavimo didinimą;</w:t>
      </w:r>
    </w:p>
    <w:p w14:paraId="2753B7DB" w14:textId="23F7646C" w:rsidR="005E08BE" w:rsidRPr="007A313D" w:rsidRDefault="006D0B04" w:rsidP="005C18EC">
      <w:pPr>
        <w:pStyle w:val="action0"/>
        <w:ind w:left="567" w:hanging="567"/>
        <w:rPr>
          <w:bCs/>
          <w:iCs/>
        </w:rPr>
      </w:pPr>
      <w:r w:rsidRPr="007A313D">
        <w:t>15</w:t>
      </w:r>
      <w:r w:rsidR="005E08BE" w:rsidRPr="007A313D">
        <w:t>.</w:t>
      </w:r>
      <w:r w:rsidR="005E08BE" w:rsidRPr="007A313D">
        <w:tab/>
        <w:t>pabrėžia, kad, atsižvelgiant į geopolitines aplinkybes ir investicijas, kurias Sąjunga turės skirti savo strateginiam savarankiškumui finansuoti, Europos Parlamentas turi rodyti pavyzdį; atkreipia dėmesį į tai, kad rengiamas konsoliduotas veiksmų planas, kuriuo siekiama sustiprinti Parlamento poziciją skaitmeninio suverenumo klausimu; tikisi reguliariai gauti naujausią informaciją apie padarytą pažangą; pabrėžia, kad Parlamento skaitmeninėje infrastruktūroje svarbu užtikrinti aukštą kibernetinio saugumo, duomenų apsaugos ir atsparumo lygį; pabrėžia, kad reikia atidžiai įvertinti riziką, susijusią su priklausomybe nuo ne Europos paslaugų teikėjų, be kita ko, atliekant rizikos vertinimus; pabrėžia, kad svarbu išlaikyti saugius, konkurencingus ir patikimus sprendimus, be kita ko, kai įmanoma, teikiant pirmenybę Europos paslaugų teikėjams; ragina reguliariai vertinti Parlamento komunikacijos kanalus ir skaitmenines priemones, remiantis saugumu ir atitiktimi ES teisei bei koordinuojant veiksmus su kitomis ES institucijomis, kad būtų galima užtikrinti Parlamento duomenų apsaugą ir jo ryšių sistemos vientisumą;</w:t>
      </w:r>
    </w:p>
    <w:p w14:paraId="79D3E9C2" w14:textId="77777777" w:rsidR="005E08BE" w:rsidRPr="007A313D" w:rsidRDefault="005E08BE" w:rsidP="00C57CEE">
      <w:pPr>
        <w:pStyle w:val="action0"/>
        <w:ind w:left="0" w:firstLine="0"/>
        <w:rPr>
          <w:b/>
          <w:i/>
        </w:rPr>
      </w:pPr>
      <w:r w:rsidRPr="007A313D">
        <w:rPr>
          <w:b/>
          <w:i/>
        </w:rPr>
        <w:t>Infrastruktūra</w:t>
      </w:r>
    </w:p>
    <w:p w14:paraId="51BBB1D5" w14:textId="64D43FD9" w:rsidR="005E08BE" w:rsidRPr="007A313D" w:rsidRDefault="00F01CBD" w:rsidP="005E08BE">
      <w:pPr>
        <w:pStyle w:val="action0"/>
        <w:ind w:left="567" w:hanging="567"/>
        <w:rPr>
          <w:color w:val="000000"/>
        </w:rPr>
      </w:pPr>
      <w:r w:rsidRPr="007A313D">
        <w:rPr>
          <w:color w:val="000000"/>
        </w:rPr>
        <w:t>16</w:t>
      </w:r>
      <w:r w:rsidR="005E08BE" w:rsidRPr="007A313D">
        <w:rPr>
          <w:color w:val="000000"/>
        </w:rPr>
        <w:t>.</w:t>
      </w:r>
      <w:r w:rsidR="005E08BE" w:rsidRPr="007A313D">
        <w:rPr>
          <w:color w:val="000000"/>
        </w:rPr>
        <w:tab/>
        <w:t>atkreipia dėmesį į naują su pastatais susijusį požiūrį, pagal kurį pirmenybė teikiama konsolidavimui, o ne naujų pastatų įsigijimui, atsižvelgiant į tvarumą, prieinamumą ir judumą, kiek tai susiję su Parlamento nariais, darbuotojais ir lankytojais;</w:t>
      </w:r>
    </w:p>
    <w:p w14:paraId="28A22A0C" w14:textId="3DA26603" w:rsidR="005E08BE" w:rsidRPr="007A313D" w:rsidRDefault="00F01CBD" w:rsidP="005E08BE">
      <w:pPr>
        <w:pStyle w:val="action0"/>
        <w:ind w:left="567" w:hanging="567"/>
        <w:rPr>
          <w:color w:val="000000"/>
        </w:rPr>
      </w:pPr>
      <w:r w:rsidRPr="007A313D">
        <w:rPr>
          <w:color w:val="000000"/>
        </w:rPr>
        <w:t>17</w:t>
      </w:r>
      <w:r w:rsidR="005E08BE" w:rsidRPr="007A313D">
        <w:rPr>
          <w:color w:val="000000"/>
        </w:rPr>
        <w:t>.</w:t>
      </w:r>
      <w:r w:rsidR="005E08BE" w:rsidRPr="007A313D">
        <w:rPr>
          <w:color w:val="000000"/>
        </w:rPr>
        <w:tab/>
        <w:t xml:space="preserve">atkreipia dėmesį į tai, kad nuo 2027 m. pradedama pastato SPAAK renovacija; atkreipia dėmesį į tai, kad bendras renovacijai skirtas biudžetas yra 455 mln. EUR ir kad 2027 m. tam numatyta 77,67 mln. EUR; pabrėžia, kad šios išlaidos neįtrauktos į 2027 m. biudžetą; </w:t>
      </w:r>
      <w:bookmarkStart w:id="9" w:name="_Hlk227680019"/>
      <w:r w:rsidR="005E08BE" w:rsidRPr="007A313D">
        <w:rPr>
          <w:color w:val="000000"/>
        </w:rPr>
        <w:t>pabrėžia, kad reikia užtikrinti griežtą išlaidų kontrolę, skaidrumą ir numatyto biudžeto laikymąsi;</w:t>
      </w:r>
      <w:r w:rsidR="005E08BE" w:rsidRPr="007A313D">
        <w:rPr>
          <w:b/>
          <w:i/>
          <w:color w:val="000000"/>
        </w:rPr>
        <w:t xml:space="preserve"> </w:t>
      </w:r>
      <w:bookmarkEnd w:id="9"/>
    </w:p>
    <w:p w14:paraId="7033D6E3" w14:textId="1A305670" w:rsidR="005E08BE" w:rsidRPr="007A313D" w:rsidRDefault="00F01CBD" w:rsidP="005E08BE">
      <w:pPr>
        <w:pStyle w:val="action0"/>
        <w:ind w:left="567" w:hanging="567"/>
        <w:rPr>
          <w:color w:val="000000"/>
        </w:rPr>
      </w:pPr>
      <w:r w:rsidRPr="007A313D">
        <w:rPr>
          <w:color w:val="000000"/>
        </w:rPr>
        <w:t>18</w:t>
      </w:r>
      <w:r w:rsidR="005E08BE" w:rsidRPr="007A313D">
        <w:rPr>
          <w:color w:val="000000"/>
        </w:rPr>
        <w:t>.</w:t>
      </w:r>
      <w:r w:rsidR="005E08BE" w:rsidRPr="007A313D">
        <w:rPr>
          <w:color w:val="000000"/>
        </w:rPr>
        <w:tab/>
        <w:t>atkreipia dėmesį į tai, kad pastato SPAAK renovacijos projektui finansuoti Parlamentas ketina sudaryti paskolos susitarimus, be kita ko, su Europos investicijų banku; pažymi, kad į 2027 m. biudžetą įtrauktos išlaidos, susijusios su palūkanomis (3,17 mln. EUR) ir kapitalo grąžinimu (0,65 mln. EUR); primygtinai pabrėžia, kad, kai aktualu, išlaidos, tiesiogiai nesusijusios su renovacijos darbais, taip pat turėtų būti aiškiai išvardytos ir įtrauktos į biudžetą; ragina administraciją išsamiai informuoti Biudžeto komitetą apie taikomas paskolų palūkanų normas ir ilgalaikį pagrindinės sumos grąžinimo planą; pabrėžia, kad reikia užtikrinti rizikos ribojimu grindžiamą skolos valdymą;</w:t>
      </w:r>
    </w:p>
    <w:p w14:paraId="0FC7BC14" w14:textId="4B70B5E4" w:rsidR="005E08BE" w:rsidRPr="007A313D" w:rsidRDefault="00F01CBD" w:rsidP="005E08BE">
      <w:pPr>
        <w:pStyle w:val="action0"/>
        <w:ind w:left="567" w:hanging="567"/>
        <w:rPr>
          <w:b/>
          <w:bCs/>
          <w:i/>
          <w:iCs/>
          <w:color w:val="000000"/>
        </w:rPr>
      </w:pPr>
      <w:r w:rsidRPr="007A313D">
        <w:rPr>
          <w:color w:val="000000"/>
        </w:rPr>
        <w:t>19</w:t>
      </w:r>
      <w:r w:rsidR="005E08BE" w:rsidRPr="007A313D">
        <w:rPr>
          <w:color w:val="000000"/>
        </w:rPr>
        <w:t>.</w:t>
      </w:r>
      <w:r w:rsidR="005E08BE" w:rsidRPr="007A313D">
        <w:rPr>
          <w:color w:val="000000"/>
        </w:rPr>
        <w:tab/>
        <w:t xml:space="preserve">apgailestauja dėl vėlavimo visose valstybėse narėse steigti centrus „Europa Experience“; palankiai vertina naują koncepciją, kurią Biuras patvirtino 2025 m. kovo 31 d., siekiant optimizuoti centrų „Europa Experience“ erdvių naudojimą, atsižvelgiant į skirtingą padėtį valstybėse narėse; pabrėžia, jog svarbu užtikrinti, kad siekiant pritraukti piliečius centruose „Europa Experience“ lankytojams būtų siūloma patraukli veikla; ragina pirmenybę teikti centrų „Europa Experience“ steigimui tose valstybėse narėse, kurios yra labiausiai nutolusios nuo trijų darbo vietų, kartu užtikrinant, kad jų plėtra ir veikla išliktų ekonomiškai efektyvi; primena, kad centruose „Europa Experience“ visiems piliečiams turėtų būti sudarytos sąlygos geriau suprasti Sąjungos institucijų veikimą ir mūsų bendras vertybes; pabrėžia, kad reikia veiksmingai naudoti šiems centrams skirtus biudžeto asignavimus, siekiant užtikrinti, kad jie vykdytų didelio poveikio komunikaciją ir sklaidos veiklą, visų pirma orientuodamiesi į jaunus žmones ir pažeidžiamas grupes; pabrėžia, kad skiriant finansavimą pirmenybė turėtų būti teikiama faktinės ir prieinamos informacijos apie ES politikos poveikį vietos lygmeniu sklaidai, </w:t>
      </w:r>
      <w:r w:rsidR="005E08BE" w:rsidRPr="007A313D">
        <w:rPr>
          <w:color w:val="000000"/>
        </w:rPr>
        <w:lastRenderedPageBreak/>
        <w:t>nes tai yra ekonomiškai efektyvi Sąjungos demokratinio vientisumo apsaugos priemonė kovojant su dezinformacija;</w:t>
      </w:r>
    </w:p>
    <w:p w14:paraId="7C86F73F" w14:textId="3DFED64D" w:rsidR="005E08BE" w:rsidRPr="007A313D" w:rsidRDefault="00F01CBD" w:rsidP="005E08BE">
      <w:pPr>
        <w:pStyle w:val="action0"/>
        <w:ind w:left="567" w:hanging="567"/>
        <w:rPr>
          <w:bCs/>
          <w:iCs/>
          <w:color w:val="000000"/>
        </w:rPr>
      </w:pPr>
      <w:r w:rsidRPr="007A313D">
        <w:rPr>
          <w:color w:val="000000"/>
        </w:rPr>
        <w:t>20</w:t>
      </w:r>
      <w:r w:rsidR="005E08BE" w:rsidRPr="007A313D">
        <w:rPr>
          <w:color w:val="000000"/>
        </w:rPr>
        <w:t>.</w:t>
      </w:r>
      <w:r w:rsidR="005E08BE" w:rsidRPr="007A313D">
        <w:rPr>
          <w:color w:val="000000"/>
        </w:rPr>
        <w:tab/>
        <w:t>primena programos „Mokyklos – Europos Parlamento ambasadorės“ svarbą siekiant skatinti aktyvų jaunų europiečių angažavimąsi ir jaunųjų žurnalistų mokymo programos, pavadintos Davido Sassoli garbei, svarbą siekiant stiprinti žurnalistų supratimą apie Sąjungą ir jos veikimą, nes tai geriausias priešnuodis prieš dezinformaciją, atsižvelgiant į pastarojo meto tendencijas, rodančias nerimą keliantį žiniasklaidos laisvės ir nepriklausomumo mažėjimą visoje Sąjungoje;</w:t>
      </w:r>
    </w:p>
    <w:p w14:paraId="60C81DA0" w14:textId="74702614" w:rsidR="005E08BE" w:rsidRPr="007A313D" w:rsidRDefault="00F01CBD" w:rsidP="005E08BE">
      <w:pPr>
        <w:pStyle w:val="action0"/>
        <w:ind w:left="567" w:hanging="567"/>
        <w:rPr>
          <w:bCs/>
          <w:iCs/>
          <w:color w:val="000000"/>
        </w:rPr>
      </w:pPr>
      <w:r w:rsidRPr="007A313D">
        <w:rPr>
          <w:color w:val="000000"/>
        </w:rPr>
        <w:t>21</w:t>
      </w:r>
      <w:r w:rsidR="005E08BE" w:rsidRPr="007A313D">
        <w:rPr>
          <w:color w:val="000000"/>
        </w:rPr>
        <w:t>.</w:t>
      </w:r>
      <w:r w:rsidR="005E08BE" w:rsidRPr="007A313D">
        <w:rPr>
          <w:color w:val="000000"/>
        </w:rPr>
        <w:tab/>
        <w:t>pakartotinai reiškia paramą tam, kad Briuselyje būtų pastatytas visos Europos memorialas XX a. totalitarinių režimų aukoms atminti, atsispindint istorinės patirties įvairovę; ragina Biurą apsvarstyti šį klausimą siekiant priimti sprendimą, kuriuo būtų tinkamai atsižvelgta į biudžeto apribojimus, būdingus paskutiniams dabartinės DFP metams, ir ekonominius sunkumus, su kuriais susiduria Europos Sąjungos piliečiai;</w:t>
      </w:r>
    </w:p>
    <w:p w14:paraId="78257922" w14:textId="0D71D2DE" w:rsidR="005E08BE" w:rsidRPr="007A313D" w:rsidRDefault="00F01CBD" w:rsidP="005E08BE">
      <w:pPr>
        <w:pStyle w:val="action0"/>
        <w:ind w:left="567" w:hanging="567"/>
        <w:rPr>
          <w:bCs/>
          <w:iCs/>
          <w:color w:val="000000"/>
        </w:rPr>
      </w:pPr>
      <w:r w:rsidRPr="007A313D">
        <w:rPr>
          <w:color w:val="000000"/>
        </w:rPr>
        <w:t>22</w:t>
      </w:r>
      <w:r w:rsidR="005E08BE" w:rsidRPr="007A313D">
        <w:rPr>
          <w:color w:val="000000"/>
        </w:rPr>
        <w:t>.</w:t>
      </w:r>
      <w:r w:rsidR="005E08BE" w:rsidRPr="007A313D">
        <w:rPr>
          <w:color w:val="000000"/>
        </w:rPr>
        <w:tab/>
        <w:t>pabrėžia, kad turint vieną Parlamento būstinę būtų galima sumažinti finansines ir aplinkos apsaugos išlaidas; primena, kad pagal Europos Sąjungos sutartį Parlamentas turi turėti būstinę Strasbūre; pabrėžia, kad, norint įtvirtinti nuolatinius pokyčius, reikėtų pakeisti Sutartį, o tam reikalingas vieningas sprendimas;</w:t>
      </w:r>
    </w:p>
    <w:p w14:paraId="50A510C6" w14:textId="77777777" w:rsidR="005E08BE" w:rsidRPr="007A313D" w:rsidRDefault="005E08BE" w:rsidP="005E08BE">
      <w:pPr>
        <w:pStyle w:val="action0"/>
        <w:ind w:left="0" w:firstLine="0"/>
        <w:rPr>
          <w:b/>
          <w:i/>
          <w:color w:val="000000"/>
        </w:rPr>
      </w:pPr>
      <w:r w:rsidRPr="007A313D">
        <w:rPr>
          <w:b/>
          <w:i/>
          <w:color w:val="000000"/>
        </w:rPr>
        <w:t xml:space="preserve">Ekologiška Parlamento veikla </w:t>
      </w:r>
    </w:p>
    <w:p w14:paraId="67816CD8" w14:textId="62B33D07" w:rsidR="005E08BE" w:rsidRPr="007A313D" w:rsidRDefault="00483835" w:rsidP="005E08BE">
      <w:pPr>
        <w:widowControl/>
        <w:spacing w:after="240"/>
        <w:ind w:left="567" w:hanging="567"/>
        <w:rPr>
          <w:color w:val="000000"/>
        </w:rPr>
      </w:pPr>
      <w:r w:rsidRPr="007A313D">
        <w:rPr>
          <w:color w:val="000000"/>
        </w:rPr>
        <w:t>23</w:t>
      </w:r>
      <w:r w:rsidR="005E08BE" w:rsidRPr="007A313D">
        <w:rPr>
          <w:color w:val="000000"/>
        </w:rPr>
        <w:t>.</w:t>
      </w:r>
      <w:r w:rsidR="005E08BE" w:rsidRPr="007A313D">
        <w:rPr>
          <w:color w:val="000000"/>
        </w:rPr>
        <w:tab/>
        <w:t>palankiai vertina Parlamento aplinkosaugos vadybos sistemos (EMAS) 2025–2029 m. tikslus; palankiai vertina investicijas į infrastruktūrą, kurios yra 2025–2029 m. planuojamų energijos vartojimo efektyvumo ir ekologinės renovacijos veiksmų dalis, nes tai yra geras būdas užtikrinti ekonominį naudingumą; atkreipia dėmesį į 2027 m. sąmatoje numatytą 8,97 mln. EUR biudžetą investicijoms į energijos vartojimo efektyvumą ir aplinką, siekiant toliau gerinti pastatų aplinkosauginį veiksmingumą; pažymi, kad, palyginti su 2026 m. biudžetu, lėšų suma padidinta 6,1 proc.; palankiai vertina tai, kad Parlamentas įrengė ir toliau įrenginėja fotovoltines saulės baterijų plokštes, kad dar labiau padidintų vietoje pagaminamos atsinaujinančiųjų išteklių energijos dalį; pabrėžia, jog reikia užtikrinti, kad tokios investicijos padėtų užtikrinti išmatuojamą veiksmingumo padidėjimą, be kita ko, atsižvelgiant į geopolitines aplinkybes, ir sutaupyti lėšų ilguoju laikotarpiu;</w:t>
      </w:r>
    </w:p>
    <w:p w14:paraId="6B399067" w14:textId="11392018" w:rsidR="005E08BE" w:rsidRPr="007A313D" w:rsidRDefault="00483835" w:rsidP="005E08BE">
      <w:pPr>
        <w:widowControl/>
        <w:spacing w:after="240"/>
        <w:ind w:left="567" w:hanging="567"/>
        <w:rPr>
          <w:bCs/>
          <w:iCs/>
          <w:color w:val="000000"/>
        </w:rPr>
      </w:pPr>
      <w:r w:rsidRPr="007A313D">
        <w:rPr>
          <w:color w:val="000000"/>
        </w:rPr>
        <w:t>24</w:t>
      </w:r>
      <w:r w:rsidR="005E08BE" w:rsidRPr="007A313D">
        <w:rPr>
          <w:color w:val="000000"/>
        </w:rPr>
        <w:t>.</w:t>
      </w:r>
      <w:r w:rsidR="005E08BE" w:rsidRPr="007A313D">
        <w:rPr>
          <w:color w:val="000000"/>
        </w:rPr>
        <w:tab/>
        <w:t>primena, kad beveik du trečdalius Parlamento anglies dioksido išmetimo rodiklio lemia žmonių transportavimas; atkreipia dėmesį į tai, kad didelė Parlamento biudžeto dalis, t. y. 162,1 mln. EUR 2027 m., skiriama Parlamento narių ir darbuotojų komandiruočių išlaidoms padengti; ragina Parlamento organus apsvarstyti komandiruočių ne į tris darbo vietas praktiką ir persvarstyti komandiruočių taisykles bei praktiką siekiant bendro tikslo – sumažinti komandiruočių skaičių ir susijusias finansines bei aplinkos apsaugos išlaidas; ragina Parlamento narius naudotis mažo anglies dioksido pėdsako transporto alternatyvomis ir ekonomiškai naudingiausiomis skrydžių galimybėmis;</w:t>
      </w:r>
    </w:p>
    <w:p w14:paraId="1A65BBE0" w14:textId="5790F76F" w:rsidR="005E08BE" w:rsidRPr="007A313D" w:rsidRDefault="00483835" w:rsidP="005E08BE">
      <w:pPr>
        <w:widowControl/>
        <w:spacing w:after="240"/>
        <w:ind w:left="567" w:hanging="567"/>
        <w:rPr>
          <w:bCs/>
          <w:iCs/>
          <w:color w:val="000000"/>
        </w:rPr>
      </w:pPr>
      <w:r w:rsidRPr="007A313D">
        <w:rPr>
          <w:color w:val="000000"/>
        </w:rPr>
        <w:t>25</w:t>
      </w:r>
      <w:r w:rsidR="005E08BE" w:rsidRPr="007A313D">
        <w:rPr>
          <w:color w:val="000000"/>
        </w:rPr>
        <w:t>.</w:t>
      </w:r>
      <w:r w:rsidR="005E08BE" w:rsidRPr="007A313D">
        <w:rPr>
          <w:color w:val="000000"/>
        </w:rPr>
        <w:tab/>
        <w:t>palankiai vertina tai, kad vis daugiau naudojamasi viešuoju transportu važinėjant į darbą, ir kartu atkreipia dėmesį į padidėjusią finansinių subsidijų sistemos, skirtos viešojo transporto sezoniniams bilietams kompensuoti, paklausą, ypač Briuselyje, ir dėl to padidėjusius asignavimus; mano, kad Parlamentas turi rodyti pavyzdį skatindamas galimas priemones, kuriomis būtų užtikrintas veiksmingas išteklių naudojimas skatinant rinktis tvarias transporto rūšis važinėjant į darbą ir kuriant papildomas paskatas į darbą važinėti dviračiais;</w:t>
      </w:r>
    </w:p>
    <w:p w14:paraId="4BE54EF9" w14:textId="6F71386F" w:rsidR="005E08BE" w:rsidRPr="007A313D" w:rsidRDefault="00483835" w:rsidP="005E08BE">
      <w:pPr>
        <w:widowControl/>
        <w:spacing w:after="240"/>
        <w:ind w:left="567" w:hanging="567"/>
        <w:rPr>
          <w:color w:val="000000"/>
        </w:rPr>
      </w:pPr>
      <w:r w:rsidRPr="007A313D">
        <w:rPr>
          <w:color w:val="000000"/>
        </w:rPr>
        <w:lastRenderedPageBreak/>
        <w:t>26</w:t>
      </w:r>
      <w:r w:rsidR="005E08BE" w:rsidRPr="007A313D">
        <w:rPr>
          <w:color w:val="000000"/>
        </w:rPr>
        <w:t>.</w:t>
      </w:r>
      <w:r w:rsidR="005E08BE" w:rsidRPr="007A313D">
        <w:rPr>
          <w:color w:val="000000"/>
        </w:rPr>
        <w:tab/>
        <w:t>atkreipia dėmesį į ženklų anglies dioksido kreditų kainų padidėjimą, kurio suma, atsižvelgiant į dabartinį išmetamųjų teršalų kiekį, 2027 m. turėtų siekti apie 950 000 EUR; ragina administraciją teikti pirmenybę Parlamento išmetamo teršalų kiekio mažinimui, be kita ko, daugiau investuojant į netaršaus šildymo, vėdinimo ir oro kondicionavimo sistemas, visų pirma šilumos siurblių įrenginius Briuselyje, ir kitas proporcingas ir ekonomiškai efektyvias priemones išmetamam teršalų kiekiui mažinti, kai tai pagrįsta, o ne perkant anglies dioksido kreditus; palankiai vertina tai, kad nuo 2025 m. birželio mėn. išplėsta traukinių pasiūla komandiruotėms į Strasbūrą, nes tai yra teigiamas žingsnis siekiant sumažinti išmetamą CO</w:t>
      </w:r>
      <w:r w:rsidR="005E08BE" w:rsidRPr="007A313D">
        <w:rPr>
          <w:color w:val="000000"/>
          <w:vertAlign w:val="subscript"/>
        </w:rPr>
        <w:t>2</w:t>
      </w:r>
      <w:r w:rsidR="005E08BE" w:rsidRPr="007A313D">
        <w:rPr>
          <w:color w:val="000000"/>
        </w:rPr>
        <w:t xml:space="preserve"> kiekį; </w:t>
      </w:r>
    </w:p>
    <w:p w14:paraId="3713950D" w14:textId="77777777" w:rsidR="005E08BE" w:rsidRPr="007A313D" w:rsidRDefault="005E08BE" w:rsidP="005E08BE">
      <w:pPr>
        <w:pStyle w:val="action0"/>
        <w:ind w:left="0" w:firstLine="0"/>
        <w:rPr>
          <w:b/>
          <w:i/>
          <w:color w:val="000000"/>
        </w:rPr>
      </w:pPr>
      <w:r w:rsidRPr="007A313D">
        <w:rPr>
          <w:b/>
          <w:i/>
          <w:color w:val="000000"/>
        </w:rPr>
        <w:t>Kita</w:t>
      </w:r>
    </w:p>
    <w:p w14:paraId="0549F176" w14:textId="658EF5BB" w:rsidR="005E08BE" w:rsidRPr="007A313D" w:rsidRDefault="00483835" w:rsidP="005E08BE">
      <w:pPr>
        <w:pStyle w:val="action0"/>
        <w:ind w:left="567" w:hanging="567"/>
        <w:rPr>
          <w:bCs/>
          <w:iCs/>
          <w:color w:val="000000"/>
        </w:rPr>
      </w:pPr>
      <w:r w:rsidRPr="007A313D">
        <w:rPr>
          <w:color w:val="000000"/>
        </w:rPr>
        <w:t>27</w:t>
      </w:r>
      <w:r w:rsidR="005E08BE" w:rsidRPr="007A313D">
        <w:rPr>
          <w:color w:val="000000"/>
        </w:rPr>
        <w:t>.</w:t>
      </w:r>
      <w:r w:rsidR="005E08BE" w:rsidRPr="007A313D">
        <w:rPr>
          <w:color w:val="000000"/>
        </w:rPr>
        <w:tab/>
        <w:t>ragina Pirmininkų sueigą nedelsiant priimti sprendimą dėl atitinkamų vidaus taisyklių straipsnių, susijusių su akredituotų Parlamento narių padėjėjų dalyvavimu lydint Parlamento narius į oficialias komandiruotes ir delegacijų keliones ne į tris Parlamento darbo vietas tais atvejais, kai Parlamento sekretoriatui oficialiai nepranešama apie jokio atstovus į komandiruotę siunčiančios frakcijos, kuriai priklauso atitinkamas Parlamento narys, darbuotojo vykimą;</w:t>
      </w:r>
    </w:p>
    <w:p w14:paraId="00C0F843" w14:textId="3875E711" w:rsidR="005E08BE" w:rsidRPr="007A313D" w:rsidRDefault="00483835" w:rsidP="005E08BE">
      <w:pPr>
        <w:spacing w:after="240"/>
        <w:ind w:left="567" w:hanging="567"/>
        <w:rPr>
          <w:b/>
          <w:i/>
          <w:color w:val="000000"/>
        </w:rPr>
      </w:pPr>
      <w:r w:rsidRPr="007A313D">
        <w:rPr>
          <w:color w:val="000000"/>
        </w:rPr>
        <w:t>28</w:t>
      </w:r>
      <w:r w:rsidR="005E08BE" w:rsidRPr="007A313D">
        <w:rPr>
          <w:color w:val="000000"/>
        </w:rPr>
        <w:t>.</w:t>
      </w:r>
      <w:r w:rsidR="005E08BE" w:rsidRPr="007A313D">
        <w:rPr>
          <w:color w:val="000000"/>
        </w:rPr>
        <w:tab/>
        <w:t>mano, kad Parlamentas, tiek kaip darbdavys, tiek kaip viešoji institucija, turėtų rodyti pavyzdį asmenų su negalia teisių srityje; palankiai vertina Parlamento politiką, kuria siekiama užtikrinti, kad asmenys su negalia galėtų visiškai nepriklausomai naudotis Parlamento pastatais, ir pritaria tolesnėms priemonėms bei pritaikymams, kurie reikalingi šioje srityje; pažymi, kad biudžete šiam tikslui pastatams Strasbūre numatyta 2,07 mln. EUR; pabrėžia, kad prieinamumas turėtų būti pagrindinis kriterijus renovuojant pastatą SPAAK ir plėtojant visas skaitmenines platformas;</w:t>
      </w:r>
      <w:r w:rsidR="005E08BE" w:rsidRPr="007A313D">
        <w:rPr>
          <w:b/>
          <w:i/>
          <w:color w:val="000000"/>
        </w:rPr>
        <w:t xml:space="preserve"> </w:t>
      </w:r>
    </w:p>
    <w:p w14:paraId="2D6B0BAB" w14:textId="4B51CC76" w:rsidR="007A313D" w:rsidRPr="007A313D" w:rsidRDefault="007A313D" w:rsidP="005E08BE">
      <w:pPr>
        <w:spacing w:after="240"/>
        <w:ind w:left="567" w:hanging="567"/>
        <w:rPr>
          <w:bCs/>
          <w:iCs/>
          <w:color w:val="000000"/>
        </w:rPr>
      </w:pPr>
      <w:r w:rsidRPr="007A313D">
        <w:rPr>
          <w:bCs/>
          <w:iCs/>
          <w:color w:val="000000"/>
        </w:rPr>
        <w:t>2</w:t>
      </w:r>
      <w:r w:rsidRPr="007A313D">
        <w:rPr>
          <w:bCs/>
          <w:iCs/>
          <w:color w:val="000000"/>
        </w:rPr>
        <w:t>9</w:t>
      </w:r>
      <w:r w:rsidRPr="007A313D">
        <w:rPr>
          <w:bCs/>
          <w:iCs/>
          <w:color w:val="000000"/>
        </w:rPr>
        <w:t xml:space="preserve">. </w:t>
      </w:r>
      <w:r w:rsidRPr="007A313D">
        <w:rPr>
          <w:bCs/>
          <w:iCs/>
          <w:color w:val="000000"/>
        </w:rPr>
        <w:tab/>
        <w:t>palankiai vertina naujausias iniciatyvas, kurioms pritarė Pirmininkų sueiga ir Biuras, kad perinataliniu laikotarpiu Parlamento narės galėtų balsuoti pagal įgaliojimą, pripažindamas, kad tai yra teigiamas žingsnis siekiant didesnio įtraukumo į parlamentinį darbą, ir ragina visas šalis skubiai įgyvendinti šią priemonę; vis dėlto primygtinai tvirtina, kad ši priemonė yra nepakankama atsižvelgiant į pakartotinius Parlamento raginimus užtikrinti balsavimo teises ne tik Parlamento narėms perinataliniu laikotarpiu, bet ir tiems Parlamento nariams, kurie yra išėję vaiko priežiūros ar tėvystės atostogų arba turi patvirtintą ilgalaikę ligą;</w:t>
      </w:r>
    </w:p>
    <w:p w14:paraId="318B808B" w14:textId="1E2E52BE" w:rsidR="00CB66B3" w:rsidRPr="007A313D" w:rsidRDefault="007A313D" w:rsidP="005E08BE">
      <w:pPr>
        <w:spacing w:after="240"/>
        <w:ind w:left="567" w:hanging="567"/>
        <w:rPr>
          <w:color w:val="000000"/>
        </w:rPr>
      </w:pPr>
      <w:r w:rsidRPr="007A313D">
        <w:rPr>
          <w:color w:val="000000"/>
        </w:rPr>
        <w:t>30</w:t>
      </w:r>
      <w:r w:rsidR="005E08BE" w:rsidRPr="007A313D">
        <w:rPr>
          <w:color w:val="000000"/>
        </w:rPr>
        <w:t>.</w:t>
      </w:r>
      <w:r w:rsidR="005E08BE" w:rsidRPr="007A313D">
        <w:rPr>
          <w:color w:val="000000"/>
        </w:rPr>
        <w:tab/>
      </w:r>
      <w:r w:rsidR="00CB66B3" w:rsidRPr="007A313D">
        <w:rPr>
          <w:color w:val="000000"/>
        </w:rPr>
        <w:t xml:space="preserve">reiškia susirūpinimą dėl to, kad nuo 2020 m. Parlamento vaikų lopšelio „Wayenberg Crèche“ teikiamų paslaugų kokybei ir tęstinumui poveikį daro dažni paslaugų teikėjų pokyčiai, taip pat iššūkiai, susiję su darbuotojų trūkumu, dideliu darbuotojų nebuvimo darbe rodikliu ir vaikų lopšelio darbuotojų kaita; atkreipia dėmesį į tai, kad dabartinė sutartis dėl Parlamento vaikų priežiūros paslaugų Briuselyje buvo sudaryta su nauja įmone, įsteigta netrukus po konkurso paskelbimo ir, kaip pranešama, susijusia su buvusiu paslaugų teikėju, t. y. įmone „Esedra“; primena tai, kad sutartį su ankstesniu lopšelio „Crèche Wayenberg“ paslaugų teikėju, t. y. įmone „Esedra“, Parlamentas nutraukė anksčiau laiko po to, kai tam paslaugų teikėjui buvo pateikti keli rimti įtarimai; pakartoja, kad deramos išorės darbuotojų darbo sąlygos ir deramas darbo užmokestis, įskaitant mokymus, įgūdžių ugdymą, kovos su smurtu ir priekabiavimu priemones, prasmingą socialinį dialogą ir investicijas į darbuotojų gerovę, kai aktualu, iš esmės turėtų būti Parlamento viešųjų pirkimų prioritetas; ragina atlikti nepriklausomą konkurso procedūros ir dabartinės sutarties įgyvendinimo išorės auditą, įskaitant nepriklausomą išorinį darbo sąlygų ir darbuotojų gerovės vertinimą; </w:t>
      </w:r>
    </w:p>
    <w:p w14:paraId="6B67A9F5" w14:textId="7228F526" w:rsidR="005E08BE" w:rsidRPr="007A313D" w:rsidRDefault="00483835" w:rsidP="005E08BE">
      <w:pPr>
        <w:spacing w:after="240"/>
        <w:ind w:left="567" w:hanging="567"/>
        <w:rPr>
          <w:bCs/>
          <w:iCs/>
          <w:color w:val="000000"/>
        </w:rPr>
      </w:pPr>
      <w:r w:rsidRPr="007A313D">
        <w:rPr>
          <w:color w:val="000000"/>
        </w:rPr>
        <w:lastRenderedPageBreak/>
        <w:t>3</w:t>
      </w:r>
      <w:r w:rsidR="007A313D" w:rsidRPr="007A313D">
        <w:rPr>
          <w:color w:val="000000"/>
        </w:rPr>
        <w:t>1</w:t>
      </w:r>
      <w:r w:rsidR="005E08BE" w:rsidRPr="007A313D">
        <w:rPr>
          <w:color w:val="000000"/>
        </w:rPr>
        <w:t>.</w:t>
      </w:r>
      <w:r w:rsidR="005E08BE" w:rsidRPr="007A313D">
        <w:rPr>
          <w:color w:val="000000"/>
        </w:rPr>
        <w:tab/>
        <w:t>palankiai vertina šeimos kambario įrengimą Strasbūre kaip vertingą paramą mažų vaikų turintiems Parlamento nariams ir darbuotojams tuo metu, kai jie vykdo parlamentinę veiklą; vis dėlto pažymi, kad šeimos kambario pajėgumai yra riboti, jame galima priimti 30 vaikų; pažymi, kad vidutinis Europos Parlamento narių ir Parlamento darbuotojų amžius pastaraisiais metais sumažėjo, todėl padaugėjo jaunų šeimų ir padidėjo vaikų priežiūros paslaugų poreikis; ragina Biurą ir generalinį sekretorių nustatyti ir įgyvendinti sprendimus, kuriais būtų siekiama toliau stiprinti vaikų priežiūros paslaugas Strasbūre;</w:t>
      </w:r>
    </w:p>
    <w:p w14:paraId="02EFFBF3" w14:textId="2851A080" w:rsidR="005E08BE" w:rsidRPr="007A313D" w:rsidRDefault="00483835" w:rsidP="005E08BE">
      <w:pPr>
        <w:spacing w:after="240"/>
        <w:ind w:left="567" w:hanging="567"/>
        <w:rPr>
          <w:color w:val="000000"/>
        </w:rPr>
      </w:pPr>
      <w:r w:rsidRPr="007A313D">
        <w:rPr>
          <w:color w:val="000000"/>
        </w:rPr>
        <w:t>3</w:t>
      </w:r>
      <w:r w:rsidR="007A313D" w:rsidRPr="007A313D">
        <w:rPr>
          <w:color w:val="000000"/>
        </w:rPr>
        <w:t>2</w:t>
      </w:r>
      <w:r w:rsidR="005E08BE" w:rsidRPr="007A313D">
        <w:rPr>
          <w:color w:val="000000"/>
        </w:rPr>
        <w:t>.</w:t>
      </w:r>
      <w:r w:rsidR="005E08BE" w:rsidRPr="007A313D">
        <w:rPr>
          <w:color w:val="000000"/>
        </w:rPr>
        <w:tab/>
        <w:t xml:space="preserve">dar kartą ragina generalinį sekretorių akcentuoti pagrindinį principą – įdarbinimas visuomet turėtų būti grindžiamas kompetencija ir sykiu užtikrinama geografinė pusiausvyra visų valstybių narių atžvilgiu ir visais darbuotojų lygmenimis; pabrėžia, kad teisingas geografinis atstovavimas visais administracijos lygmenimis, taip pat atsižvelgiant į amžių ir lytį, yra labai svarbus skatinant tikrą Europos Sąjungos viešąją tarnybą; pažymi, kad Parlamentas ėmėsi priemonių šiam tikslui remti, įskaitant su konkrečia pilietybe susijusių konkursų organizavimą; pabrėžia, kad reikia paspartinti konkursų procesus, kartu išlaikant griežtai nuopelnais grindžiamą atrankos metodą; </w:t>
      </w:r>
    </w:p>
    <w:p w14:paraId="4BA148B5" w14:textId="5E872557" w:rsidR="005E08BE" w:rsidRPr="007A313D" w:rsidRDefault="00483835" w:rsidP="005E08BE">
      <w:pPr>
        <w:spacing w:after="240"/>
        <w:ind w:left="567" w:hanging="567"/>
        <w:rPr>
          <w:color w:val="000000"/>
        </w:rPr>
      </w:pPr>
      <w:r w:rsidRPr="007A313D">
        <w:rPr>
          <w:color w:val="000000"/>
        </w:rPr>
        <w:t>3</w:t>
      </w:r>
      <w:r w:rsidR="007A313D" w:rsidRPr="007A313D">
        <w:rPr>
          <w:color w:val="000000"/>
        </w:rPr>
        <w:t>3</w:t>
      </w:r>
      <w:r w:rsidR="005E08BE" w:rsidRPr="007A313D">
        <w:rPr>
          <w:color w:val="000000"/>
        </w:rPr>
        <w:t>.</w:t>
      </w:r>
      <w:r w:rsidR="005E08BE" w:rsidRPr="007A313D">
        <w:rPr>
          <w:color w:val="000000"/>
        </w:rPr>
        <w:tab/>
        <w:t xml:space="preserve">pabrėžia, kad daugiakalbystė – tai pagrindinis principas, kuriuo grindžiamas Parlamento darbas; prašo, kad Parlamentas, kai tinkama, pasinaudotų esminiais technologiniais pokyčiais su daugiakalbyste susijusių paslaugų srityje, įskaitant DI kūrimą ir naudojimą; </w:t>
      </w:r>
    </w:p>
    <w:p w14:paraId="056F20C6" w14:textId="01B06874" w:rsidR="005E08BE" w:rsidRPr="007A313D" w:rsidRDefault="00483835" w:rsidP="005E08BE">
      <w:pPr>
        <w:spacing w:after="240"/>
        <w:ind w:left="567" w:hanging="567"/>
        <w:rPr>
          <w:bCs/>
          <w:iCs/>
          <w:color w:val="000000"/>
        </w:rPr>
      </w:pPr>
      <w:r w:rsidRPr="007A313D">
        <w:rPr>
          <w:color w:val="000000"/>
        </w:rPr>
        <w:t>3</w:t>
      </w:r>
      <w:r w:rsidR="007A313D" w:rsidRPr="007A313D">
        <w:rPr>
          <w:color w:val="000000"/>
        </w:rPr>
        <w:t>4</w:t>
      </w:r>
      <w:r w:rsidR="005E08BE" w:rsidRPr="007A313D">
        <w:rPr>
          <w:color w:val="000000"/>
        </w:rPr>
        <w:t>.</w:t>
      </w:r>
      <w:r w:rsidR="005E08BE" w:rsidRPr="007A313D">
        <w:rPr>
          <w:color w:val="000000"/>
        </w:rPr>
        <w:tab/>
        <w:t>atkreipia dėmesį į 2025 m. gruodžio 17 d. Europos Sąjungos Teisingumo Teismo Bendrojo Teismo sprendimą, kuriuo patvirtinamas 2023 m. Biuro priimtų priemonių, susijusių su Parlamento narių savanorišku pensijų kaupimo fondu, teisėtumas</w:t>
      </w:r>
      <w:r w:rsidR="005E08BE" w:rsidRPr="007A313D">
        <w:rPr>
          <w:rStyle w:val="FootnoteReference"/>
          <w:bCs/>
          <w:iCs/>
          <w:color w:val="000000"/>
        </w:rPr>
        <w:footnoteReference w:id="13"/>
      </w:r>
      <w:r w:rsidR="005E08BE" w:rsidRPr="007A313D">
        <w:rPr>
          <w:color w:val="000000"/>
        </w:rPr>
        <w:t>; pabrėžia, kad nors šiomis priemonėmis išmokų prievolė sumažinta 63 proc., fondo finansinė padėtis tebėra labai nestabili; tikisi gauti naujausią informaciją apie tolesnius pokyčius, susijusius su savanoriška pensijų kaupimo sistema;</w:t>
      </w:r>
    </w:p>
    <w:p w14:paraId="13490E52" w14:textId="67A3E88E" w:rsidR="005E08BE" w:rsidRPr="007A313D" w:rsidRDefault="00483835" w:rsidP="005E08BE">
      <w:pPr>
        <w:spacing w:after="240"/>
        <w:ind w:left="567" w:hanging="567"/>
        <w:rPr>
          <w:bCs/>
          <w:iCs/>
          <w:color w:val="000000"/>
        </w:rPr>
      </w:pPr>
      <w:r w:rsidRPr="007A313D">
        <w:rPr>
          <w:color w:val="000000"/>
        </w:rPr>
        <w:t>3</w:t>
      </w:r>
      <w:r w:rsidR="007A313D" w:rsidRPr="007A313D">
        <w:rPr>
          <w:color w:val="000000"/>
        </w:rPr>
        <w:t>5</w:t>
      </w:r>
      <w:r w:rsidR="005E08BE" w:rsidRPr="007A313D">
        <w:rPr>
          <w:color w:val="000000"/>
        </w:rPr>
        <w:t>.</w:t>
      </w:r>
      <w:r w:rsidR="005E08BE" w:rsidRPr="007A313D">
        <w:rPr>
          <w:color w:val="000000"/>
        </w:rPr>
        <w:tab/>
        <w:t>pabrėžia, kad prašymai, dėl kurių balsuojama plenariniame posėdyje, bus įgyvendinami teikiant jiems svarbų prioritetą;</w:t>
      </w:r>
    </w:p>
    <w:p w14:paraId="74B710B7" w14:textId="161D7532" w:rsidR="005E08BE" w:rsidRPr="007A313D" w:rsidRDefault="00483835" w:rsidP="005E08BE">
      <w:pPr>
        <w:spacing w:after="240"/>
        <w:ind w:left="567" w:hanging="567"/>
      </w:pPr>
      <w:r w:rsidRPr="007A313D">
        <w:t>3</w:t>
      </w:r>
      <w:r w:rsidR="007A313D" w:rsidRPr="007A313D">
        <w:t>6</w:t>
      </w:r>
      <w:r w:rsidR="005E08BE" w:rsidRPr="007A313D">
        <w:t>.</w:t>
      </w:r>
      <w:r w:rsidR="005E08BE" w:rsidRPr="007A313D">
        <w:tab/>
        <w:t>patvirtina 2027 finansinių metų sąmatą;</w:t>
      </w:r>
    </w:p>
    <w:p w14:paraId="0A0D4D31" w14:textId="0325AEF9" w:rsidR="00E365E1" w:rsidRPr="007A313D" w:rsidRDefault="00483835" w:rsidP="004F78BD">
      <w:pPr>
        <w:ind w:left="567" w:hanging="567"/>
      </w:pPr>
      <w:r w:rsidRPr="007A313D">
        <w:t>3</w:t>
      </w:r>
      <w:r w:rsidR="007A313D" w:rsidRPr="007A313D">
        <w:t>7</w:t>
      </w:r>
      <w:r w:rsidR="005E08BE" w:rsidRPr="007A313D">
        <w:t>.</w:t>
      </w:r>
      <w:r w:rsidR="005E08BE" w:rsidRPr="007A313D">
        <w:tab/>
        <w:t xml:space="preserve">paveda Pirmininkei perduoti šią rezoliuciją ir sąmatą </w:t>
      </w:r>
      <w:r w:rsidR="003F6D73" w:rsidRPr="007A313D">
        <w:t>Tarybai ir Komisijai.</w:t>
      </w:r>
    </w:p>
    <w:sectPr w:rsidR="00E365E1" w:rsidRPr="007A313D" w:rsidSect="003F6D7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DCF93" w14:textId="77777777" w:rsidR="002B71E4" w:rsidRPr="003F6D73" w:rsidRDefault="002B71E4">
      <w:r w:rsidRPr="003F6D73">
        <w:separator/>
      </w:r>
    </w:p>
  </w:endnote>
  <w:endnote w:type="continuationSeparator" w:id="0">
    <w:p w14:paraId="1EFCC190" w14:textId="77777777" w:rsidR="002B71E4" w:rsidRPr="003F6D73" w:rsidRDefault="002B71E4">
      <w:r w:rsidRPr="003F6D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76E0" w14:textId="77777777" w:rsidR="002B71E4" w:rsidRPr="003F6D73" w:rsidRDefault="002B71E4">
      <w:r w:rsidRPr="003F6D73">
        <w:separator/>
      </w:r>
    </w:p>
  </w:footnote>
  <w:footnote w:type="continuationSeparator" w:id="0">
    <w:p w14:paraId="3CBDA009" w14:textId="77777777" w:rsidR="002B71E4" w:rsidRPr="003F6D73" w:rsidRDefault="002B71E4">
      <w:r w:rsidRPr="003F6D73">
        <w:continuationSeparator/>
      </w:r>
    </w:p>
  </w:footnote>
  <w:footnote w:id="1">
    <w:p w14:paraId="45B71509" w14:textId="571355F2"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L, 2024/2509, 2024 9 26, ELI:</w:t>
      </w:r>
      <w:r w:rsidRPr="003F6D73">
        <w:rPr>
          <w:color w:val="000000"/>
        </w:rPr>
        <w:t xml:space="preserve"> </w:t>
      </w:r>
      <w:hyperlink r:id="rId1" w:history="1">
        <w:r w:rsidRPr="003F6D73">
          <w:rPr>
            <w:rStyle w:val="Hyperlink"/>
          </w:rPr>
          <w:t>http://data.europa.eu/eli/reg/2024/2509/oj</w:t>
        </w:r>
      </w:hyperlink>
      <w:r w:rsidRPr="003F6D73">
        <w:rPr>
          <w:color w:val="337AB7"/>
          <w:u w:val="single"/>
        </w:rPr>
        <w:t>.</w:t>
      </w:r>
    </w:p>
  </w:footnote>
  <w:footnote w:id="2">
    <w:p w14:paraId="1BAECAAC" w14:textId="5571C175"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L 433 I, 2020 12 22, p. 11, ELI:</w:t>
      </w:r>
      <w:r w:rsidRPr="003F6D73">
        <w:rPr>
          <w:color w:val="000000"/>
        </w:rPr>
        <w:t xml:space="preserve"> </w:t>
      </w:r>
      <w:hyperlink r:id="rId2" w:history="1">
        <w:r w:rsidRPr="003F6D73">
          <w:rPr>
            <w:rStyle w:val="Hyperlink"/>
          </w:rPr>
          <w:t>http://data.europa.eu/eli/reg/2020/2093/oj</w:t>
        </w:r>
      </w:hyperlink>
      <w:r w:rsidRPr="003F6D73">
        <w:rPr>
          <w:color w:val="000000"/>
        </w:rPr>
        <w:t>.</w:t>
      </w:r>
    </w:p>
  </w:footnote>
  <w:footnote w:id="3">
    <w:p w14:paraId="1BA1D824" w14:textId="08CDA106"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C 444 I, 2020 12 22, p. 4.</w:t>
      </w:r>
    </w:p>
  </w:footnote>
  <w:footnote w:id="4">
    <w:p w14:paraId="2AEDA4A3" w14:textId="4C003DFF"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C 445, 2021 10 29, p. 252.</w:t>
      </w:r>
    </w:p>
  </w:footnote>
  <w:footnote w:id="5">
    <w:p w14:paraId="79D1C698" w14:textId="6DA0CADA" w:rsidR="005E08BE" w:rsidRPr="003F6D73" w:rsidRDefault="005E08BE" w:rsidP="003F6D73">
      <w:pPr>
        <w:ind w:left="567" w:hanging="567"/>
      </w:pPr>
      <w:r w:rsidRPr="003F6D73">
        <w:rPr>
          <w:rStyle w:val="FootnoteReference"/>
          <w:rFonts w:eastAsiaTheme="majorEastAsia"/>
        </w:rPr>
        <w:footnoteRef/>
      </w:r>
      <w:r w:rsidR="003F6D73" w:rsidRPr="003F6D73">
        <w:t xml:space="preserve"> </w:t>
      </w:r>
      <w:r w:rsidR="003F6D73" w:rsidRPr="003F6D73">
        <w:tab/>
      </w:r>
      <w:r w:rsidRPr="003F6D73">
        <w:t xml:space="preserve">OL L 325, 2022 12 20, p. 11, ELI: </w:t>
      </w:r>
      <w:hyperlink r:id="rId3" w:history="1">
        <w:r w:rsidRPr="003F6D73">
          <w:rPr>
            <w:rStyle w:val="Hyperlink"/>
          </w:rPr>
          <w:t>http://data.europa.eu/eli/reg/2022/2496/oj</w:t>
        </w:r>
      </w:hyperlink>
      <w:r w:rsidRPr="003F6D73">
        <w:t>.</w:t>
      </w:r>
    </w:p>
  </w:footnote>
  <w:footnote w:id="6">
    <w:p w14:paraId="7FBCBD0F" w14:textId="70081CFA" w:rsidR="005E08BE" w:rsidRPr="003F6D73" w:rsidRDefault="005E08BE" w:rsidP="003F6D73">
      <w:pPr>
        <w:ind w:left="567" w:hanging="567"/>
      </w:pPr>
      <w:r w:rsidRPr="003F6D73">
        <w:rPr>
          <w:rStyle w:val="FootnoteReference"/>
        </w:rPr>
        <w:footnoteRef/>
      </w:r>
      <w:r w:rsidR="003F6D73" w:rsidRPr="003F6D73">
        <w:t xml:space="preserve"> </w:t>
      </w:r>
      <w:r w:rsidR="003F6D73" w:rsidRPr="003F6D73">
        <w:tab/>
      </w:r>
      <w:r w:rsidRPr="003F6D73">
        <w:t xml:space="preserve">OL L, 2024/765, 2024 2 29, ELI: </w:t>
      </w:r>
      <w:hyperlink r:id="rId4" w:history="1">
        <w:r w:rsidRPr="003F6D73">
          <w:rPr>
            <w:rStyle w:val="Hyperlink"/>
          </w:rPr>
          <w:t>http://data.europa.eu/eli/reg/2024/765/oj</w:t>
        </w:r>
      </w:hyperlink>
      <w:r w:rsidRPr="003F6D73">
        <w:t>.</w:t>
      </w:r>
    </w:p>
  </w:footnote>
  <w:footnote w:id="7">
    <w:p w14:paraId="06ADF4CB" w14:textId="4D511A61"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L 433 I, 2020 12 22, p. 28, ELI:</w:t>
      </w:r>
      <w:r w:rsidRPr="003F6D73">
        <w:rPr>
          <w:color w:val="000000"/>
        </w:rPr>
        <w:t xml:space="preserve"> </w:t>
      </w:r>
      <w:hyperlink r:id="rId5" w:history="1">
        <w:r w:rsidRPr="003F6D73">
          <w:rPr>
            <w:rStyle w:val="Hyperlink"/>
          </w:rPr>
          <w:t>http://data.europa.eu/eli/agree_interinstit/2020/1222/oj</w:t>
        </w:r>
      </w:hyperlink>
      <w:r w:rsidRPr="003F6D73">
        <w:rPr>
          <w:color w:val="000000"/>
        </w:rPr>
        <w:t>.</w:t>
      </w:r>
    </w:p>
  </w:footnote>
  <w:footnote w:id="8">
    <w:p w14:paraId="5A94CB76" w14:textId="0118577C"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C 445, 2021 10 29, p. 240.</w:t>
      </w:r>
    </w:p>
  </w:footnote>
  <w:footnote w:id="9">
    <w:p w14:paraId="194E6528" w14:textId="58F54CCC"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C 177, 2023 5 17, p. 115.</w:t>
      </w:r>
    </w:p>
  </w:footnote>
  <w:footnote w:id="10">
    <w:p w14:paraId="6F8B6999" w14:textId="14A5B35C"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C, C/2024/1195, 2024 2 23, ELI:</w:t>
      </w:r>
      <w:r w:rsidRPr="003F6D73">
        <w:rPr>
          <w:color w:val="000000"/>
        </w:rPr>
        <w:t xml:space="preserve"> </w:t>
      </w:r>
      <w:hyperlink r:id="rId6" w:history="1">
        <w:r w:rsidRPr="003F6D73">
          <w:rPr>
            <w:rStyle w:val="Hyperlink"/>
          </w:rPr>
          <w:t>http://data.europa.eu/eli/C/2024/1195/oj</w:t>
        </w:r>
      </w:hyperlink>
      <w:r w:rsidRPr="003F6D73">
        <w:rPr>
          <w:color w:val="000000"/>
        </w:rPr>
        <w:t>.</w:t>
      </w:r>
    </w:p>
  </w:footnote>
  <w:footnote w:id="11">
    <w:p w14:paraId="525F0A04" w14:textId="7D3FC026"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C, C/2024/6751, 2024 11 26, ELI:</w:t>
      </w:r>
      <w:r w:rsidRPr="003F6D73">
        <w:rPr>
          <w:color w:val="000000"/>
        </w:rPr>
        <w:t xml:space="preserve"> </w:t>
      </w:r>
      <w:hyperlink r:id="rId7" w:history="1">
        <w:r w:rsidRPr="003F6D73">
          <w:rPr>
            <w:rStyle w:val="Hyperlink"/>
          </w:rPr>
          <w:t>http://data.europa.eu/eli/C/2024/6751/oj</w:t>
        </w:r>
      </w:hyperlink>
      <w:r w:rsidRPr="003F6D73">
        <w:rPr>
          <w:color w:val="000000"/>
        </w:rPr>
        <w:t>.</w:t>
      </w:r>
    </w:p>
  </w:footnote>
  <w:footnote w:id="12">
    <w:p w14:paraId="231029F9" w14:textId="61113174" w:rsidR="005E08BE" w:rsidRPr="003F6D73" w:rsidRDefault="005E08BE" w:rsidP="003F6D73">
      <w:pPr>
        <w:ind w:left="567" w:hanging="567"/>
        <w:rPr>
          <w:color w:val="000000"/>
        </w:rPr>
      </w:pPr>
      <w:r w:rsidRPr="003F6D73">
        <w:rPr>
          <w:rStyle w:val="FootnoteReference"/>
        </w:rPr>
        <w:footnoteRef/>
      </w:r>
      <w:r w:rsidR="003F6D73" w:rsidRPr="003F6D73">
        <w:t xml:space="preserve"> </w:t>
      </w:r>
      <w:r w:rsidR="003F6D73" w:rsidRPr="003F6D73">
        <w:tab/>
      </w:r>
      <w:r w:rsidRPr="003F6D73">
        <w:t>OL L, 2026/72, 2026 2 26, ELI:</w:t>
      </w:r>
      <w:r w:rsidRPr="003F6D73">
        <w:rPr>
          <w:color w:val="000000"/>
        </w:rPr>
        <w:t xml:space="preserve"> </w:t>
      </w:r>
      <w:hyperlink r:id="rId8" w:history="1">
        <w:r w:rsidRPr="003F6D73">
          <w:rPr>
            <w:rStyle w:val="Hyperlink"/>
          </w:rPr>
          <w:t>http://data.europa.eu/eli/budget/2026/72/oj</w:t>
        </w:r>
      </w:hyperlink>
      <w:r w:rsidRPr="003F6D73">
        <w:rPr>
          <w:color w:val="000000"/>
        </w:rPr>
        <w:t xml:space="preserve">. </w:t>
      </w:r>
    </w:p>
  </w:footnote>
  <w:footnote w:id="13">
    <w:p w14:paraId="3E270C39" w14:textId="21EA134B" w:rsidR="005E08BE" w:rsidRPr="003F6D73" w:rsidRDefault="005E08BE" w:rsidP="003F6D73">
      <w:pPr>
        <w:pStyle w:val="FootnoteText"/>
        <w:ind w:left="567" w:hanging="567"/>
        <w:rPr>
          <w:sz w:val="24"/>
          <w:lang w:val="lt-LT"/>
        </w:rPr>
      </w:pPr>
      <w:r w:rsidRPr="003F6D73">
        <w:rPr>
          <w:rStyle w:val="FootnoteReference"/>
          <w:sz w:val="24"/>
          <w:lang w:val="lt-LT"/>
        </w:rPr>
        <w:footnoteRef/>
      </w:r>
      <w:r w:rsidR="003F6D73" w:rsidRPr="003F6D73">
        <w:rPr>
          <w:sz w:val="24"/>
          <w:lang w:val="lt-LT"/>
        </w:rPr>
        <w:t xml:space="preserve"> </w:t>
      </w:r>
      <w:r w:rsidR="003F6D73" w:rsidRPr="003F6D73">
        <w:rPr>
          <w:sz w:val="24"/>
          <w:lang w:val="lt-LT"/>
        </w:rPr>
        <w:tab/>
      </w:r>
      <w:r w:rsidRPr="003F6D73">
        <w:rPr>
          <w:sz w:val="24"/>
          <w:lang w:val="lt-LT"/>
        </w:rPr>
        <w:t xml:space="preserve">2025 m. gruodžio 17 d. </w:t>
      </w:r>
      <w:r w:rsidR="0047079C">
        <w:rPr>
          <w:sz w:val="24"/>
          <w:lang w:val="lt-LT"/>
        </w:rPr>
        <w:t>Bendrojo</w:t>
      </w:r>
      <w:r w:rsidRPr="003F6D73">
        <w:rPr>
          <w:sz w:val="24"/>
          <w:lang w:val="lt-LT"/>
        </w:rPr>
        <w:t xml:space="preserve"> Teismo sprendimas </w:t>
      </w:r>
      <w:r w:rsidRPr="003F6D73">
        <w:rPr>
          <w:i/>
          <w:iCs/>
          <w:sz w:val="24"/>
          <w:lang w:val="lt-LT"/>
        </w:rPr>
        <w:t>FE / Parlamentas</w:t>
      </w:r>
      <w:r w:rsidRPr="003F6D73">
        <w:rPr>
          <w:sz w:val="24"/>
          <w:lang w:val="lt-LT"/>
        </w:rPr>
        <w:t>, T</w:t>
      </w:r>
      <w:r w:rsidRPr="003F6D73">
        <w:rPr>
          <w:sz w:val="24"/>
          <w:lang w:val="lt-LT"/>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0078892">
    <w:abstractNumId w:val="9"/>
  </w:num>
  <w:num w:numId="2" w16cid:durableId="723791972">
    <w:abstractNumId w:val="9"/>
  </w:num>
  <w:num w:numId="3" w16cid:durableId="809860392">
    <w:abstractNumId w:val="7"/>
  </w:num>
  <w:num w:numId="4" w16cid:durableId="1130320153">
    <w:abstractNumId w:val="7"/>
  </w:num>
  <w:num w:numId="5" w16cid:durableId="531263927">
    <w:abstractNumId w:val="6"/>
  </w:num>
  <w:num w:numId="6" w16cid:durableId="1194804549">
    <w:abstractNumId w:val="6"/>
  </w:num>
  <w:num w:numId="7" w16cid:durableId="1898085241">
    <w:abstractNumId w:val="5"/>
  </w:num>
  <w:num w:numId="8" w16cid:durableId="765225782">
    <w:abstractNumId w:val="5"/>
  </w:num>
  <w:num w:numId="9" w16cid:durableId="1165248322">
    <w:abstractNumId w:val="4"/>
  </w:num>
  <w:num w:numId="10" w16cid:durableId="802506776">
    <w:abstractNumId w:val="4"/>
  </w:num>
  <w:num w:numId="11" w16cid:durableId="1341276990">
    <w:abstractNumId w:val="8"/>
  </w:num>
  <w:num w:numId="12" w16cid:durableId="199318436">
    <w:abstractNumId w:val="8"/>
  </w:num>
  <w:num w:numId="13" w16cid:durableId="528108815">
    <w:abstractNumId w:val="3"/>
  </w:num>
  <w:num w:numId="14" w16cid:durableId="688486203">
    <w:abstractNumId w:val="3"/>
  </w:num>
  <w:num w:numId="15" w16cid:durableId="236212451">
    <w:abstractNumId w:val="2"/>
  </w:num>
  <w:num w:numId="16" w16cid:durableId="2088571187">
    <w:abstractNumId w:val="2"/>
  </w:num>
  <w:num w:numId="17" w16cid:durableId="616762643">
    <w:abstractNumId w:val="1"/>
  </w:num>
  <w:num w:numId="18" w16cid:durableId="1504512741">
    <w:abstractNumId w:val="1"/>
  </w:num>
  <w:num w:numId="19" w16cid:durableId="1993948948">
    <w:abstractNumId w:val="0"/>
  </w:num>
  <w:num w:numId="20" w16cid:durableId="1157922052">
    <w:abstractNumId w:val="0"/>
  </w:num>
  <w:num w:numId="21" w16cid:durableId="969676682">
    <w:abstractNumId w:val="9"/>
  </w:num>
  <w:num w:numId="22" w16cid:durableId="1378698828">
    <w:abstractNumId w:val="7"/>
  </w:num>
  <w:num w:numId="23" w16cid:durableId="500779351">
    <w:abstractNumId w:val="6"/>
  </w:num>
  <w:num w:numId="24" w16cid:durableId="480999231">
    <w:abstractNumId w:val="5"/>
  </w:num>
  <w:num w:numId="25" w16cid:durableId="596788011">
    <w:abstractNumId w:val="4"/>
  </w:num>
  <w:num w:numId="26" w16cid:durableId="310252455">
    <w:abstractNumId w:val="8"/>
  </w:num>
  <w:num w:numId="27" w16cid:durableId="1042941257">
    <w:abstractNumId w:val="3"/>
  </w:num>
  <w:num w:numId="28" w16cid:durableId="267780324">
    <w:abstractNumId w:val="2"/>
  </w:num>
  <w:num w:numId="29" w16cid:durableId="1232695406">
    <w:abstractNumId w:val="1"/>
  </w:num>
  <w:num w:numId="30" w16cid:durableId="1662849808">
    <w:abstractNumId w:val="0"/>
  </w:num>
  <w:num w:numId="31" w16cid:durableId="1779450758">
    <w:abstractNumId w:val="9"/>
  </w:num>
  <w:num w:numId="32" w16cid:durableId="272171917">
    <w:abstractNumId w:val="7"/>
  </w:num>
  <w:num w:numId="33" w16cid:durableId="1792244810">
    <w:abstractNumId w:val="6"/>
  </w:num>
  <w:num w:numId="34" w16cid:durableId="870648701">
    <w:abstractNumId w:val="5"/>
  </w:num>
  <w:num w:numId="35" w16cid:durableId="321813646">
    <w:abstractNumId w:val="4"/>
  </w:num>
  <w:num w:numId="36" w16cid:durableId="808791983">
    <w:abstractNumId w:val="8"/>
  </w:num>
  <w:num w:numId="37" w16cid:durableId="867375375">
    <w:abstractNumId w:val="3"/>
  </w:num>
  <w:num w:numId="38" w16cid:durableId="856820265">
    <w:abstractNumId w:val="2"/>
  </w:num>
  <w:num w:numId="39" w16cid:durableId="518736579">
    <w:abstractNumId w:val="1"/>
  </w:num>
  <w:num w:numId="40" w16cid:durableId="1647515510">
    <w:abstractNumId w:val="0"/>
  </w:num>
  <w:num w:numId="41" w16cid:durableId="1095322447">
    <w:abstractNumId w:val="10"/>
  </w:num>
  <w:num w:numId="42" w16cid:durableId="294219070">
    <w:abstractNumId w:val="10"/>
  </w:num>
  <w:num w:numId="43" w16cid:durableId="78454603">
    <w:abstractNumId w:val="10"/>
  </w:num>
  <w:num w:numId="44" w16cid:durableId="271599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LT"/>
    <w:docVar w:name="dvnumam" w:val="0"/>
    <w:docVar w:name="dvpe" w:val="785.303"/>
    <w:docVar w:name="dvrapporteur" w:val="Pranešėjas: "/>
    <w:docVar w:name="dvtitre" w:val="2026 m. ... ... d. Europos Parlamento rezoliucija dėl Europos Parlamento 2027 finansinių metų pajamų ir išlaidų sąmatos(2025/2247(BUI))"/>
  </w:docVars>
  <w:rsids>
    <w:rsidRoot w:val="002B71E4"/>
    <w:rsid w:val="00002272"/>
    <w:rsid w:val="00035F11"/>
    <w:rsid w:val="000417A5"/>
    <w:rsid w:val="00064002"/>
    <w:rsid w:val="000677B9"/>
    <w:rsid w:val="000831BA"/>
    <w:rsid w:val="000A42CC"/>
    <w:rsid w:val="000C7618"/>
    <w:rsid w:val="000E7DD9"/>
    <w:rsid w:val="0010095E"/>
    <w:rsid w:val="00125B37"/>
    <w:rsid w:val="00187494"/>
    <w:rsid w:val="001F32AE"/>
    <w:rsid w:val="002767FF"/>
    <w:rsid w:val="002B18FE"/>
    <w:rsid w:val="002B5493"/>
    <w:rsid w:val="002B71E4"/>
    <w:rsid w:val="00343214"/>
    <w:rsid w:val="00361C00"/>
    <w:rsid w:val="00395FA1"/>
    <w:rsid w:val="003D3653"/>
    <w:rsid w:val="003E15D4"/>
    <w:rsid w:val="003F6D73"/>
    <w:rsid w:val="00411CCE"/>
    <w:rsid w:val="0041666E"/>
    <w:rsid w:val="00421060"/>
    <w:rsid w:val="0047079C"/>
    <w:rsid w:val="00471C19"/>
    <w:rsid w:val="00483835"/>
    <w:rsid w:val="004867E3"/>
    <w:rsid w:val="00494A28"/>
    <w:rsid w:val="004C0004"/>
    <w:rsid w:val="004C5D52"/>
    <w:rsid w:val="004C6857"/>
    <w:rsid w:val="004F78BD"/>
    <w:rsid w:val="0050519A"/>
    <w:rsid w:val="005072A1"/>
    <w:rsid w:val="00514517"/>
    <w:rsid w:val="0054178A"/>
    <w:rsid w:val="00545827"/>
    <w:rsid w:val="00560270"/>
    <w:rsid w:val="00582F95"/>
    <w:rsid w:val="005C18EC"/>
    <w:rsid w:val="005C2568"/>
    <w:rsid w:val="005E08BE"/>
    <w:rsid w:val="005F1B17"/>
    <w:rsid w:val="006037C0"/>
    <w:rsid w:val="006631B6"/>
    <w:rsid w:val="00680577"/>
    <w:rsid w:val="006D0B04"/>
    <w:rsid w:val="006F74FA"/>
    <w:rsid w:val="00731ADD"/>
    <w:rsid w:val="00734777"/>
    <w:rsid w:val="00747932"/>
    <w:rsid w:val="00751A4A"/>
    <w:rsid w:val="00756632"/>
    <w:rsid w:val="00762C74"/>
    <w:rsid w:val="00786EC0"/>
    <w:rsid w:val="007A313D"/>
    <w:rsid w:val="007D1690"/>
    <w:rsid w:val="007E22AD"/>
    <w:rsid w:val="00817416"/>
    <w:rsid w:val="00842779"/>
    <w:rsid w:val="00865F67"/>
    <w:rsid w:val="00881A7B"/>
    <w:rsid w:val="008840E5"/>
    <w:rsid w:val="00887B3E"/>
    <w:rsid w:val="008C2AC6"/>
    <w:rsid w:val="008D6BBF"/>
    <w:rsid w:val="009061C2"/>
    <w:rsid w:val="00930C23"/>
    <w:rsid w:val="0093193B"/>
    <w:rsid w:val="00935D28"/>
    <w:rsid w:val="009509D8"/>
    <w:rsid w:val="00950B64"/>
    <w:rsid w:val="00981893"/>
    <w:rsid w:val="00A1687D"/>
    <w:rsid w:val="00A43E52"/>
    <w:rsid w:val="00A4678D"/>
    <w:rsid w:val="00A778C7"/>
    <w:rsid w:val="00AB441E"/>
    <w:rsid w:val="00AB6293"/>
    <w:rsid w:val="00AE0928"/>
    <w:rsid w:val="00AE6D93"/>
    <w:rsid w:val="00AF3B82"/>
    <w:rsid w:val="00B00A7F"/>
    <w:rsid w:val="00B12E95"/>
    <w:rsid w:val="00B22876"/>
    <w:rsid w:val="00B558F0"/>
    <w:rsid w:val="00BD48FE"/>
    <w:rsid w:val="00BD7BD8"/>
    <w:rsid w:val="00BE6ADC"/>
    <w:rsid w:val="00C05BFE"/>
    <w:rsid w:val="00C23CD4"/>
    <w:rsid w:val="00C57CEE"/>
    <w:rsid w:val="00C61C0C"/>
    <w:rsid w:val="00C941CB"/>
    <w:rsid w:val="00CB66B3"/>
    <w:rsid w:val="00CC2357"/>
    <w:rsid w:val="00CF071A"/>
    <w:rsid w:val="00D058B8"/>
    <w:rsid w:val="00D40D46"/>
    <w:rsid w:val="00D56C11"/>
    <w:rsid w:val="00D834A0"/>
    <w:rsid w:val="00D843BD"/>
    <w:rsid w:val="00D872DF"/>
    <w:rsid w:val="00D91E21"/>
    <w:rsid w:val="00DA7FCD"/>
    <w:rsid w:val="00E365E1"/>
    <w:rsid w:val="00E820A4"/>
    <w:rsid w:val="00EB006A"/>
    <w:rsid w:val="00EB4772"/>
    <w:rsid w:val="00ED169E"/>
    <w:rsid w:val="00ED4235"/>
    <w:rsid w:val="00F01CBD"/>
    <w:rsid w:val="00F04346"/>
    <w:rsid w:val="00F075DC"/>
    <w:rsid w:val="00F149E9"/>
    <w:rsid w:val="00F5134D"/>
    <w:rsid w:val="00F715B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08A5A"/>
  <w15:chartTrackingRefBased/>
  <w15:docId w15:val="{6887FDCA-1E0B-4899-9C66-481D5412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E08BE"/>
    <w:pPr>
      <w:spacing w:after="240"/>
      <w:ind w:left="567" w:hanging="567"/>
    </w:pPr>
  </w:style>
  <w:style w:type="character" w:styleId="Hyperlink">
    <w:name w:val="Hyperlink"/>
    <w:basedOn w:val="DefaultParagraphFont"/>
    <w:uiPriority w:val="99"/>
    <w:rsid w:val="005E08BE"/>
    <w:rPr>
      <w:color w:val="0563C1" w:themeColor="hyperlink"/>
      <w:u w:val="single"/>
    </w:rPr>
  </w:style>
  <w:style w:type="paragraph" w:customStyle="1" w:styleId="Action">
    <w:name w:val="Action"/>
    <w:basedOn w:val="Normal"/>
    <w:rsid w:val="005E08BE"/>
    <w:pPr>
      <w:tabs>
        <w:tab w:val="left" w:pos="357"/>
      </w:tabs>
      <w:spacing w:after="240"/>
      <w:ind w:left="357" w:hanging="357"/>
    </w:pPr>
    <w:rPr>
      <w:lang w:eastAsia="en-US"/>
    </w:rPr>
  </w:style>
  <w:style w:type="paragraph" w:customStyle="1" w:styleId="action0">
    <w:name w:val="action"/>
    <w:basedOn w:val="Normal"/>
    <w:rsid w:val="005E08BE"/>
    <w:pPr>
      <w:widowControl/>
      <w:spacing w:after="240"/>
      <w:ind w:left="357" w:hanging="357"/>
    </w:pPr>
    <w:rPr>
      <w:rFonts w:eastAsiaTheme="minorHAnsi"/>
      <w:szCs w:val="24"/>
    </w:rPr>
  </w:style>
  <w:style w:type="paragraph" w:customStyle="1" w:styleId="Institutionquiagit">
    <w:name w:val="Institution qui agit"/>
    <w:basedOn w:val="Normal"/>
    <w:next w:val="Normal"/>
    <w:rsid w:val="005E08BE"/>
    <w:pPr>
      <w:keepNext/>
      <w:snapToGrid w:val="0"/>
      <w:spacing w:after="240"/>
    </w:pPr>
    <w:rPr>
      <w:i/>
      <w:lang w:eastAsia="en-US"/>
    </w:rPr>
  </w:style>
  <w:style w:type="paragraph" w:customStyle="1" w:styleId="FootnoteReference1">
    <w:name w:val="Footnote Reference1"/>
    <w:basedOn w:val="Normal"/>
    <w:link w:val="FootnoteReference"/>
    <w:rsid w:val="005E08BE"/>
    <w:pPr>
      <w:widowControl/>
      <w:spacing w:after="160" w:line="240" w:lineRule="exact"/>
    </w:pPr>
    <w:rPr>
      <w:sz w:val="20"/>
      <w:vertAlign w:val="superscript"/>
      <w:lang w:val="en-GB"/>
    </w:rPr>
  </w:style>
  <w:style w:type="paragraph" w:styleId="Revision">
    <w:name w:val="Revision"/>
    <w:hidden/>
    <w:uiPriority w:val="99"/>
    <w:semiHidden/>
    <w:rsid w:val="00C57CE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3631</Words>
  <Characters>24512</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2026-04-30T13:03:00Z</dcterms:created>
  <dcterms:modified xsi:type="dcterms:W3CDTF">2026-04-30T13:03:00Z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A10-0124/2026</vt:lpwstr>
  </property>
  <property fmtid="{D5CDD505-2E9C-101B-9397-08002B2CF9AE}" pid="4" name="&lt;Type&gt;">
    <vt:lpwstr>RR</vt:lpwstr>
  </property>
</Properties>
</file>