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18AF" w14:paraId="05077F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7F6DA6" w14:textId="77777777" w:rsidR="00751A4A" w:rsidRPr="007518AF" w:rsidRDefault="00CD174A" w:rsidP="0010095E">
            <w:pPr>
              <w:pStyle w:val="EPName"/>
            </w:pPr>
            <w:r w:rsidRPr="007518AF">
              <w:t>Parlament Ewropew</w:t>
            </w:r>
          </w:p>
          <w:p w14:paraId="5E9E2FB3" w14:textId="77777777" w:rsidR="00751A4A" w:rsidRPr="007518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8AF">
              <w:t>2024</w:t>
            </w:r>
            <w:r w:rsidR="00817416" w:rsidRPr="007518AF">
              <w:t>-202</w:t>
            </w:r>
            <w:r w:rsidRPr="007518AF">
              <w:t>9</w:t>
            </w:r>
          </w:p>
        </w:tc>
        <w:tc>
          <w:tcPr>
            <w:tcW w:w="2268" w:type="dxa"/>
            <w:shd w:val="clear" w:color="auto" w:fill="auto"/>
          </w:tcPr>
          <w:p w14:paraId="7598E148" w14:textId="77777777" w:rsidR="00751A4A" w:rsidRPr="007518AF" w:rsidRDefault="00187494" w:rsidP="0010095E">
            <w:pPr>
              <w:pStyle w:val="EPLogo"/>
            </w:pPr>
            <w:r w:rsidRPr="007518AF">
              <w:rPr>
                <w:noProof/>
                <w:lang w:eastAsia="ja-JP"/>
              </w:rPr>
              <w:drawing>
                <wp:inline distT="0" distB="0" distL="0" distR="0" wp14:anchorId="72B1BA3A" wp14:editId="274244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8936B" w14:textId="77777777" w:rsidR="00D058B8" w:rsidRPr="007518AF" w:rsidRDefault="00D058B8" w:rsidP="004C5D52">
      <w:pPr>
        <w:pStyle w:val="LineTop"/>
      </w:pPr>
    </w:p>
    <w:p w14:paraId="42FC255F" w14:textId="77777777" w:rsidR="00680577" w:rsidRPr="007518AF" w:rsidRDefault="00CD174A" w:rsidP="00680577">
      <w:pPr>
        <w:pStyle w:val="EPBodyTA1"/>
      </w:pPr>
      <w:r w:rsidRPr="007518AF">
        <w:t>TESTI ADOTTATI</w:t>
      </w:r>
    </w:p>
    <w:p w14:paraId="5E327B83" w14:textId="77777777" w:rsidR="00D058B8" w:rsidRPr="007518AF" w:rsidRDefault="00D058B8" w:rsidP="00D058B8">
      <w:pPr>
        <w:pStyle w:val="LineBottom"/>
      </w:pPr>
    </w:p>
    <w:p w14:paraId="51B92DCD" w14:textId="2089C57E" w:rsidR="00CD174A" w:rsidRPr="007518AF" w:rsidRDefault="00CD174A" w:rsidP="00CD174A">
      <w:pPr>
        <w:pStyle w:val="ATHeading1"/>
      </w:pPr>
      <w:bookmarkStart w:id="0" w:name="TANumber"/>
      <w:r w:rsidRPr="007518AF">
        <w:t>P10_TA(2026)0</w:t>
      </w:r>
      <w:r w:rsidR="004378FF">
        <w:t>155</w:t>
      </w:r>
      <w:bookmarkEnd w:id="0"/>
    </w:p>
    <w:p w14:paraId="481EE9D0" w14:textId="5F5D4320" w:rsidR="00CD174A" w:rsidRPr="007518AF" w:rsidRDefault="00CD174A" w:rsidP="00CD174A">
      <w:pPr>
        <w:pStyle w:val="ATHeading2"/>
      </w:pPr>
      <w:bookmarkStart w:id="1" w:name="title"/>
      <w:r w:rsidRPr="007518AF">
        <w:t>L-estimi tad-dħul u tan-nefqa għas-sena finanzjarja 2027 – Taqsima I – Il-Parlament Ewropew</w:t>
      </w:r>
      <w:bookmarkEnd w:id="1"/>
    </w:p>
    <w:p w14:paraId="64FCB052" w14:textId="77777777" w:rsidR="00CD174A" w:rsidRPr="007518AF" w:rsidRDefault="00CD174A" w:rsidP="00CD174A">
      <w:pPr>
        <w:rPr>
          <w:i/>
          <w:vanish/>
        </w:rPr>
      </w:pPr>
      <w:r w:rsidRPr="007518AF">
        <w:rPr>
          <w:i/>
        </w:rPr>
        <w:fldChar w:fldCharType="begin"/>
      </w:r>
      <w:r w:rsidRPr="007518AF">
        <w:rPr>
          <w:i/>
        </w:rPr>
        <w:instrText xml:space="preserve"> TC"(</w:instrText>
      </w:r>
      <w:bookmarkStart w:id="2" w:name="DocNumber"/>
      <w:r w:rsidRPr="007518AF">
        <w:rPr>
          <w:i/>
        </w:rPr>
        <w:instrText>A10-0124/2026</w:instrText>
      </w:r>
      <w:bookmarkEnd w:id="2"/>
      <w:r w:rsidRPr="007518AF">
        <w:rPr>
          <w:i/>
        </w:rPr>
        <w:instrText xml:space="preserve"> - </w:instrText>
      </w:r>
      <w:proofErr w:type="spellStart"/>
      <w:r w:rsidRPr="007518AF">
        <w:rPr>
          <w:i/>
        </w:rPr>
        <w:instrText>Rapporteur</w:instrText>
      </w:r>
      <w:proofErr w:type="spellEnd"/>
      <w:r w:rsidRPr="007518AF">
        <w:rPr>
          <w:i/>
        </w:rPr>
        <w:instrText xml:space="preserve">: </w:instrText>
      </w:r>
      <w:proofErr w:type="spellStart"/>
      <w:r w:rsidRPr="007518AF">
        <w:rPr>
          <w:i/>
        </w:rPr>
        <w:instrText>Michalis</w:instrText>
      </w:r>
      <w:proofErr w:type="spellEnd"/>
      <w:r w:rsidRPr="007518AF">
        <w:rPr>
          <w:i/>
        </w:rPr>
        <w:instrText xml:space="preserve"> </w:instrText>
      </w:r>
      <w:proofErr w:type="spellStart"/>
      <w:r w:rsidRPr="007518AF">
        <w:rPr>
          <w:i/>
        </w:rPr>
        <w:instrText>Hadjipantela</w:instrText>
      </w:r>
      <w:proofErr w:type="spellEnd"/>
      <w:r w:rsidRPr="007518AF">
        <w:rPr>
          <w:i/>
        </w:rPr>
        <w:instrText xml:space="preserve">)"\l3 \n&gt; \* MERGEFORMAT </w:instrText>
      </w:r>
      <w:r w:rsidRPr="007518AF">
        <w:rPr>
          <w:i/>
        </w:rPr>
        <w:fldChar w:fldCharType="end"/>
      </w:r>
    </w:p>
    <w:p w14:paraId="4D0518DF" w14:textId="77777777" w:rsidR="00CD174A" w:rsidRPr="007518AF" w:rsidRDefault="00CD174A" w:rsidP="00CD174A">
      <w:pPr>
        <w:rPr>
          <w:vanish/>
        </w:rPr>
      </w:pPr>
      <w:bookmarkStart w:id="3" w:name="Commission"/>
      <w:r w:rsidRPr="007518AF">
        <w:rPr>
          <w:vanish/>
        </w:rPr>
        <w:t>Kumitat għall-Baġits</w:t>
      </w:r>
      <w:bookmarkEnd w:id="3"/>
    </w:p>
    <w:p w14:paraId="5798101B" w14:textId="77777777" w:rsidR="00CD174A" w:rsidRPr="007518AF" w:rsidRDefault="00CD174A" w:rsidP="00CD174A">
      <w:pPr>
        <w:rPr>
          <w:vanish/>
        </w:rPr>
      </w:pPr>
      <w:bookmarkStart w:id="4" w:name="PE"/>
      <w:r w:rsidRPr="007518AF">
        <w:rPr>
          <w:vanish/>
        </w:rPr>
        <w:t>PE785.303</w:t>
      </w:r>
      <w:bookmarkEnd w:id="4"/>
    </w:p>
    <w:p w14:paraId="6F2D53F0" w14:textId="3EF1D11B" w:rsidR="00CD174A" w:rsidRPr="007518AF" w:rsidRDefault="00CD174A" w:rsidP="00DA2554">
      <w:pPr>
        <w:pStyle w:val="ATHeading3"/>
      </w:pPr>
      <w:bookmarkStart w:id="5" w:name="Sujet"/>
      <w:r w:rsidRPr="007518AF">
        <w:t xml:space="preserve">Riżoluzzjoni tal-Parlament Ewropew </w:t>
      </w:r>
      <w:r w:rsidR="00DA2554">
        <w:t>tat-30 ta’ April</w:t>
      </w:r>
      <w:r w:rsidRPr="007518AF">
        <w:t xml:space="preserve"> 2026 dwar l-estimi tad-dħul u tal-infiq tal-Parlament Ewropew għas-sena finanzjarja 2027</w:t>
      </w:r>
      <w:bookmarkEnd w:id="5"/>
      <w:r w:rsidRPr="007518AF">
        <w:t xml:space="preserve"> </w:t>
      </w:r>
      <w:bookmarkStart w:id="6" w:name="References"/>
      <w:r w:rsidRPr="007518AF">
        <w:t>(2025/2247(BUI))</w:t>
      </w:r>
      <w:bookmarkEnd w:id="6"/>
    </w:p>
    <w:p w14:paraId="265C3A4A" w14:textId="77777777" w:rsidR="00A76CFF" w:rsidRPr="007518AF" w:rsidRDefault="00A76CFF" w:rsidP="00A76CFF">
      <w:pPr>
        <w:pStyle w:val="Institutionquiagit"/>
        <w:spacing w:before="480"/>
        <w:rPr>
          <w:i w:val="0"/>
        </w:rPr>
      </w:pPr>
      <w:bookmarkStart w:id="7" w:name="TextBodyBegin"/>
      <w:bookmarkEnd w:id="7"/>
      <w:r w:rsidRPr="007518AF">
        <w:t>Il-Parlament Ewropew,</w:t>
      </w:r>
    </w:p>
    <w:p w14:paraId="3B34DFCE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–</w:t>
      </w:r>
      <w:r w:rsidRPr="007518AF">
        <w:tab/>
        <w:t>wara li kkunsidra l-Artikolu 314 tat-Trattat dwar il-Funzjonament tal-Unjoni Ewropea,</w:t>
      </w:r>
    </w:p>
    <w:p w14:paraId="767AC124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  <w:t>wara li kkunsidra r-Regolament (UE, Euratom) 2024/2509 tal-Parlament Ewropew u tal-Kunsill tat-23 ta’ Settembru 2024 dwar ir-regoli finanzjarji applikabbli għall-baġit ġenerali tal-Unjoni (</w:t>
      </w:r>
      <w:proofErr w:type="spellStart"/>
      <w:r w:rsidRPr="007518AF">
        <w:rPr>
          <w:color w:val="000000"/>
        </w:rPr>
        <w:t>riformulazzjoni</w:t>
      </w:r>
      <w:proofErr w:type="spellEnd"/>
      <w:r w:rsidRPr="007518AF">
        <w:rPr>
          <w:color w:val="000000"/>
        </w:rPr>
        <w:t>)</w:t>
      </w:r>
      <w:r w:rsidRPr="007518AF">
        <w:rPr>
          <w:color w:val="000000"/>
          <w:vertAlign w:val="superscript"/>
        </w:rPr>
        <w:footnoteReference w:id="1"/>
      </w:r>
      <w:r w:rsidRPr="007518AF">
        <w:rPr>
          <w:color w:val="000000"/>
        </w:rPr>
        <w:t xml:space="preserve"> (ir-Regolament Finanzjarju),</w:t>
      </w:r>
    </w:p>
    <w:p w14:paraId="5E508414" w14:textId="77777777" w:rsidR="00A76CFF" w:rsidRPr="007518AF" w:rsidRDefault="00A76CFF" w:rsidP="00A76CFF">
      <w:pPr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</w:r>
      <w:r w:rsidRPr="007518AF">
        <w:t xml:space="preserve">wara li kkunsidra r-Regolament tal-Kunsill (UE, Euratom) 2020/2093 tas-17 ta’ Diċembru 2020 li jistabbilixxi </w:t>
      </w:r>
      <w:sdt>
        <w:sdtPr>
          <w:tag w:val="goog_rdk_0"/>
          <w:id w:val="399490220"/>
        </w:sdtPr>
        <w:sdtEndPr/>
        <w:sdtContent/>
      </w:sdt>
      <w:sdt>
        <w:sdtPr>
          <w:tag w:val="goog_rdk_1"/>
          <w:id w:val="-2088213729"/>
        </w:sdtPr>
        <w:sdtEndPr/>
        <w:sdtContent/>
      </w:sdt>
      <w:r w:rsidRPr="007518AF">
        <w:t>l-qafas finanzjarju pluriennali għas-snin mill-2021 sal-2027</w:t>
      </w:r>
      <w:r w:rsidRPr="007518AF">
        <w:rPr>
          <w:color w:val="000000"/>
          <w:vertAlign w:val="superscript"/>
        </w:rPr>
        <w:footnoteReference w:id="2"/>
      </w:r>
      <w:r w:rsidRPr="007518AF">
        <w:t>, u d-dikjarazzjoni konġunta maqbula bejn il-Parlament, il-Kunsill u l-Kummissjoni f’dan il-kuntest</w:t>
      </w:r>
      <w:r w:rsidRPr="007518AF">
        <w:rPr>
          <w:color w:val="000000"/>
          <w:vertAlign w:val="superscript"/>
        </w:rPr>
        <w:footnoteReference w:id="3"/>
      </w:r>
      <w:r w:rsidRPr="007518AF">
        <w:t xml:space="preserve"> u d-dikjarazzjonijiet unilaterali relatati</w:t>
      </w:r>
      <w:r w:rsidRPr="007518AF">
        <w:rPr>
          <w:color w:val="000000"/>
          <w:vertAlign w:val="superscript"/>
        </w:rPr>
        <w:footnoteReference w:id="4"/>
      </w:r>
      <w:r w:rsidRPr="007518AF">
        <w:t>,</w:t>
      </w:r>
    </w:p>
    <w:p w14:paraId="51E7D2CC" w14:textId="77777777" w:rsidR="00A76CFF" w:rsidRPr="007518AF" w:rsidRDefault="00A76CFF" w:rsidP="00A76CFF">
      <w:pPr>
        <w:spacing w:after="240"/>
        <w:ind w:left="567" w:hanging="567"/>
        <w:rPr>
          <w:color w:val="000000" w:themeColor="text1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  <w:t>wara li kkunsidra r-Regolament tal-Kunsill (UE, Euratom) 2022/2496 tal-15 ta’ Diċembru 2022 li jemenda r-Regolament (UE, Euratom) 2020/2093 li jistabbilixxi l-qafas finanzjarju pluriennali għas-snin mill-2021 sal-2027</w:t>
      </w:r>
      <w:r w:rsidRPr="007518AF">
        <w:rPr>
          <w:color w:val="000000"/>
          <w:vertAlign w:val="superscript"/>
        </w:rPr>
        <w:footnoteReference w:id="5"/>
      </w:r>
      <w:r w:rsidRPr="007518AF">
        <w:rPr>
          <w:color w:val="000000"/>
        </w:rPr>
        <w:t>,</w:t>
      </w:r>
    </w:p>
    <w:p w14:paraId="458ECCA7" w14:textId="77777777" w:rsidR="00A76CFF" w:rsidRPr="007518AF" w:rsidRDefault="00A76CFF" w:rsidP="00A76CFF">
      <w:pPr>
        <w:spacing w:after="240"/>
        <w:ind w:left="567" w:hanging="567"/>
      </w:pPr>
      <w:r w:rsidRPr="007518AF">
        <w:t>–</w:t>
      </w:r>
      <w:r w:rsidRPr="007518AF">
        <w:tab/>
      </w:r>
      <w:r w:rsidRPr="007518AF">
        <w:rPr>
          <w:color w:val="000000"/>
        </w:rPr>
        <w:t>wara li kkunsidra r-Regolament tal-Kunsill (UE, Euratom) 2024/765 li jemenda r-Regolament (UE, Euratom) 2020/2093 li jistabbilixxi l-qafas finanzjarju pluriennali għas-snin mill-2021 sal-2027</w:t>
      </w:r>
      <w:r w:rsidRPr="007518AF">
        <w:rPr>
          <w:rStyle w:val="FootnoteReference"/>
          <w:color w:val="000000"/>
        </w:rPr>
        <w:footnoteReference w:id="6"/>
      </w:r>
      <w:r w:rsidRPr="007518AF">
        <w:rPr>
          <w:color w:val="000000"/>
        </w:rPr>
        <w:t xml:space="preserve"> (Reviżjoni tal-QFP),</w:t>
      </w:r>
    </w:p>
    <w:p w14:paraId="124DF5C4" w14:textId="77777777" w:rsidR="00A76CFF" w:rsidRPr="007518AF" w:rsidRDefault="00A76CFF" w:rsidP="00A76CFF">
      <w:pPr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</w:t>
      </w:r>
      <w:r w:rsidRPr="007518AF">
        <w:rPr>
          <w:color w:val="000000"/>
        </w:rPr>
        <w:lastRenderedPageBreak/>
        <w:t>tajba, kif ukoll dwar riżorsi proprji ġodda, inkluż pjan direzzjonali lejn l-introduzzjoni ta’ riżorsi proprja ġodda</w:t>
      </w:r>
      <w:r w:rsidRPr="007518AF">
        <w:rPr>
          <w:color w:val="000000"/>
          <w:vertAlign w:val="superscript"/>
        </w:rPr>
        <w:footnoteReference w:id="7"/>
      </w:r>
      <w:r w:rsidRPr="007518AF">
        <w:rPr>
          <w:color w:val="000000"/>
        </w:rPr>
        <w:t>,</w:t>
      </w:r>
    </w:p>
    <w:p w14:paraId="53DA2489" w14:textId="77777777" w:rsidR="00A76CFF" w:rsidRPr="007518AF" w:rsidRDefault="00A76CFF" w:rsidP="00A76CFF">
      <w:pPr>
        <w:spacing w:after="240"/>
        <w:ind w:left="567" w:hanging="567"/>
      </w:pPr>
      <w:r w:rsidRPr="007518AF">
        <w:t>–</w:t>
      </w:r>
      <w:r w:rsidRPr="007518AF">
        <w:tab/>
        <w:t>wara li kkunsidra r-riżoluzzjoni leġiżlattiva tiegħu tas-16 ta’ Diċembru 2020 dwar l-abbozz ta’ regolament tal-Kunsill li jistabbilixxi l-qafas finanzjarju pluriennali għas-snin 2021-2027</w:t>
      </w:r>
      <w:r w:rsidRPr="007518AF">
        <w:rPr>
          <w:vertAlign w:val="superscript"/>
        </w:rPr>
        <w:footnoteReference w:id="8"/>
      </w:r>
      <w:r w:rsidRPr="007518AF">
        <w:t>,</w:t>
      </w:r>
    </w:p>
    <w:p w14:paraId="72B88EC8" w14:textId="77777777" w:rsidR="00A76CFF" w:rsidRPr="007518AF" w:rsidRDefault="00A76CFF" w:rsidP="00A76CFF">
      <w:pPr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  <w:t>wara li kkunsidra r-riżoluzzjoni tiegħu tal-15 ta’ Diċembru 2022 dwar it-titjib tal-qafas finanzjarju pluriennali 2021-2027: baġit tal-UE reżiljenti u adegwat għal sfidi ġodda</w:t>
      </w:r>
      <w:r w:rsidRPr="007518AF">
        <w:rPr>
          <w:color w:val="000000"/>
          <w:vertAlign w:val="superscript"/>
        </w:rPr>
        <w:footnoteReference w:id="9"/>
      </w:r>
      <w:r w:rsidRPr="007518AF">
        <w:rPr>
          <w:color w:val="000000"/>
        </w:rPr>
        <w:t>;</w:t>
      </w:r>
    </w:p>
    <w:p w14:paraId="2D4A87E4" w14:textId="77777777" w:rsidR="00A76CFF" w:rsidRPr="007518AF" w:rsidRDefault="00A76CFF" w:rsidP="00A76CFF">
      <w:pPr>
        <w:spacing w:after="240"/>
        <w:ind w:left="567" w:hanging="567"/>
      </w:pPr>
      <w:r w:rsidRPr="007518AF">
        <w:t>–</w:t>
      </w:r>
      <w:r w:rsidRPr="007518AF">
        <w:tab/>
        <w:t>wara li kkunsidra r-riżoluzzjoni tiegħu tat-3 ta’ Ottubru 2023 dwar il-proposta għal reviżjoni ta’ nofs it-terminu tal-qafas finanzjarju pluriennali 2021-2027</w:t>
      </w:r>
      <w:r w:rsidRPr="007518AF">
        <w:rPr>
          <w:vertAlign w:val="superscript"/>
        </w:rPr>
        <w:footnoteReference w:id="10"/>
      </w:r>
      <w:r w:rsidRPr="007518AF">
        <w:t>,</w:t>
      </w:r>
    </w:p>
    <w:p w14:paraId="1F4C0BC6" w14:textId="77777777" w:rsidR="00A76CFF" w:rsidRPr="007518AF" w:rsidRDefault="00A76CFF" w:rsidP="00A76CFF">
      <w:pPr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  <w:t>wara li kkunsidra r-riżoluzzjoni tiegħu tas-27 ta’ Frar 2024 dwar l-abbozz ta’ regolament tal-Kunsill li jemenda r-Regolament (UE, Euratom) 2020/2093 li jistabbilixxi l-qafas finanzjarju pluriennali għas-snin mill-2021 sal-2027</w:t>
      </w:r>
      <w:r w:rsidRPr="007518AF">
        <w:rPr>
          <w:color w:val="000000"/>
          <w:vertAlign w:val="superscript"/>
        </w:rPr>
        <w:footnoteReference w:id="11"/>
      </w:r>
      <w:r w:rsidRPr="007518AF">
        <w:rPr>
          <w:color w:val="000000"/>
        </w:rPr>
        <w:t>,</w:t>
      </w:r>
    </w:p>
    <w:p w14:paraId="436C6B85" w14:textId="77777777" w:rsidR="00A76CFF" w:rsidRPr="007518AF" w:rsidRDefault="00A76CFF" w:rsidP="00A76CFF">
      <w:pPr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–</w:t>
      </w:r>
      <w:r w:rsidRPr="007518AF">
        <w:rPr>
          <w:color w:val="000000"/>
        </w:rPr>
        <w:tab/>
      </w:r>
      <w:r w:rsidRPr="007518AF">
        <w:t>wara li kkunsidra l-baġit ġenerali tal-Unjoni Ewropea għas-sena finanzjarja 2026, kif adottat definittivament fis-26 ta’ Novembru 2025</w:t>
      </w:r>
      <w:r w:rsidRPr="007518AF">
        <w:rPr>
          <w:color w:val="000000"/>
          <w:vertAlign w:val="superscript"/>
        </w:rPr>
        <w:footnoteReference w:id="12"/>
      </w:r>
      <w:r w:rsidRPr="007518AF">
        <w:t xml:space="preserve"> u d-dikjarazzjonijiet komuni maqbula bejn il-Parlament, il-Kunsill u l-Kummissjoni u li huma annessi għalih,</w:t>
      </w:r>
    </w:p>
    <w:p w14:paraId="316596D3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–</w:t>
      </w:r>
      <w:r w:rsidRPr="007518AF">
        <w:tab/>
        <w:t>wara li kkunsidra r-rapport tas-Segretarju Ġenerali lill-Bureau dwar it-tħejjija tal-abbozz preliminari tal-estimi tal-Parlament għas-sena finanzjarja 2027,</w:t>
      </w:r>
    </w:p>
    <w:p w14:paraId="2157D766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–</w:t>
      </w:r>
      <w:r w:rsidRPr="007518AF">
        <w:tab/>
        <w:t>wara li kkunsidra l-abbozz preliminari tal-estimi mħejji mill-Bureau fit-9 ta’ Marzu 2026 skont l-Artikolu 25(7) u l-Artikolu 104(1) tar-Regoli ta’ Proċedura tal-Parlament,</w:t>
      </w:r>
    </w:p>
    <w:p w14:paraId="41EF271E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–</w:t>
      </w:r>
      <w:r w:rsidRPr="007518AF">
        <w:tab/>
        <w:t>wara li kkunsidra l-abbozz tal-estimi mħejji mill-Kumitat għall-Baġits skont l-Artikolu 104(2) tar-Regoli ta’ Proċedura tal-Parlament,</w:t>
      </w:r>
    </w:p>
    <w:p w14:paraId="0EBC732F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–</w:t>
      </w:r>
      <w:r w:rsidRPr="007518AF">
        <w:tab/>
        <w:t>wara li kkunsidra l-Artikolu 104 tar-Regoli ta’ Proċedura tiegħu,</w:t>
      </w:r>
    </w:p>
    <w:p w14:paraId="6E9B77E9" w14:textId="77777777" w:rsidR="00A76CFF" w:rsidRPr="007518AF" w:rsidRDefault="00A76CFF" w:rsidP="00A76CFF">
      <w:pPr>
        <w:pStyle w:val="Action"/>
        <w:tabs>
          <w:tab w:val="clear" w:pos="357"/>
        </w:tabs>
        <w:ind w:left="567" w:hanging="567"/>
        <w:outlineLvl w:val="0"/>
      </w:pPr>
      <w:r w:rsidRPr="007518AF">
        <w:t>–</w:t>
      </w:r>
      <w:r w:rsidRPr="007518AF">
        <w:tab/>
        <w:t>wara li kkunsidra r-rapport tal-Kumitat għall-Baġits (A10-0124/2026),</w:t>
      </w:r>
    </w:p>
    <w:p w14:paraId="5D541B6E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A.</w:t>
      </w:r>
      <w:r w:rsidRPr="007518AF">
        <w:tab/>
        <w:t>billi l-baġit propost fid-9 ta’ Frar 2026 mis-Segretarju Ġenerali għall-abbozz preliminari tal-estimi tal-Parlament għall-2027 jammonta għal EUR 2 665 474 853 u jirrappreżenta żieda ta’ 2,33 % jew EUR 60 618 266 meta mqabbel mal-baġit tal-2026;</w:t>
      </w:r>
    </w:p>
    <w:p w14:paraId="7EAD397A" w14:textId="77777777" w:rsidR="00A76CFF" w:rsidRPr="007518AF" w:rsidRDefault="00A76CFF" w:rsidP="00A76CFF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7518AF">
        <w:t>B.</w:t>
      </w:r>
      <w:r w:rsidRPr="007518AF">
        <w:tab/>
        <w:t>billi ż-żieda ta’ 2,33 % kif proposta mis-Segretarju Ġenerali hija dovuta għal żieda ta’ 2,01 % għall-obbligi finanzjarji statutorji u 2,89 % għan-nefqa mhux statutorja;</w:t>
      </w:r>
    </w:p>
    <w:p w14:paraId="5682FA73" w14:textId="77777777" w:rsidR="00A76CFF" w:rsidRPr="007518AF" w:rsidRDefault="00A76CFF" w:rsidP="00A76CFF">
      <w:pPr>
        <w:pStyle w:val="Action"/>
        <w:tabs>
          <w:tab w:val="clear" w:pos="357"/>
        </w:tabs>
        <w:ind w:left="567" w:hanging="567"/>
        <w:outlineLvl w:val="0"/>
      </w:pPr>
      <w:r w:rsidRPr="007518AF">
        <w:t>C.</w:t>
      </w:r>
      <w:r w:rsidRPr="007518AF">
        <w:tab/>
        <w:t xml:space="preserve">billi l-inflazzjoni annwali tal-Unjoni kienet ta’ 2,3 % f’Diċembru 2025 skont l-Eurostat, żieda minn 2,7 % f’Diċembru 2024; billi l-livell ta’ nfiq </w:t>
      </w:r>
      <w:proofErr w:type="spellStart"/>
      <w:r w:rsidRPr="007518AF">
        <w:t>fl-Intestatura</w:t>
      </w:r>
      <w:proofErr w:type="spellEnd"/>
      <w:r w:rsidRPr="007518AF">
        <w:t xml:space="preserve"> 7 tal-Qafas Finanzjarju Pluriennali (QFP) 2021-2027 huwa bbażat fuq żieda annwali ta’ 2 %;</w:t>
      </w:r>
    </w:p>
    <w:p w14:paraId="79CEF4CD" w14:textId="77777777" w:rsidR="00A76CFF" w:rsidRPr="007518AF" w:rsidRDefault="00A76CFF" w:rsidP="00A76CFF">
      <w:pPr>
        <w:pStyle w:val="Action"/>
        <w:tabs>
          <w:tab w:val="clear" w:pos="357"/>
        </w:tabs>
        <w:ind w:left="567" w:hanging="567"/>
        <w:outlineLvl w:val="0"/>
      </w:pPr>
      <w:r w:rsidRPr="007518AF">
        <w:t>D.</w:t>
      </w:r>
      <w:r w:rsidRPr="007518AF">
        <w:tab/>
        <w:t xml:space="preserve">billi l-kredibbiltà tal-Parlament tiddependi mill-kapaċità tiegħu li jwettaq il-ħidma ewlenija baġitarja, leġiżlattiva u ta’ skrutinju tiegħu sal-ogħla standard, filwaqt li jservi </w:t>
      </w:r>
      <w:r w:rsidRPr="007518AF">
        <w:lastRenderedPageBreak/>
        <w:t>ta’ eżempju fil-konfront ta’ istituzzjonijiet oħra tal-Unjoni biex jippjanaw u jwettqu l-infiq tagħhom b’mod prudenti u effiċjenti u biex jirriflettu r-realtajiet ekonomiċi prevalenti;</w:t>
      </w:r>
    </w:p>
    <w:p w14:paraId="13925350" w14:textId="77777777" w:rsidR="00A76CFF" w:rsidRPr="007518AF" w:rsidRDefault="00A76CFF" w:rsidP="00A76CFF">
      <w:pPr>
        <w:pStyle w:val="NormalHanging12a"/>
        <w:rPr>
          <w:b/>
          <w:i/>
        </w:rPr>
      </w:pPr>
      <w:r w:rsidRPr="007518AF">
        <w:rPr>
          <w:b/>
          <w:i/>
        </w:rPr>
        <w:t>Qafas ġenerali</w:t>
      </w:r>
    </w:p>
    <w:p w14:paraId="6F92DAD5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1.</w:t>
      </w:r>
      <w:r w:rsidRPr="007518AF">
        <w:rPr>
          <w:color w:val="000000"/>
        </w:rPr>
        <w:tab/>
        <w:t>Jinsab imħasseb dwar is-sitwazzjoni tal-</w:t>
      </w:r>
      <w:proofErr w:type="spellStart"/>
      <w:r w:rsidRPr="007518AF">
        <w:rPr>
          <w:color w:val="000000"/>
        </w:rPr>
        <w:t>Intestatura</w:t>
      </w:r>
      <w:proofErr w:type="spellEnd"/>
      <w:r w:rsidRPr="007518AF">
        <w:rPr>
          <w:color w:val="000000"/>
        </w:rPr>
        <w:t xml:space="preserve"> 7 fil-QFP attwali; ifakkar li r-restrizzjonijiet huma r-riżultat tat-tnaqqis applikat mill-Kunsill għall-proposta inizjali diġà baxxa ħafna tal-Kummissjoni waqt il-qbil dwar il-QFP 2021-2027 kif ukoll tal-impatt akkumulat tal-inflazzjoni li  tul bosta snin kienet ogħla minn dik mistennija; jiddispjaċih li l-Kunsill oppona l-proposta tal-Kummissjoni li jiżdied il-limitu massimu tal-</w:t>
      </w:r>
      <w:proofErr w:type="spellStart"/>
      <w:r w:rsidRPr="007518AF">
        <w:rPr>
          <w:color w:val="000000"/>
        </w:rPr>
        <w:t>Intestatura</w:t>
      </w:r>
      <w:proofErr w:type="spellEnd"/>
      <w:r w:rsidRPr="007518AF">
        <w:rPr>
          <w:color w:val="000000"/>
        </w:rPr>
        <w:t xml:space="preserve"> 7 fir-reviżjoni tal-QFP mill-2024; jindika n-nuqqas li tiġi indirizzata l-kwistjoni tal-limitu massimu tal-</w:t>
      </w:r>
      <w:proofErr w:type="spellStart"/>
      <w:r w:rsidRPr="007518AF">
        <w:rPr>
          <w:color w:val="000000"/>
        </w:rPr>
        <w:t>Intestatura</w:t>
      </w:r>
      <w:proofErr w:type="spellEnd"/>
      <w:r w:rsidRPr="007518AF">
        <w:rPr>
          <w:color w:val="000000"/>
        </w:rPr>
        <w:t xml:space="preserve"> 7 fir-reviżjoni tal-QFP; jenfasizza li l-marġni negattiv previst għall-2027 </w:t>
      </w:r>
      <w:proofErr w:type="spellStart"/>
      <w:r w:rsidRPr="007518AF">
        <w:rPr>
          <w:color w:val="000000"/>
        </w:rPr>
        <w:t>jippresupponi</w:t>
      </w:r>
      <w:proofErr w:type="spellEnd"/>
      <w:r w:rsidRPr="007518AF">
        <w:rPr>
          <w:color w:val="000000"/>
        </w:rPr>
        <w:t xml:space="preserve"> l-użu ta’ strumenti speċjali </w:t>
      </w:r>
      <w:proofErr w:type="spellStart"/>
      <w:r w:rsidRPr="007518AF">
        <w:rPr>
          <w:color w:val="000000"/>
        </w:rPr>
        <w:t>fl-Intestatura</w:t>
      </w:r>
      <w:proofErr w:type="spellEnd"/>
      <w:r w:rsidRPr="007518AF">
        <w:rPr>
          <w:color w:val="000000"/>
        </w:rPr>
        <w:t xml:space="preserve"> 7 għal dak l-għan; jissottolinja li r-rikors għal strumenti speċjali għandu jibqa’ eċċezzjonali, debitament ġustifikat u limitat għal ċirkostanzi mhux previsti;</w:t>
      </w:r>
    </w:p>
    <w:p w14:paraId="6FE2151D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2.</w:t>
      </w:r>
      <w:r w:rsidRPr="007518AF">
        <w:rPr>
          <w:color w:val="000000"/>
        </w:rPr>
        <w:tab/>
        <w:t xml:space="preserve">Japprova l-ftehim li ntlaħaq fil-Konċiljazzjoni bejn il-Bureau u l-Kumitat għall-Baġits fil-15 ta’ April 2026 biex iż-żieda fuq il-baġit tal-2026 tiġi stabbilita għal 1,98 %, li tikkorrispondi għal livell kumplessiv ta’ estimi ta’ EUR  2 656 435 753 għall-2027, u biex jitnaqqsu skont dan l-approprjazzjonijiet proposti fil-linji baġitarji li ġejjin għal total ta’ EUR 10 554 000: </w:t>
      </w:r>
    </w:p>
    <w:p w14:paraId="4F50DD90" w14:textId="77777777" w:rsidR="00A76CFF" w:rsidRPr="007518AF" w:rsidRDefault="00A76CFF" w:rsidP="00A76CFF">
      <w:pPr>
        <w:widowControl/>
        <w:spacing w:after="240"/>
        <w:ind w:left="567"/>
        <w:rPr>
          <w:color w:val="000000"/>
        </w:rPr>
      </w:pPr>
      <w:r w:rsidRPr="007518AF">
        <w:rPr>
          <w:color w:val="000000"/>
        </w:rPr>
        <w:t xml:space="preserve">1 0 0 6 — </w:t>
      </w:r>
      <w:proofErr w:type="spellStart"/>
      <w:r w:rsidRPr="007518AF">
        <w:rPr>
          <w:color w:val="000000"/>
        </w:rPr>
        <w:t>Allowance</w:t>
      </w:r>
      <w:proofErr w:type="spellEnd"/>
      <w:r w:rsidRPr="007518AF">
        <w:rPr>
          <w:color w:val="000000"/>
        </w:rPr>
        <w:t xml:space="preserve"> għall-ispejjeż ġenerali, 1 4 0 5 01 — Nefqa għall-interpretazzjoni: interpretazzjoni esterna, 1 4 2 — Servizzi esterni tat-traduzzjoni, 1 6 1 2 07 — Tagħlim u żvilupp: Taħriġ estern għal DĠ ITEC 2 0 0 7 04 — Kostruzzjoni ta’ bini u xogħlijiet ta’ </w:t>
      </w:r>
      <w:proofErr w:type="spellStart"/>
      <w:r w:rsidRPr="007518AF">
        <w:rPr>
          <w:color w:val="000000"/>
        </w:rPr>
        <w:t>sistemazzjoni</w:t>
      </w:r>
      <w:proofErr w:type="spellEnd"/>
      <w:r w:rsidRPr="007518AF">
        <w:rPr>
          <w:color w:val="000000"/>
        </w:rPr>
        <w:t xml:space="preserve"> fil-</w:t>
      </w:r>
      <w:proofErr w:type="spellStart"/>
      <w:r w:rsidRPr="007518AF">
        <w:rPr>
          <w:color w:val="000000"/>
        </w:rPr>
        <w:t>binjiet</w:t>
      </w:r>
      <w:proofErr w:type="spellEnd"/>
      <w:r w:rsidRPr="007518AF">
        <w:rPr>
          <w:color w:val="000000"/>
        </w:rPr>
        <w:t xml:space="preserve">: Uffiċċji ta’ </w:t>
      </w:r>
      <w:proofErr w:type="spellStart"/>
      <w:r w:rsidRPr="007518AF">
        <w:rPr>
          <w:color w:val="000000"/>
        </w:rPr>
        <w:t>Kollegament</w:t>
      </w:r>
      <w:proofErr w:type="spellEnd"/>
      <w:r w:rsidRPr="007518AF">
        <w:rPr>
          <w:color w:val="000000"/>
        </w:rPr>
        <w:t>/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</w:t>
      </w:r>
      <w:proofErr w:type="spellEnd"/>
      <w:r w:rsidRPr="007518AF">
        <w:rPr>
          <w:color w:val="000000"/>
        </w:rPr>
        <w:t xml:space="preserve">, 2 1 0 0 02 — Governanza tal-IT u ċibersigurtà — sigurtà, riskji u konformità tal-ICT, 2 1 0 0 03 — Governanza tal-IT u ċibersigurtà — Teknoloġija tal-fruntieri, 2 1 0 1 02 — Ġestjoni tal-applikazzjonijiet kummerċjali — Twettiq ta’ Soluzzjonijiet tal-IT, 2 1 0 1 13 — Ġestjoni tal-applikazzjonijiet kummerċjali — DĠ FINS, 2 1 0 2 03 — Ġestjoni tal-infrastruttura u l-operazzjonijiet — Telekomunikazzjoni, 2 1 0 2 04 — Ġestjoni tal-infrastruttura u l-operazzjonijiet — Infrastruttura Korporattiva, 2 1 0 2 05 — Ġestjoni tal-infrastruttura u l-operazzjonijiet — Software — Infrastruttura, 2 1 0 2 07  — Ġestjoni tal-infrastruttura u l-operazzjonijiet — Ġestjoni tal-istampar, 2 1 0 3 01 — Servizzi u tagħmir diġitali fuq il-post tax-xogħol — Tagħmir tal-IT individwali, 2 1 2 0 01  — Għamara: xiri, kiri, tiġdid, manutenzjoni u tiswija ta’ għamara, 2 1 6 0 01 — Trasport ta’ Membri, persuni oħra u oġġetti: trasport tal-Membri (kiri u użu), 3 0 0 0 02  — Nefqiet għal missjonijiet tal-persunal u vjaġġar fuq xogħol bejn it-tliet postijiet ta’xogħol: missjonijiet lil hinn mit-tliet postijiet tax-xogħol, 3 0 0 0 03 — Nefqiet għal missjonijiet tal-persunal u vjaġġar fuq xogħol bejn it-tliet postijiet ta’ xogħol: tagħlim u żvilupp, 3 2 1 0 01 — Nefqa għas-Servizzi ta’ Riċerka Parlamentari, inklużi l-bibljoteka, l-arkivji storiċi, il-valutazzjoni tal-għażliet xjentifiċi u teknoloġiċi (STOA) u ċ-Ċentru Ewropew tal-Media Xjentifika: valutazzjoni tal-impatt u valur miżjud Ewropew, 3 2 2 0 09 — Nefqa għad-dokumentazzjoni: </w:t>
      </w:r>
      <w:proofErr w:type="spellStart"/>
      <w:r w:rsidRPr="007518AF">
        <w:rPr>
          <w:color w:val="000000"/>
        </w:rPr>
        <w:t>abbonamenti</w:t>
      </w:r>
      <w:proofErr w:type="spellEnd"/>
      <w:r w:rsidRPr="007518AF">
        <w:rPr>
          <w:color w:val="000000"/>
        </w:rPr>
        <w:t xml:space="preserve"> u </w:t>
      </w:r>
      <w:proofErr w:type="spellStart"/>
      <w:r w:rsidRPr="007518AF">
        <w:rPr>
          <w:color w:val="000000"/>
        </w:rPr>
        <w:t>monitoraġġ</w:t>
      </w:r>
      <w:proofErr w:type="spellEnd"/>
      <w:r w:rsidRPr="007518AF">
        <w:rPr>
          <w:color w:val="000000"/>
        </w:rPr>
        <w:t xml:space="preserve"> tal-media, 3 2 4 2 01 — Nefqiet għall-pubblikazzjoni, it-tagħrif u l-parteċipazzjoni f’manifestazzjonijiet pubbliċi kampanji ta’ informazzjoni, 3 2 4 3 01 — Ċentri għall-Viżitaturi tal-Parlament Ewropew </w:t>
      </w:r>
      <w:proofErr w:type="spellStart"/>
      <w:r w:rsidRPr="007518AF">
        <w:rPr>
          <w:color w:val="000000"/>
        </w:rPr>
        <w:t>Parlamentarium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and</w:t>
      </w:r>
      <w:proofErr w:type="spellEnd"/>
      <w:r w:rsidRPr="007518AF">
        <w:rPr>
          <w:color w:val="000000"/>
        </w:rPr>
        <w:t xml:space="preserve"> “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</w:t>
      </w:r>
      <w:proofErr w:type="spellEnd"/>
      <w:r w:rsidRPr="007518AF">
        <w:rPr>
          <w:color w:val="000000"/>
        </w:rPr>
        <w:t xml:space="preserve">”, 3 2 4 3 02 — Ċentri għall-Viżitaturi tal-Parlament Ewropew: Dar l-Istorja Ewropea, 101 — Riżerva ta’ Kontinġenza. </w:t>
      </w:r>
    </w:p>
    <w:p w14:paraId="6C50CA08" w14:textId="77777777" w:rsidR="00A76CFF" w:rsidRPr="007518AF" w:rsidRDefault="00A76CFF" w:rsidP="00A76CFF">
      <w:pPr>
        <w:widowControl/>
        <w:spacing w:after="240"/>
        <w:ind w:left="567"/>
        <w:rPr>
          <w:color w:val="000000"/>
        </w:rPr>
      </w:pPr>
      <w:r w:rsidRPr="007518AF">
        <w:rPr>
          <w:color w:val="000000"/>
        </w:rPr>
        <w:lastRenderedPageBreak/>
        <w:t>Barra minn hekk, ġie deċiż li jiżdied il-livell tal-infiq tal-abbozz preliminari tal-estimi approvat mill-Bureau fid-9 ta’ Marzu 2026 b’EUR 1 514 900 u li jiżdied skont l-approprjazzjonijiet proposti fil-linji baġitarji li ġejjin:</w:t>
      </w:r>
    </w:p>
    <w:p w14:paraId="7263843F" w14:textId="77777777" w:rsidR="00A76CFF" w:rsidRPr="007518AF" w:rsidRDefault="00A76CFF" w:rsidP="00A76CFF">
      <w:pPr>
        <w:widowControl/>
        <w:spacing w:after="240"/>
        <w:ind w:left="567"/>
        <w:rPr>
          <w:color w:val="000000"/>
        </w:rPr>
      </w:pPr>
      <w:r w:rsidRPr="007518AF">
        <w:rPr>
          <w:color w:val="000000"/>
        </w:rPr>
        <w:t xml:space="preserve">4 0 3 — Fondazzjonijiet politiċi Ewropej u  4 4 0 — Il-kost għal-laqgħat u għal attivitajiet oħra tal-eks Membri. </w:t>
      </w:r>
    </w:p>
    <w:p w14:paraId="6ED56217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3.</w:t>
      </w:r>
      <w:r w:rsidRPr="007518AF">
        <w:rPr>
          <w:color w:val="000000"/>
        </w:rPr>
        <w:tab/>
        <w:t>Ifakkar li kważi żewġ terzi tal-baġit huma ffissati minn obbligi statutorji; ifakkar li l-indiċjar tas-salarji, f’konformità mar-Regolamenti tal-Persunal u l-Istatut għall-Membri tal-Parlament Ewropew, bħalissa huwa mbassar mill-Kummissjoni għal Lulju 2026 għal 2,2 % u Lulju 2027 għal 2,3 %;</w:t>
      </w:r>
    </w:p>
    <w:p w14:paraId="0B20FA47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4.</w:t>
      </w:r>
      <w:r w:rsidRPr="007518AF">
        <w:rPr>
          <w:color w:val="000000"/>
        </w:rPr>
        <w:tab/>
        <w:t xml:space="preserve">Jinnota li miż-żieda ta’ EUR 51,6 miljun meta mqabbla mal-baġit tal-2026 żieda ta’ EUR 32,6 miljun hija dovuta għal obbligi finanzjarji statutorji, prinċipalment għall-aġġornament tal-uffiċjali u l-persunal temporanju (EUR 16,2 miljun) u l-aġenti kuntrattwali (EUR 1,7 miljun); jinnota b’sodisfazzjon li hija prevista għajnuna diretta eċċezzjonali mill-2027 ’il quddiem għal kull </w:t>
      </w:r>
      <w:proofErr w:type="spellStart"/>
      <w:r w:rsidRPr="007518AF">
        <w:rPr>
          <w:color w:val="000000"/>
        </w:rPr>
        <w:t>trainee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bbażat</w:t>
      </w:r>
      <w:proofErr w:type="spellEnd"/>
      <w:r w:rsidRPr="007518AF">
        <w:rPr>
          <w:color w:val="000000"/>
        </w:rPr>
        <w:t xml:space="preserve"> fil-Lussemburgu (sa EUR 500 fix-xahar ta’ </w:t>
      </w:r>
      <w:proofErr w:type="spellStart"/>
      <w:r w:rsidRPr="007518AF">
        <w:rPr>
          <w:color w:val="000000"/>
        </w:rPr>
        <w:t>traineeship</w:t>
      </w:r>
      <w:proofErr w:type="spellEnd"/>
      <w:r w:rsidRPr="007518AF">
        <w:rPr>
          <w:color w:val="000000"/>
        </w:rPr>
        <w:t>) biex tgħinhom ilaħħqu mal-ispejjeż tal-akkomodazzjoni li jiżdiedu; jitlob li tiġi żgurata l-</w:t>
      </w:r>
      <w:proofErr w:type="spellStart"/>
      <w:r w:rsidRPr="007518AF">
        <w:rPr>
          <w:color w:val="000000"/>
        </w:rPr>
        <w:t>aċċessibbiltà</w:t>
      </w:r>
      <w:proofErr w:type="spellEnd"/>
      <w:r w:rsidRPr="007518AF">
        <w:rPr>
          <w:color w:val="000000"/>
        </w:rPr>
        <w:t xml:space="preserve"> għat-</w:t>
      </w:r>
      <w:proofErr w:type="spellStart"/>
      <w:r w:rsidRPr="007518AF">
        <w:rPr>
          <w:color w:val="000000"/>
        </w:rPr>
        <w:t>traineeships</w:t>
      </w:r>
      <w:proofErr w:type="spellEnd"/>
      <w:r w:rsidRPr="007518AF">
        <w:rPr>
          <w:color w:val="000000"/>
        </w:rPr>
        <w:t xml:space="preserve"> għaż-żgħażagħ fil-kuntest taż-żieda fl-għoli tal-ħajja irrispettivament mill-post tax-xogħol; jilqa’ d-deċiżjoni tal-Bureau li jirrinunzja l-</w:t>
      </w:r>
      <w:proofErr w:type="spellStart"/>
      <w:r w:rsidRPr="007518AF">
        <w:rPr>
          <w:color w:val="000000"/>
        </w:rPr>
        <w:t>indiċjar</w:t>
      </w:r>
      <w:proofErr w:type="spellEnd"/>
      <w:r w:rsidRPr="007518AF">
        <w:rPr>
          <w:color w:val="000000"/>
        </w:rPr>
        <w:t xml:space="preserve"> tal-</w:t>
      </w:r>
      <w:proofErr w:type="spellStart"/>
      <w:r w:rsidRPr="007518AF">
        <w:rPr>
          <w:color w:val="000000"/>
        </w:rPr>
        <w:t>Allowance</w:t>
      </w:r>
      <w:proofErr w:type="spellEnd"/>
      <w:r w:rsidRPr="007518AF">
        <w:rPr>
          <w:color w:val="000000"/>
        </w:rPr>
        <w:t xml:space="preserve"> għall-Ispejjeż Ġenerali għall-2026;</w:t>
      </w:r>
    </w:p>
    <w:p w14:paraId="0B2E3B41" w14:textId="77777777" w:rsidR="00A76CFF" w:rsidRPr="007518AF" w:rsidRDefault="00A76CFF" w:rsidP="00A76CFF">
      <w:pPr>
        <w:widowControl/>
        <w:spacing w:after="240"/>
        <w:ind w:left="567" w:hanging="567"/>
        <w:rPr>
          <w:b/>
          <w:i/>
          <w:color w:val="000000"/>
        </w:rPr>
      </w:pPr>
      <w:r w:rsidRPr="007518AF">
        <w:rPr>
          <w:color w:val="000000"/>
        </w:rPr>
        <w:t>5.</w:t>
      </w:r>
      <w:r w:rsidRPr="007518AF">
        <w:rPr>
          <w:b/>
          <w:i/>
          <w:color w:val="000000"/>
        </w:rPr>
        <w:tab/>
      </w:r>
      <w:r w:rsidRPr="007518AF">
        <w:rPr>
          <w:color w:val="000000"/>
        </w:rPr>
        <w:t xml:space="preserve">Jieħu nota li l-ammont previst </w:t>
      </w:r>
      <w:proofErr w:type="spellStart"/>
      <w:r w:rsidRPr="007518AF">
        <w:rPr>
          <w:color w:val="000000"/>
        </w:rPr>
        <w:t>għall-Allowance</w:t>
      </w:r>
      <w:proofErr w:type="spellEnd"/>
      <w:r w:rsidRPr="007518AF">
        <w:rPr>
          <w:color w:val="000000"/>
        </w:rPr>
        <w:t xml:space="preserve"> għall-Assistenza Parlamentari huwa stmat abbażi ta’ xejriet storiċi; jisħaq li l-Membri taħt l-ebda ċirkostanza ma jistgħu jiġu mċaħħda mid-dritt tagħhom li jagħmlu użu sħiħ minn din l-</w:t>
      </w:r>
      <w:proofErr w:type="spellStart"/>
      <w:r w:rsidRPr="007518AF">
        <w:rPr>
          <w:color w:val="000000"/>
        </w:rPr>
        <w:t>allowance</w:t>
      </w:r>
      <w:proofErr w:type="spellEnd"/>
      <w:r w:rsidRPr="007518AF">
        <w:rPr>
          <w:color w:val="000000"/>
        </w:rPr>
        <w:t>, f’</w:t>
      </w:r>
      <w:proofErr w:type="spellStart"/>
      <w:r w:rsidRPr="007518AF">
        <w:rPr>
          <w:color w:val="000000"/>
        </w:rPr>
        <w:t>konformità</w:t>
      </w:r>
      <w:proofErr w:type="spellEnd"/>
      <w:r w:rsidRPr="007518AF">
        <w:rPr>
          <w:color w:val="000000"/>
        </w:rPr>
        <w:t xml:space="preserve"> mar-regoli rilevanti, minħabba n-nuqqas ta’ disponibbiltà f’din il-linja baġitarja; jitlob lis-Segretarju Ġenerali jissorvelja mill-qrib is-sitwazzjoni, jinforma lill-Kumitat għall-Baġits dwar l-implimentazzjoni tal-linja baġitarja u jieħu azzjoni rilevanti meta jkun hemm riskju ta’ riżorsi finanzjarji insuffiċjenti;</w:t>
      </w:r>
    </w:p>
    <w:p w14:paraId="07A3EEB4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6.</w:t>
      </w:r>
      <w:r w:rsidRPr="007518AF">
        <w:rPr>
          <w:color w:val="000000"/>
        </w:rPr>
        <w:tab/>
        <w:t xml:space="preserve">Jinnota li l-Parlament ma jitlob l-ebda kariga addizzjonali għall-2027, għar-raba’ sena konsekuttiva; </w:t>
      </w:r>
    </w:p>
    <w:p w14:paraId="37092ACF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7.</w:t>
      </w:r>
      <w:r w:rsidRPr="007518AF">
        <w:rPr>
          <w:color w:val="000000"/>
        </w:rPr>
        <w:tab/>
        <w:t xml:space="preserve">Jinnota li ż-żieda għan-nefqa mhux statutorja bejn l-2026 u l-2027 hija ta’ 2 %; </w:t>
      </w:r>
    </w:p>
    <w:p w14:paraId="75BC229C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8.</w:t>
      </w:r>
      <w:r w:rsidRPr="007518AF">
        <w:rPr>
          <w:color w:val="000000"/>
        </w:rPr>
        <w:tab/>
        <w:t xml:space="preserve">Jilqa’ l-ħidma li għaddejja tas-Segretarju Ġenerali f’konformità mar-riformi proposti mill-President </w:t>
      </w:r>
      <w:proofErr w:type="spellStart"/>
      <w:r w:rsidRPr="007518AF">
        <w:rPr>
          <w:color w:val="000000"/>
        </w:rPr>
        <w:t>Metsola</w:t>
      </w:r>
      <w:proofErr w:type="spellEnd"/>
      <w:r w:rsidRPr="007518AF">
        <w:rPr>
          <w:color w:val="000000"/>
        </w:rPr>
        <w:t xml:space="preserve"> fis-16 ta’ Ġunju 2025 dwar il-kooperazzjoni amministrattiva, l-ippjanar u s-simplifikazzjoni mmirati lejn it-titjib tal-effiċjenza, l-użu effiċjenti tar-riżorsi u l-kisba ta’ </w:t>
      </w:r>
      <w:proofErr w:type="spellStart"/>
      <w:r w:rsidRPr="007518AF">
        <w:rPr>
          <w:color w:val="000000"/>
        </w:rPr>
        <w:t>ffrankar</w:t>
      </w:r>
      <w:proofErr w:type="spellEnd"/>
      <w:r w:rsidRPr="007518AF">
        <w:rPr>
          <w:color w:val="000000"/>
        </w:rPr>
        <w:t xml:space="preserve"> fejn possibbli; jappella għal mekkaniżmi ta’ rapportar imsaħħa biex jittejbu t-trasparenza u l-obbligu ta’ rendikont; jitlob lis-Segretarju Ġenerali jagħti lill-Kumitat għall-Baġits aġġornamenti regolari dwar l-implimentazzjoni tal-Pjan ta’ Azzjoni dwar is-Simplifikazzjoni amministrattiva kif ukoll dwar l-impatt tiegħu f’termini ta’ baġit u persunal;</w:t>
      </w:r>
    </w:p>
    <w:p w14:paraId="4D88AB97" w14:textId="77777777" w:rsidR="00A76CFF" w:rsidRPr="007518AF" w:rsidRDefault="00A76CFF" w:rsidP="00A76CFF">
      <w:pPr>
        <w:pStyle w:val="action0"/>
        <w:ind w:left="0" w:firstLine="0"/>
        <w:rPr>
          <w:b/>
          <w:i/>
        </w:rPr>
      </w:pPr>
      <w:r w:rsidRPr="007518AF">
        <w:rPr>
          <w:b/>
          <w:i/>
        </w:rPr>
        <w:t>Tisħiħ tal-funzjonijiet ewlenin tal-Parlament</w:t>
      </w:r>
    </w:p>
    <w:p w14:paraId="0F2B8F82" w14:textId="77777777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t>9.</w:t>
      </w:r>
      <w:r w:rsidRPr="007518AF">
        <w:tab/>
        <w:t xml:space="preserve">Jieħu nota tal-erba’ Direttorati Ġenerali (DĠ) tematiċi ġodda, operattivi minn Jannar 2025 li huma responsabbli għall-attivitajiet leġiżlattivi, baġitarji u ta’ skrutinju, sabiex jittejjeb il-funzjonament tal-Parlament bħala </w:t>
      </w:r>
      <w:proofErr w:type="spellStart"/>
      <w:r w:rsidRPr="007518AF">
        <w:t>koleġiżlatur</w:t>
      </w:r>
      <w:proofErr w:type="spellEnd"/>
      <w:r w:rsidRPr="007518AF">
        <w:t>, bħala fergħa waħda tal-awtorità baġitarja, u bħala awtorità ta’ kwittanza;</w:t>
      </w:r>
    </w:p>
    <w:p w14:paraId="152D24ED" w14:textId="77777777" w:rsidR="00A76CFF" w:rsidRDefault="00A76CFF" w:rsidP="00A76CFF">
      <w:pPr>
        <w:widowControl/>
        <w:spacing w:after="240"/>
        <w:ind w:left="567" w:hanging="567"/>
        <w:rPr>
          <w:b/>
          <w:i/>
        </w:rPr>
      </w:pPr>
      <w:r w:rsidRPr="007518AF">
        <w:lastRenderedPageBreak/>
        <w:t>10.</w:t>
      </w:r>
      <w:r w:rsidRPr="007518AF">
        <w:tab/>
        <w:t xml:space="preserve">Jieħu nota tar-riallokazzjoni tar-riżorsi interni fir-rigward tal-għadd ta’ postijiet allokati (+15 % mill-2024 sal-2026), il-pakkett </w:t>
      </w:r>
      <w:proofErr w:type="spellStart"/>
      <w:r w:rsidRPr="007518AF">
        <w:t>baġitarju</w:t>
      </w:r>
      <w:proofErr w:type="spellEnd"/>
      <w:r w:rsidRPr="007518AF">
        <w:t xml:space="preserve"> għall-persunal estern (partita 1400, minn EUR 3,2 miljun fl-2024 għal EUR 8 miljun fl-2027) u l-baġit għall-għarfien espert estern (partita 3200, minn EUR 3,2 miljun fl-2024 għal EUR 7,7 miljun fl-2027) biex jissaħħaħ l-għarfien espert ipprovdut lill-Membri; jisħaq fuq il-ħtieġa li jiġi żgurat li dawn iż-żidiet jibqgħu ġustifikati, proporzjonati u jwasslu valur miżjud ċar; jitlob lis-Segretarju Ġenerali jipprovdi lill-Kumitat għall-Baġits b’aġġornamenti regolari l-evoluzzjoni tal-persunal f’dawn l-erba’ DĠ ġodda; jissottolinja l-ħtieġa li jiġi żgurat l-objettiv importanti li tissaħħaħ il-kapaċità tal-Parlament li jappoġġja l-ħidma tal-Membri; Jisħaq fuq ir-rwol kruċjali tal-gruppi politiċi </w:t>
      </w:r>
      <w:bookmarkStart w:id="8" w:name="_Hlk227243597"/>
      <w:r w:rsidRPr="007518AF">
        <w:t>biex jagħtu għarfien espert u appoġġ politiku</w:t>
      </w:r>
      <w:bookmarkEnd w:id="8"/>
      <w:r w:rsidRPr="007518AF">
        <w:t xml:space="preserve"> lill-Membri fil-ħidma leġiżlattiva u parlamentari tagħhom;</w:t>
      </w:r>
      <w:r w:rsidRPr="007518AF">
        <w:rPr>
          <w:b/>
          <w:i/>
        </w:rPr>
        <w:t xml:space="preserve"> </w:t>
      </w:r>
    </w:p>
    <w:p w14:paraId="065A5066" w14:textId="57BAA3A7" w:rsidR="00945FE4" w:rsidRPr="00945FE4" w:rsidRDefault="00945FE4" w:rsidP="00A76CFF">
      <w:pPr>
        <w:widowControl/>
        <w:spacing w:after="240"/>
        <w:ind w:left="567" w:hanging="567"/>
        <w:rPr>
          <w:iCs/>
        </w:rPr>
      </w:pPr>
      <w:r w:rsidRPr="00945FE4">
        <w:rPr>
          <w:iCs/>
        </w:rPr>
        <w:t>1</w:t>
      </w:r>
      <w:r w:rsidR="00DA1715">
        <w:rPr>
          <w:iCs/>
        </w:rPr>
        <w:t>1</w:t>
      </w:r>
      <w:r w:rsidRPr="00945FE4">
        <w:rPr>
          <w:iCs/>
        </w:rPr>
        <w:t>.</w:t>
      </w:r>
      <w:r w:rsidRPr="00945FE4">
        <w:rPr>
          <w:iCs/>
        </w:rPr>
        <w:tab/>
        <w:t xml:space="preserve">Ifakkar li d-dmir li jiġu protetti l-interessi finanzjarji tal-Unjoni japplika bl-istess mod għall-benefiċjarji kollha tal-fondi tal-Unjoni, inklużi l-gruppi politiċi li joperaw fi ħdan il-Parlament; jinnota li l-investigazzjonijiet u l-azzjonijiet ta’ rkupru li jikkonċernaw l-użu ħażin suspettat tal-fondi tal-Unjoni mill-grupp preċedenti Identità u Demokrazija, </w:t>
      </w:r>
      <w:proofErr w:type="spellStart"/>
      <w:r w:rsidRPr="00945FE4">
        <w:rPr>
          <w:iCs/>
        </w:rPr>
        <w:t>ikkonfigurat</w:t>
      </w:r>
      <w:proofErr w:type="spellEnd"/>
      <w:r w:rsidRPr="00945FE4">
        <w:rPr>
          <w:iCs/>
        </w:rPr>
        <w:t xml:space="preserve"> mill-ġdid illum bħala l-Grupp Patrijotti għall-Ewropa, jenfasizzaw l-importanza ta’ kontrolli interni robusti, ta’ verifika </w:t>
      </w:r>
      <w:r w:rsidRPr="00AB28CF">
        <w:rPr>
          <w:i/>
        </w:rPr>
        <w:t>ex post</w:t>
      </w:r>
      <w:r w:rsidRPr="00945FE4">
        <w:rPr>
          <w:iCs/>
        </w:rPr>
        <w:t xml:space="preserve"> effettiva u ta’ mekkaniżmi ta’ rkupru rapidi fi ħdan l-amministrazzjoni tal-Parlament; jistieden lill-amministrazzjoni tal-Parlament tlesti l-proċedimenti ta’ rkupru pendenti kollha mingħajr dewmien u tirreferi kwalunkwe evidenza ta’ nefqa irregolari lill-OLAF u lill-UPPE; jisħaq li l-kredibbiltà tal-arkitettura tal-Unjoni kontra l-frodi tiddependi mill-applikazzjoni konsistenti tagħha għall-benefiċjarji kollha, inklużi dawk fil-Parlament innifsu;</w:t>
      </w:r>
    </w:p>
    <w:p w14:paraId="7FEE627F" w14:textId="77777777" w:rsidR="00A76CFF" w:rsidRPr="007518AF" w:rsidRDefault="00A76CFF" w:rsidP="00A76CFF">
      <w:pPr>
        <w:spacing w:after="240"/>
        <w:rPr>
          <w:b/>
          <w:i/>
          <w:color w:val="000000"/>
        </w:rPr>
      </w:pPr>
      <w:proofErr w:type="spellStart"/>
      <w:r w:rsidRPr="007518AF">
        <w:rPr>
          <w:b/>
          <w:i/>
          <w:color w:val="000000"/>
        </w:rPr>
        <w:t>It-tranżizzjoni</w:t>
      </w:r>
      <w:proofErr w:type="spellEnd"/>
      <w:r w:rsidRPr="007518AF">
        <w:rPr>
          <w:b/>
          <w:i/>
          <w:color w:val="000000"/>
        </w:rPr>
        <w:t xml:space="preserve"> diġitali </w:t>
      </w:r>
    </w:p>
    <w:p w14:paraId="7745B07F" w14:textId="2942D66D" w:rsidR="00A76CFF" w:rsidRPr="007518AF" w:rsidRDefault="00A76CFF" w:rsidP="00A76CFF">
      <w:pPr>
        <w:pStyle w:val="action0"/>
        <w:ind w:left="567" w:hanging="567"/>
      </w:pPr>
      <w:r w:rsidRPr="007518AF">
        <w:t>1</w:t>
      </w:r>
      <w:r w:rsidR="00DA1715">
        <w:t>2</w:t>
      </w:r>
      <w:r w:rsidRPr="007518AF">
        <w:t>.</w:t>
      </w:r>
      <w:r w:rsidRPr="007518AF">
        <w:tab/>
      </w:r>
      <w:r w:rsidRPr="007518AF">
        <w:rPr>
          <w:color w:val="000000"/>
        </w:rPr>
        <w:t xml:space="preserve">Jinnota li l-baġit globali tal-IT jirrappreżenta 7,6 % tal-baġit totali fl-estimi tal-2027 u jammonta għal EUR 202,4 miljun; jisħaq fuq l-importanza ta’ infrastruttura taċ-ċibersigurtà soda fi żminijiet </w:t>
      </w:r>
      <w:proofErr w:type="spellStart"/>
      <w:r w:rsidRPr="007518AF">
        <w:rPr>
          <w:color w:val="000000"/>
        </w:rPr>
        <w:t>ġeopolitikament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turbolenti</w:t>
      </w:r>
      <w:proofErr w:type="spellEnd"/>
      <w:r w:rsidRPr="007518AF">
        <w:rPr>
          <w:color w:val="000000"/>
        </w:rPr>
        <w:t>; ifakkar fiż-żieda gradwali ppjanata tal-</w:t>
      </w:r>
      <w:proofErr w:type="spellStart"/>
      <w:r w:rsidRPr="007518AF">
        <w:rPr>
          <w:color w:val="000000"/>
        </w:rPr>
        <w:t>approprjazzjonijiet</w:t>
      </w:r>
      <w:proofErr w:type="spellEnd"/>
      <w:r w:rsidRPr="007518AF">
        <w:rPr>
          <w:color w:val="000000"/>
        </w:rPr>
        <w:t xml:space="preserve"> finanzjarji </w:t>
      </w:r>
      <w:proofErr w:type="spellStart"/>
      <w:r w:rsidRPr="007518AF">
        <w:rPr>
          <w:color w:val="000000"/>
        </w:rPr>
        <w:t>għaċ-ċibersigurtà</w:t>
      </w:r>
      <w:proofErr w:type="spellEnd"/>
      <w:r w:rsidRPr="007518AF">
        <w:rPr>
          <w:color w:val="000000"/>
        </w:rPr>
        <w:t xml:space="preserve"> sa 10 % tal-baġit tal-ICT tal-Parlament;</w:t>
      </w:r>
      <w:r w:rsidRPr="007518AF">
        <w:t xml:space="preserve"> jinnota li tali żieda ppjanata għandha tiġi implimentata malajr kemm jista’ jkun;</w:t>
      </w:r>
    </w:p>
    <w:p w14:paraId="4790FCD6" w14:textId="0428D6C6" w:rsidR="00A76CFF" w:rsidRPr="007518AF" w:rsidRDefault="00A76CFF" w:rsidP="00A76CFF">
      <w:pPr>
        <w:pStyle w:val="action0"/>
        <w:ind w:left="567" w:hanging="567"/>
      </w:pPr>
      <w:r w:rsidRPr="007518AF">
        <w:t>1</w:t>
      </w:r>
      <w:r w:rsidR="00DA1715">
        <w:t>3</w:t>
      </w:r>
      <w:r w:rsidRPr="007518AF">
        <w:t>.</w:t>
      </w:r>
      <w:r w:rsidRPr="007518AF">
        <w:tab/>
        <w:t xml:space="preserve">Jissottolinja li ċ-ċibersigurtà tal-Parlament hija prijorità ewlenija fi żmien ta’ inċertezza ġeopolitika; jinnota li l-ammont totali allokat </w:t>
      </w:r>
      <w:proofErr w:type="spellStart"/>
      <w:r w:rsidRPr="007518AF">
        <w:t>għaċ-ċibersigurtà</w:t>
      </w:r>
      <w:proofErr w:type="spellEnd"/>
      <w:r w:rsidRPr="007518AF">
        <w:t xml:space="preserve"> huwa ta’ EUR 16,9 miljun li jinkludi żieda ta’ 54 % fuq il-linja ċentralizzata taċ-ċibersigurtà meta mqabbel mal-2026; ifakkar li l-investimenti </w:t>
      </w:r>
      <w:proofErr w:type="spellStart"/>
      <w:r w:rsidRPr="007518AF">
        <w:t>fiċ-ċibersigurtà</w:t>
      </w:r>
      <w:proofErr w:type="spellEnd"/>
      <w:r w:rsidRPr="007518AF">
        <w:t xml:space="preserve"> huma kruċjali biex jipproteġu l-vuċi demokratika tal-Parlament u tal-Unjoni u sabiex jiżguraw it-tħaddim xieraq tal-Parlament;</w:t>
      </w:r>
    </w:p>
    <w:p w14:paraId="20406B98" w14:textId="2DC42A7B" w:rsidR="00A76CFF" w:rsidRPr="007518AF" w:rsidRDefault="00A76CFF" w:rsidP="00A76CFF">
      <w:pPr>
        <w:pStyle w:val="action0"/>
        <w:ind w:left="567" w:hanging="567"/>
      </w:pPr>
      <w:r w:rsidRPr="007518AF">
        <w:t>1</w:t>
      </w:r>
      <w:r w:rsidR="00DA1715">
        <w:t>4</w:t>
      </w:r>
      <w:r w:rsidRPr="007518AF">
        <w:t>.</w:t>
      </w:r>
      <w:r w:rsidRPr="007518AF">
        <w:tab/>
        <w:t xml:space="preserve">Jisħaq li l-Parlament jeħtieġ li jkun fuq quddiem nett fl-adozzjoni ta’ metodi ta’ ħidma aktar diġitali; jilqa’ l-investimenti fl-Intelliġenza Artifiċjali (IA) li jammontaw għal EUR 1 miljun; jitlob li jiżdied l-użu tal-IA sabiex jinkisbu </w:t>
      </w:r>
      <w:proofErr w:type="spellStart"/>
      <w:r w:rsidRPr="007518AF">
        <w:t>effiċjenzi</w:t>
      </w:r>
      <w:proofErr w:type="spellEnd"/>
      <w:r w:rsidRPr="007518AF">
        <w:t xml:space="preserve"> u tissaħħaħ is-sovranità f’dan il-qasam filwaqt li jinżamm kont tar-riskji relatati, inklużi l-etika u l-protezzjoni tad-data; jisħaq li l-varar tal-IA jrid </w:t>
      </w:r>
      <w:proofErr w:type="spellStart"/>
      <w:r w:rsidRPr="007518AF">
        <w:t>jibbilanċja</w:t>
      </w:r>
      <w:proofErr w:type="spellEnd"/>
      <w:r w:rsidRPr="007518AF">
        <w:t xml:space="preserve"> l-innovazzjoni mas-salvagwardji meħtieġa; jissottolinja l-potenzjal tal-IA li tħaffef il-proċessi amministrattivi; iħeġġeġ l-iżvilupp ta’ linji gwida u salvagwardji ċari biex tiġi żgurata l-implimentazzjoni responsabbli u trasparenti tal-IA, titrawwem l-innovazzjoni filwaqt li jiġu rrispettati d-drittijiet fundamentali, is-sigurtà u l-obbligu ta’ rendikont; jinnota li l-iżvilupp tal-IA se jiġi </w:t>
      </w:r>
      <w:proofErr w:type="spellStart"/>
      <w:r w:rsidRPr="007518AF">
        <w:t>mmonitorjat</w:t>
      </w:r>
      <w:proofErr w:type="spellEnd"/>
      <w:r w:rsidRPr="007518AF">
        <w:t xml:space="preserve"> mill-qrib f’</w:t>
      </w:r>
      <w:proofErr w:type="spellStart"/>
      <w:r w:rsidRPr="007518AF">
        <w:t>konformità</w:t>
      </w:r>
      <w:proofErr w:type="spellEnd"/>
      <w:r w:rsidRPr="007518AF">
        <w:t xml:space="preserve"> mal-prinċipji stabbiliti mill-</w:t>
      </w:r>
      <w:r w:rsidRPr="007518AF">
        <w:lastRenderedPageBreak/>
        <w:t>Bureau; jisħaq li l-investimenti fl-IA m’għandhomx jiffukaw biss fuq l-effiċjenza amministrattiva iżda wkoll fuq it-tisħiħ tat-trasparenza demokratika u l-involviment taċ-ċittadini;</w:t>
      </w:r>
    </w:p>
    <w:p w14:paraId="626C757E" w14:textId="599E89E2" w:rsidR="00A76CFF" w:rsidRPr="007518AF" w:rsidRDefault="00A76CFF" w:rsidP="00A76CFF">
      <w:pPr>
        <w:pStyle w:val="action0"/>
        <w:spacing w:after="0"/>
        <w:ind w:left="567" w:hanging="567"/>
        <w:rPr>
          <w:bCs/>
          <w:iCs/>
        </w:rPr>
      </w:pPr>
      <w:r w:rsidRPr="007518AF">
        <w:t>1</w:t>
      </w:r>
      <w:r w:rsidR="00DA1715">
        <w:t>5</w:t>
      </w:r>
      <w:r w:rsidRPr="007518AF">
        <w:t>.</w:t>
      </w:r>
      <w:r w:rsidRPr="007518AF">
        <w:tab/>
        <w:t>Jisħaq li, fid-dawl tal-kuntest ġeopolitiku u tal-investimenti li l-Unjoni Ewropea se jkollha tagħmel għall-awtonomija strateġika tagħha, il-Parlament Ewropew jeħtieġ jagħti l-eżempju; jieħu nota tat-tħejjijiet ta’ pjan ta’ azzjoni konsolidat immirat lejn it-tisħiħ tal-pożizzjoni tal-Parlament dwar is-Sovranità Diġitali; jistenna bil-ħerqa li jirċievi aġġornamenti regolari dwar il-progress li jkun sar; jissottolinja l-importanza li jiġi żgurat livell għoli ta’ ċibersigurtà, protezzjoni tad-data u reżiljenza fl-infrastruttura diġitali tal-Parlament; jisħaq fuq il-ħtieġa li jiġu vvalutati bir-reqqa r-riskji assoċjati mad-dipendenza fuq fornituri mhux Ewropej, inkluż permezz ta’ valutazzjonijiet tar-riskju; jenfasizza l-importanza li jinżammu soluzzjonijiet siguri, kompetittivi u affidabbli, inkluż, fejn fattibbli, billi tingħata prijorità lill-fornituri Ewropej; jappella għal evalwazzjoni regolari tal-kanali ta’ komunikazzjoni u tal-għodod diġitali tal-Parlament abbażi tas-sigurtà u l-konformità mad-dritt tal-UE, b’mod koordinat ma’ istituzzjonijiet oħra tal-UE, bil-ħsieb li jiġu żgurati l-protezzjoni tad-data parlamentari u l-integrità tal-komunikazzjoni tagħha;</w:t>
      </w:r>
    </w:p>
    <w:p w14:paraId="75E4435A" w14:textId="77777777" w:rsidR="00A76CFF" w:rsidRPr="007518AF" w:rsidRDefault="00A76CFF" w:rsidP="00A76CFF">
      <w:pPr>
        <w:pStyle w:val="action0"/>
        <w:spacing w:after="0"/>
        <w:ind w:left="567" w:hanging="567"/>
        <w:rPr>
          <w:b/>
          <w:i/>
        </w:rPr>
      </w:pPr>
    </w:p>
    <w:p w14:paraId="50F8D911" w14:textId="77777777" w:rsidR="00A76CFF" w:rsidRPr="007518AF" w:rsidRDefault="00A76CFF" w:rsidP="00A76CFF">
      <w:pPr>
        <w:pStyle w:val="action0"/>
        <w:ind w:left="0" w:firstLine="0"/>
        <w:rPr>
          <w:b/>
          <w:i/>
        </w:rPr>
      </w:pPr>
      <w:r w:rsidRPr="007518AF">
        <w:rPr>
          <w:b/>
          <w:i/>
        </w:rPr>
        <w:t>Infrastruttura</w:t>
      </w:r>
    </w:p>
    <w:p w14:paraId="75AC474D" w14:textId="321C9974" w:rsidR="00A76CFF" w:rsidRPr="007518AF" w:rsidRDefault="00A76CFF" w:rsidP="00A76CFF">
      <w:pPr>
        <w:pStyle w:val="action0"/>
        <w:ind w:left="567" w:hanging="567"/>
        <w:rPr>
          <w:color w:val="000000"/>
        </w:rPr>
      </w:pPr>
      <w:r w:rsidRPr="007518AF">
        <w:rPr>
          <w:color w:val="000000"/>
        </w:rPr>
        <w:t>1</w:t>
      </w:r>
      <w:r w:rsidR="00DA1715">
        <w:rPr>
          <w:color w:val="000000"/>
        </w:rPr>
        <w:t>6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>Jirrikonoxxi l-approċċ il-ġdid relatat mal-bini, li daħal f’era ta’ konsolidazzjoni aktar milli ta’ akkwist ta’ bini ġdid, filwaqt li jitqiesu s-sostenibbiltà, l-aċċessibbiltà u l-mobbiltà tal-Membri u tal-Persunal kif ukoll tal-viżitaturi;</w:t>
      </w:r>
    </w:p>
    <w:p w14:paraId="6D3844EA" w14:textId="0E37B9FB" w:rsidR="00A76CFF" w:rsidRPr="007518AF" w:rsidRDefault="00A76CFF" w:rsidP="00A76CFF">
      <w:pPr>
        <w:pStyle w:val="action0"/>
        <w:ind w:left="567" w:hanging="567"/>
        <w:rPr>
          <w:color w:val="000000"/>
        </w:rPr>
      </w:pPr>
      <w:r w:rsidRPr="007518AF">
        <w:rPr>
          <w:color w:val="000000"/>
        </w:rPr>
        <w:t>1</w:t>
      </w:r>
      <w:r w:rsidR="00DA1715">
        <w:rPr>
          <w:color w:val="000000"/>
        </w:rPr>
        <w:t>7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Jinnota li r-rinnovazzjoni tal-bini SPAAK se tibda titwettaq mill-2027; jieħu nota li l-baġit globali għar-rinnovazzjoni ġie stabbilit għal EUR 455 miljun u li EUR 77,67 miljun huma previsti għall-2027; jissottolinja li dawn l-ispejjeż mhumiex inklużi fil-baġit 2027; </w:t>
      </w:r>
      <w:bookmarkStart w:id="9" w:name="_Hlk227680019"/>
      <w:r w:rsidRPr="007518AF">
        <w:rPr>
          <w:color w:val="000000"/>
        </w:rPr>
        <w:t>jisħaq fuq il-ħtieġa li jiġu żgurati kontroll strett tal-</w:t>
      </w:r>
      <w:proofErr w:type="spellStart"/>
      <w:r w:rsidRPr="007518AF">
        <w:rPr>
          <w:color w:val="000000"/>
        </w:rPr>
        <w:t>kostijiet</w:t>
      </w:r>
      <w:proofErr w:type="spellEnd"/>
      <w:r w:rsidRPr="007518AF">
        <w:rPr>
          <w:color w:val="000000"/>
        </w:rPr>
        <w:t xml:space="preserve">, trasparenza u </w:t>
      </w:r>
      <w:proofErr w:type="spellStart"/>
      <w:r w:rsidRPr="007518AF">
        <w:rPr>
          <w:color w:val="000000"/>
        </w:rPr>
        <w:t>aderenza</w:t>
      </w:r>
      <w:proofErr w:type="spellEnd"/>
      <w:r w:rsidRPr="007518AF">
        <w:rPr>
          <w:color w:val="000000"/>
        </w:rPr>
        <w:t xml:space="preserve"> mal-baġit ippjanat;</w:t>
      </w:r>
      <w:r w:rsidRPr="007518AF">
        <w:rPr>
          <w:b/>
          <w:i/>
          <w:color w:val="000000"/>
        </w:rPr>
        <w:t xml:space="preserve"> </w:t>
      </w:r>
      <w:bookmarkEnd w:id="9"/>
    </w:p>
    <w:p w14:paraId="22B8AD3C" w14:textId="0AE68690" w:rsidR="00A76CFF" w:rsidRPr="007518AF" w:rsidRDefault="00A76CFF" w:rsidP="00A76CFF">
      <w:pPr>
        <w:pStyle w:val="action0"/>
        <w:ind w:left="567" w:hanging="567"/>
        <w:rPr>
          <w:color w:val="000000"/>
        </w:rPr>
      </w:pPr>
      <w:r w:rsidRPr="007518AF">
        <w:rPr>
          <w:color w:val="000000"/>
        </w:rPr>
        <w:t>1</w:t>
      </w:r>
      <w:r w:rsidR="00DA1715">
        <w:rPr>
          <w:color w:val="000000"/>
        </w:rPr>
        <w:t>8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Jieħu nota li l-Parlament biħsiebu jieħu self, inkluż mal-Bank Ewropew tal-Investiment, għall-finanzjament tal-proġett ta’ rinnovazzjoni tal-binja SPAAK; jinnota li, fil-baġit għall-2027, il-kostijiet marbuta mal-imgħax (EUR 3,17 miljun) u mal-ħlas lura tal-kapital (EUR 0,65 miljun) huma inklużi. Iħeġġeġ sabiex, fejn ikun rilevanti, il-kostijiet mhux marbuta direttament max-xogħlijiet ta’ rinnovazzjoni għandhom ukoll jiġu elenkati u </w:t>
      </w:r>
      <w:proofErr w:type="spellStart"/>
      <w:r w:rsidRPr="007518AF">
        <w:rPr>
          <w:color w:val="000000"/>
        </w:rPr>
        <w:t>bbaġitjati</w:t>
      </w:r>
      <w:proofErr w:type="spellEnd"/>
      <w:r w:rsidRPr="007518AF">
        <w:rPr>
          <w:color w:val="000000"/>
        </w:rPr>
        <w:t xml:space="preserve"> b’mod ċar; jistieden lill-amministrazzjoni żżomm lill-Kumitat għall-Baġits infurmat mill-qrib dwar ir-rati tal-imgħax applikabbli għas-self u l-ippjanar fit-tul tal-ħlas lura tal-kapital; jisħaq fuq il-ħtieġa li tiġi żgurata ġestjoni prudenti tad-dejn;</w:t>
      </w:r>
    </w:p>
    <w:p w14:paraId="21DAA3C0" w14:textId="48C4F484" w:rsidR="00A76CFF" w:rsidRPr="007518AF" w:rsidRDefault="00A76CFF" w:rsidP="00A76CFF">
      <w:pPr>
        <w:pStyle w:val="action0"/>
        <w:ind w:left="567" w:hanging="567"/>
        <w:rPr>
          <w:b/>
          <w:bCs/>
          <w:i/>
          <w:iCs/>
          <w:color w:val="000000"/>
        </w:rPr>
      </w:pPr>
      <w:r w:rsidRPr="007518AF">
        <w:rPr>
          <w:color w:val="000000"/>
        </w:rPr>
        <w:t>1</w:t>
      </w:r>
      <w:r w:rsidR="00DA1715">
        <w:rPr>
          <w:color w:val="000000"/>
        </w:rPr>
        <w:t>9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Jiddispjaċih għad-dewmien tat-twaqqif ta’ 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Experiences</w:t>
      </w:r>
      <w:proofErr w:type="spellEnd"/>
      <w:r w:rsidRPr="007518AF">
        <w:rPr>
          <w:color w:val="000000"/>
        </w:rPr>
        <w:t xml:space="preserve"> fl-Istati Membri kollha; jilqa’ b’sodisfazzjon il-kunċett il-ġdid, approvat mill-Bureau fil-31 ta’ Marzu 2025, biex jiġi </w:t>
      </w:r>
      <w:proofErr w:type="spellStart"/>
      <w:r w:rsidRPr="007518AF">
        <w:rPr>
          <w:color w:val="000000"/>
        </w:rPr>
        <w:t>ottimizzat</w:t>
      </w:r>
      <w:proofErr w:type="spellEnd"/>
      <w:r w:rsidRPr="007518AF">
        <w:rPr>
          <w:color w:val="000000"/>
        </w:rPr>
        <w:t xml:space="preserve"> l-użu tal-ispazji tal-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</w:t>
      </w:r>
      <w:proofErr w:type="spellEnd"/>
      <w:r w:rsidRPr="007518AF">
        <w:rPr>
          <w:color w:val="000000"/>
        </w:rPr>
        <w:t>, filwaqt li jitqiesu s-sitwazzjonijiet differenti madwar l-Istati Membri; jisħaq fuq l-importanza li jiġi żgurat li l-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</w:t>
      </w:r>
      <w:proofErr w:type="spellEnd"/>
      <w:r w:rsidRPr="007518AF">
        <w:rPr>
          <w:color w:val="000000"/>
        </w:rPr>
        <w:t xml:space="preserve"> għandha toffri esperjenza interessanti għall-viżitaturi biex tattira liċ-ċittadini; jitlob li jiġu stabbiliti 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Experiences</w:t>
      </w:r>
      <w:proofErr w:type="spellEnd"/>
      <w:r w:rsidRPr="007518AF">
        <w:rPr>
          <w:color w:val="000000"/>
        </w:rPr>
        <w:t xml:space="preserve"> u li l-prijorità tingħata lill-Istati Membri l-aktar </w:t>
      </w:r>
      <w:proofErr w:type="spellStart"/>
      <w:r w:rsidRPr="007518AF">
        <w:rPr>
          <w:color w:val="000000"/>
        </w:rPr>
        <w:t>imbiegħda</w:t>
      </w:r>
      <w:proofErr w:type="spellEnd"/>
      <w:r w:rsidRPr="007518AF">
        <w:rPr>
          <w:color w:val="000000"/>
        </w:rPr>
        <w:t xml:space="preserve"> mit-tliet postijiet tax-xogħol filwaqt li jiġi żgurat li l-iżvilupp u l-operat tagħhom jibqgħu </w:t>
      </w:r>
      <w:proofErr w:type="spellStart"/>
      <w:r w:rsidRPr="007518AF">
        <w:rPr>
          <w:color w:val="000000"/>
        </w:rPr>
        <w:t>kosteffettivi</w:t>
      </w:r>
      <w:proofErr w:type="spellEnd"/>
      <w:r w:rsidRPr="007518AF">
        <w:rPr>
          <w:color w:val="000000"/>
        </w:rPr>
        <w:t>; ifakkar li l-</w:t>
      </w:r>
      <w:proofErr w:type="spellStart"/>
      <w:r w:rsidRPr="007518AF">
        <w:rPr>
          <w:color w:val="000000"/>
        </w:rPr>
        <w:t>Europa</w:t>
      </w:r>
      <w:proofErr w:type="spellEnd"/>
      <w:r w:rsidRPr="007518AF">
        <w:rPr>
          <w:color w:val="000000"/>
        </w:rPr>
        <w:t xml:space="preserve"> </w:t>
      </w:r>
      <w:proofErr w:type="spellStart"/>
      <w:r w:rsidRPr="007518AF">
        <w:rPr>
          <w:color w:val="000000"/>
        </w:rPr>
        <w:t>Experiences</w:t>
      </w:r>
      <w:proofErr w:type="spellEnd"/>
      <w:r w:rsidRPr="007518AF">
        <w:rPr>
          <w:color w:val="000000"/>
        </w:rPr>
        <w:t xml:space="preserve"> għandhom jippermettu liċ-ċittadini kollha jifhmu aħjar il-funzjonament tal-istituzzjonijiet tal-Unjoni u tal-valuri kondiviżi tagħna; jisħaq fuq il-ħtieġa ta’ użu effiċjenti tal-</w:t>
      </w:r>
      <w:r w:rsidRPr="007518AF">
        <w:rPr>
          <w:color w:val="000000"/>
        </w:rPr>
        <w:lastRenderedPageBreak/>
        <w:t>approprjazzjonijiet baġitarji allokati għal dawn iċ-ċentri biex jiġi żgurat li dawn iwasslu komunikazzjoni u sensibilizzazzjoni b’impatt għoli b’mod partikolari liż-żgħażagħ u lill-gruppi vulnerabbli; jissottolinja li l-finanzjament għandu jipprijoritizza t-tixrid ta’ informazzjoni fattwali u aċċessibbli dwar l-impatt lokali tal-politiki tal-UE, li tirrappreżenta għodda kosteffettiva fil-protezzjoni tal-integrità demokratika tal-Unjoni kontra d-</w:t>
      </w:r>
      <w:proofErr w:type="spellStart"/>
      <w:r w:rsidRPr="007518AF">
        <w:rPr>
          <w:color w:val="000000"/>
        </w:rPr>
        <w:t>diżinformazzjoni</w:t>
      </w:r>
      <w:proofErr w:type="spellEnd"/>
      <w:r w:rsidRPr="007518AF">
        <w:rPr>
          <w:color w:val="000000"/>
        </w:rPr>
        <w:t>;</w:t>
      </w:r>
    </w:p>
    <w:p w14:paraId="5BC8C521" w14:textId="46E53A41" w:rsidR="00A76CFF" w:rsidRPr="007518AF" w:rsidRDefault="00DA1715" w:rsidP="00A76CFF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t>20</w:t>
      </w:r>
      <w:r w:rsidR="00A76CFF" w:rsidRPr="007518AF">
        <w:rPr>
          <w:color w:val="000000"/>
        </w:rPr>
        <w:t>.</w:t>
      </w:r>
      <w:r w:rsidR="00A76CFF" w:rsidRPr="007518AF">
        <w:rPr>
          <w:color w:val="000000"/>
        </w:rPr>
        <w:tab/>
        <w:t xml:space="preserve">Ifakkar fl-importanza tal-programm “Skola Ambaxxatriċi tal-Parlament Ewropew” biex jippromwovi l-involviment attiv fost iż-żgħażagħ Ewropej u tal-programm ta’ taħriġ għall-ġurnalisti żgħażagħ imsemmi f’ġieħ David </w:t>
      </w:r>
      <w:proofErr w:type="spellStart"/>
      <w:r w:rsidR="00A76CFF" w:rsidRPr="007518AF">
        <w:rPr>
          <w:color w:val="000000"/>
        </w:rPr>
        <w:t>Sassoli</w:t>
      </w:r>
      <w:proofErr w:type="spellEnd"/>
      <w:r w:rsidR="00A76CFF" w:rsidRPr="007518AF">
        <w:rPr>
          <w:color w:val="000000"/>
        </w:rPr>
        <w:t xml:space="preserve"> biex jissaħħaħ il-</w:t>
      </w:r>
      <w:proofErr w:type="spellStart"/>
      <w:r w:rsidR="00A76CFF" w:rsidRPr="007518AF">
        <w:rPr>
          <w:color w:val="000000"/>
        </w:rPr>
        <w:t>fehim</w:t>
      </w:r>
      <w:proofErr w:type="spellEnd"/>
      <w:r w:rsidR="00A76CFF" w:rsidRPr="007518AF">
        <w:rPr>
          <w:color w:val="000000"/>
        </w:rPr>
        <w:t xml:space="preserve"> tal-Unjoni u tal-funzjonament tagħha fost il-ġurnalisti, bħala l-aqwa </w:t>
      </w:r>
      <w:proofErr w:type="spellStart"/>
      <w:r w:rsidR="00A76CFF" w:rsidRPr="007518AF">
        <w:rPr>
          <w:color w:val="000000"/>
        </w:rPr>
        <w:t>antidotu</w:t>
      </w:r>
      <w:proofErr w:type="spellEnd"/>
      <w:r w:rsidR="00A76CFF" w:rsidRPr="007518AF">
        <w:rPr>
          <w:color w:val="000000"/>
        </w:rPr>
        <w:t xml:space="preserve"> kontra d-</w:t>
      </w:r>
      <w:proofErr w:type="spellStart"/>
      <w:r w:rsidR="00A76CFF" w:rsidRPr="007518AF">
        <w:rPr>
          <w:color w:val="000000"/>
        </w:rPr>
        <w:t>diżinformazzjoni</w:t>
      </w:r>
      <w:proofErr w:type="spellEnd"/>
      <w:r w:rsidR="00A76CFF" w:rsidRPr="007518AF">
        <w:rPr>
          <w:color w:val="000000"/>
        </w:rPr>
        <w:t>, fid-dawl tax-xejriet reċenti li juru tnaqqis inkwetanti fil-libertà u l-indipendenza tal-media fl-Unjoni kollha;</w:t>
      </w:r>
    </w:p>
    <w:p w14:paraId="403F6EA9" w14:textId="62F8A255" w:rsidR="00A76CFF" w:rsidRPr="007518AF" w:rsidRDefault="00A76CFF" w:rsidP="00A76CFF">
      <w:pPr>
        <w:pStyle w:val="action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1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Itenni l-appoġġ tiegħu għall-bini ta’ monument </w:t>
      </w:r>
      <w:proofErr w:type="spellStart"/>
      <w:r w:rsidRPr="007518AF">
        <w:rPr>
          <w:color w:val="000000"/>
        </w:rPr>
        <w:t>pan</w:t>
      </w:r>
      <w:proofErr w:type="spellEnd"/>
      <w:r w:rsidRPr="007518AF">
        <w:rPr>
          <w:color w:val="000000"/>
        </w:rPr>
        <w:t xml:space="preserve">-Ewropew fi Brussell għall-vittmi tar-reġimi </w:t>
      </w:r>
      <w:proofErr w:type="spellStart"/>
      <w:r w:rsidRPr="007518AF">
        <w:rPr>
          <w:color w:val="000000"/>
        </w:rPr>
        <w:t>totalitarji</w:t>
      </w:r>
      <w:proofErr w:type="spellEnd"/>
      <w:r w:rsidRPr="007518AF">
        <w:rPr>
          <w:color w:val="000000"/>
        </w:rPr>
        <w:t xml:space="preserve"> tas-seklu 20, li jirrifletti d-diversità tal-esperjenzi storiċi; jistieden lill-Bureau jikkunsidra din il-kwistjoni bl-għan li jadotta deċiżjoni, filwaqt li jqis kif xieraq ir-restrizzjonijiet baġitarji tal-aħħar snin tal-QFP attwali u t-tbatija ekonomika li qed jiffaċċjaw iċ-ċittadini Ewropej;</w:t>
      </w:r>
    </w:p>
    <w:p w14:paraId="5C8523E8" w14:textId="77788518" w:rsidR="00A76CFF" w:rsidRPr="007518AF" w:rsidRDefault="00A76CFF" w:rsidP="00A76CFF">
      <w:pPr>
        <w:pStyle w:val="action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2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>Jisħaq fuq il-fatt li, jekk il-Parlament ikollu sede waħda, dan jista’ jnaqqas il-kostijiet finanzjarji u ambjentali; ifakkar li, skont it-Trattat dwar l-Unjoni Ewropea, il-Parlament għandu jkollu s-sede tiegħu fi Strażburgu; jinnota li bidliet permanenti jkunu jirrikjedu bidla fit-Trattat li għaliha hija meħtieġa l-unanimità;</w:t>
      </w:r>
    </w:p>
    <w:p w14:paraId="7ABF654D" w14:textId="77777777" w:rsidR="00A76CFF" w:rsidRPr="007518AF" w:rsidRDefault="00A76CFF" w:rsidP="00A76CFF">
      <w:pPr>
        <w:pStyle w:val="action0"/>
        <w:ind w:left="0" w:firstLine="0"/>
        <w:rPr>
          <w:b/>
          <w:i/>
          <w:color w:val="000000"/>
        </w:rPr>
      </w:pPr>
      <w:r w:rsidRPr="007518AF">
        <w:rPr>
          <w:b/>
          <w:i/>
          <w:color w:val="000000"/>
        </w:rPr>
        <w:t xml:space="preserve">Parlament Ekoloġiku </w:t>
      </w:r>
    </w:p>
    <w:p w14:paraId="1B9E3C00" w14:textId="6596F156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3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Jilqa’ l-miri tas-sistema ta’ ġestjoni ambjentali (EMAS) tal-Parlament għall-2025-2029; jilqa’ l-investimenti fl-infrastruttura bħala parti mill-azzjonijiet ippjanati għall-effiċjenza enerġetika u r-rinnovazzjoni ambjentali previsti bejn l-2025 u l-2029, li huwa metodu tajjeb biex jinkiseb valur għall-flus; jieħu nota tal-baġit ta’ EUR 8,97 miljun għall-investimenti fl-effiċjenza enerġetika u l-ambjent fl-estimi tal-2027 biex tkompli tittejjeb il-prestazzjoni ambjentali tal-binjiet tiegħu; jinnota li dan jikkorrispondi għal żieda ta’ 6,1 % meta mqabbel mal-baġit tal-2026; jilqa’ l-fatt li l-Parlament installa u qed ikompli jinstalla pannelli solari </w:t>
      </w:r>
      <w:proofErr w:type="spellStart"/>
      <w:r w:rsidRPr="007518AF">
        <w:rPr>
          <w:color w:val="000000"/>
        </w:rPr>
        <w:t>fotovoltajċi</w:t>
      </w:r>
      <w:proofErr w:type="spellEnd"/>
      <w:r w:rsidRPr="007518AF">
        <w:rPr>
          <w:color w:val="000000"/>
        </w:rPr>
        <w:t xml:space="preserve"> biex ikompli jżid is-sehem tal-enerġija rinnovabbli prodotta fuq il-post; jisħaq fuq il-ħtieġa li jiġi żgurat li tali investimenti jwasslu għal titjib fl-effiċjenza li tista’ titkejjel, anke minħabba l-kuntest ġeopolitiku u biex jinkiseb </w:t>
      </w:r>
      <w:proofErr w:type="spellStart"/>
      <w:r w:rsidRPr="007518AF">
        <w:rPr>
          <w:color w:val="000000"/>
        </w:rPr>
        <w:t>iffrankar</w:t>
      </w:r>
      <w:proofErr w:type="spellEnd"/>
      <w:r w:rsidRPr="007518AF">
        <w:rPr>
          <w:color w:val="000000"/>
        </w:rPr>
        <w:t xml:space="preserve"> tal-</w:t>
      </w:r>
      <w:proofErr w:type="spellStart"/>
      <w:r w:rsidRPr="007518AF">
        <w:rPr>
          <w:color w:val="000000"/>
        </w:rPr>
        <w:t>kostijiet</w:t>
      </w:r>
      <w:proofErr w:type="spellEnd"/>
      <w:r w:rsidRPr="007518AF">
        <w:rPr>
          <w:color w:val="000000"/>
        </w:rPr>
        <w:t xml:space="preserve"> fit-tul;</w:t>
      </w:r>
    </w:p>
    <w:p w14:paraId="20709DC0" w14:textId="6AB567C0" w:rsidR="00A76CFF" w:rsidRPr="007518AF" w:rsidRDefault="00A76CFF" w:rsidP="00A76CFF">
      <w:pPr>
        <w:widowControl/>
        <w:spacing w:after="24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4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>Ifakkar li kważi żewġ terzi tal-impronta tal-karbonju tal-Parlament joriġinaw mit-trasport tal-persuni; jieħu nota li sehem sinifikanti mill-baġit tal-Parlament, EUR 162,1 miljun fl-2027, jintefaq biex ikopri l-ispejjeż tal-missjonijiet tal-Membri u tal-persunal; jitlob riflessjoni mill-korpi tal-Parlament dwar il-prattiki tal-missjonijiet lil hinn mit-tliet postijiet tax-xogħol u reviżjoni tar-regoli u l-prattiki tal-missjonijiet bl-għan ġenerali li jitnaqqas l-għadd ta’ missjonijiet, u l-ispejjeż finanzjarji u ambjentali assoċjati; iħeġġeġ lill-Membri jużaw alternattivi tat-trasport b’livell baxx ta’ emissjonijiet tal-karbonju u għażliet ta’ titjiriet bl-aħjar valur;</w:t>
      </w:r>
    </w:p>
    <w:p w14:paraId="1B6088BF" w14:textId="4C5A2616" w:rsidR="00A76CFF" w:rsidRPr="007518AF" w:rsidRDefault="00A76CFF" w:rsidP="00A76CFF">
      <w:pPr>
        <w:widowControl/>
        <w:spacing w:after="24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5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Jilqa’ ż-żieda fl-użu tat-trasport pubbliku għall-ivvjaġġar lejn ix-xogħol u lura u fl-istess ħin jieħu nota taż-żieda fid-domanda għas-sistema ta’ sussidji finanzjarji għall-biljetti </w:t>
      </w:r>
      <w:proofErr w:type="spellStart"/>
      <w:r w:rsidRPr="007518AF">
        <w:rPr>
          <w:color w:val="000000"/>
        </w:rPr>
        <w:t>staġunali</w:t>
      </w:r>
      <w:proofErr w:type="spellEnd"/>
      <w:r w:rsidRPr="007518AF">
        <w:rPr>
          <w:color w:val="000000"/>
        </w:rPr>
        <w:t xml:space="preserve"> tat-trasport pubbliku, b’mod partikolari fi Brussell, li twassal għal żieda fl-</w:t>
      </w:r>
      <w:r w:rsidRPr="007518AF">
        <w:rPr>
          <w:color w:val="000000"/>
        </w:rPr>
        <w:lastRenderedPageBreak/>
        <w:t>approprjazzjonijiet; iqis li l-Parlament għandu jmexxi bl-eżempju billi jinkoraġġixxi miżuri possibbli biex jiżgura l-użu effiċjenti tar-riżorsi billi jtejjeb il-modi sostenibbli tat-trasport għall-ivvjaġġar lejn ix-xogħol u lura u joħloq inċentivi addizzjonali għall-ivvjaġġar lejn ix-xogħol u lura bir-roti;</w:t>
      </w:r>
    </w:p>
    <w:p w14:paraId="616AD17D" w14:textId="39740511" w:rsidR="00A76CFF" w:rsidRPr="007518AF" w:rsidRDefault="00A76CFF" w:rsidP="00A76CFF">
      <w:pPr>
        <w:widowControl/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6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Jieħu nota taż-żidiet sinifikanti fil-prezzijiet tal-krediti tal-karbonju li, bil-livelli ta’ emissjonijiet attwali, jeħtieġu ammont stmat ta’ EUR 950 000 għall-2027; jistieden lill-amministrazzjoni tagħti prijorità lit-tnaqqis tal-emissjonijiet tal-Parlament inkluż permezz ta’ aktar investimenti f’sistemi nodfa ta’ </w:t>
      </w:r>
      <w:proofErr w:type="spellStart"/>
      <w:r w:rsidRPr="007518AF">
        <w:rPr>
          <w:color w:val="000000"/>
        </w:rPr>
        <w:t>tisħin</w:t>
      </w:r>
      <w:proofErr w:type="spellEnd"/>
      <w:r w:rsidRPr="007518AF">
        <w:rPr>
          <w:color w:val="000000"/>
        </w:rPr>
        <w:t>, ventilazzjoni u arja kundizzjonata, b’mod partikolari bl-installazzjonijiet ta’ pompi tas-sħana fi Brussell u permezz ta’ miżuri proporzjonati u kosteffettivi oħra biex jitnaqqsu l-emissjonijiet, fejn raġonevoli, fuq ix-xiri ta’ krediti tal-karbonju; jilqa’ l-introduzzjoni ta’ offerta mtejba għall-ferroviji għall-missjonijiet lejn Strażburgu minn Lulju 2025, bħala pass pożittiv lejn it-tnaqqis tal-emissjonijiet tas-CO</w:t>
      </w:r>
      <w:r w:rsidRPr="007518AF">
        <w:rPr>
          <w:color w:val="000000"/>
          <w:vertAlign w:val="subscript"/>
        </w:rPr>
        <w:t>2</w:t>
      </w:r>
      <w:r w:rsidRPr="007518AF">
        <w:rPr>
          <w:color w:val="000000"/>
        </w:rPr>
        <w:t xml:space="preserve">; </w:t>
      </w:r>
    </w:p>
    <w:p w14:paraId="59F39AE6" w14:textId="77777777" w:rsidR="00A76CFF" w:rsidRPr="007518AF" w:rsidRDefault="00A76CFF" w:rsidP="00A76CFF">
      <w:pPr>
        <w:pStyle w:val="action0"/>
        <w:ind w:left="0" w:firstLine="0"/>
        <w:rPr>
          <w:b/>
          <w:i/>
          <w:color w:val="000000"/>
        </w:rPr>
      </w:pPr>
      <w:r w:rsidRPr="007518AF">
        <w:rPr>
          <w:b/>
          <w:i/>
          <w:color w:val="000000"/>
        </w:rPr>
        <w:t>Oħrajn</w:t>
      </w:r>
    </w:p>
    <w:p w14:paraId="718A585F" w14:textId="32F3264F" w:rsidR="00A76CFF" w:rsidRPr="007518AF" w:rsidRDefault="00A76CFF" w:rsidP="00A76CFF">
      <w:pPr>
        <w:pStyle w:val="action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7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Jistieden lill-Konferenza tal-Presidenti toħroġ mingħajr aktar dewmien b’deċiżjoni dwar l-Artikoli rilevanti tar-regoli interni tagħha rigward il-parteċipazzjoni tal-APAs biex jakkumpanjaw lill-Membri f’missjonijiet u delegazzjonijiet uffiċjali barra mit-tliet postijiet tax-xogħol tal-Parlament fejn l-ebda membru tal-persunal tal-grupp politiku tagħhom rappreżentat fil-missjoni ma jkun ġie </w:t>
      </w:r>
      <w:proofErr w:type="spellStart"/>
      <w:r w:rsidRPr="007518AF">
        <w:rPr>
          <w:color w:val="000000"/>
        </w:rPr>
        <w:t>nnotifikat</w:t>
      </w:r>
      <w:proofErr w:type="spellEnd"/>
      <w:r w:rsidRPr="007518AF">
        <w:rPr>
          <w:color w:val="000000"/>
        </w:rPr>
        <w:t xml:space="preserve"> uffiċjalment lis-Segretarjat tal-Parlament;</w:t>
      </w:r>
    </w:p>
    <w:p w14:paraId="636D2726" w14:textId="351162F7" w:rsidR="00A76CFF" w:rsidRDefault="00A76CFF" w:rsidP="00A76CFF">
      <w:pPr>
        <w:spacing w:after="240"/>
        <w:ind w:left="567" w:hanging="567"/>
        <w:rPr>
          <w:b/>
          <w:i/>
          <w:color w:val="000000"/>
        </w:rPr>
      </w:pPr>
      <w:r w:rsidRPr="007518AF">
        <w:rPr>
          <w:color w:val="000000"/>
        </w:rPr>
        <w:t>2</w:t>
      </w:r>
      <w:r w:rsidR="00DA1715">
        <w:rPr>
          <w:color w:val="000000"/>
        </w:rPr>
        <w:t>8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>Jemmen li l-Parlament għandu jmexxi bl-eżempju fir-rigward tad-drittijiet tal-persuni b’</w:t>
      </w:r>
      <w:proofErr w:type="spellStart"/>
      <w:r w:rsidRPr="007518AF">
        <w:rPr>
          <w:color w:val="000000"/>
        </w:rPr>
        <w:t>diżabbiltà</w:t>
      </w:r>
      <w:proofErr w:type="spellEnd"/>
      <w:r w:rsidRPr="007518AF">
        <w:rPr>
          <w:color w:val="000000"/>
        </w:rPr>
        <w:t xml:space="preserve">, kemm bħala </w:t>
      </w:r>
      <w:proofErr w:type="spellStart"/>
      <w:r w:rsidRPr="007518AF">
        <w:rPr>
          <w:color w:val="000000"/>
        </w:rPr>
        <w:t>impjegatur</w:t>
      </w:r>
      <w:proofErr w:type="spellEnd"/>
      <w:r w:rsidRPr="007518AF">
        <w:rPr>
          <w:color w:val="000000"/>
        </w:rPr>
        <w:t xml:space="preserve"> kif ukoll bħala istituzzjoni pubblika; jilqa’ l-politika tal-Parlament li għandha l-għan li tiżgura l-użu kompletament indipendenti tal-binjiet tal-Parlament minn persuni b’diżabbiltà u jappoġġja aktar miżuri u adattamenti li se jkunu meħtieġa f’dan ir-rigward; jinnota li l-baġit jipprevedi EUR 2,07 miljun għal dan il-għan għall-bini tiegħu fi Strażburgu; jisħaq li l-aċċessibbiltà għandha tkun kriterju ewlieni fir-rinnovazzjoni tal-bini SPAAK u fl-iżvilupp tal-pjattaformi diġitali kollha;</w:t>
      </w:r>
      <w:r w:rsidRPr="007518AF">
        <w:rPr>
          <w:b/>
          <w:i/>
          <w:color w:val="000000"/>
        </w:rPr>
        <w:t xml:space="preserve"> </w:t>
      </w:r>
    </w:p>
    <w:p w14:paraId="0F59F186" w14:textId="64407752" w:rsidR="00945FE4" w:rsidRPr="00AB28CF" w:rsidRDefault="00945FE4" w:rsidP="00A76CFF">
      <w:pPr>
        <w:spacing w:after="240"/>
        <w:ind w:left="567" w:hanging="567"/>
        <w:rPr>
          <w:bCs/>
          <w:iCs/>
          <w:color w:val="000000"/>
        </w:rPr>
      </w:pPr>
      <w:r w:rsidRPr="00AB28CF">
        <w:rPr>
          <w:bCs/>
          <w:iCs/>
          <w:color w:val="000000"/>
        </w:rPr>
        <w:t>2</w:t>
      </w:r>
      <w:r w:rsidR="00DA1715">
        <w:rPr>
          <w:bCs/>
          <w:iCs/>
          <w:color w:val="000000"/>
        </w:rPr>
        <w:t>9</w:t>
      </w:r>
      <w:r w:rsidRPr="00AB28CF">
        <w:rPr>
          <w:bCs/>
          <w:iCs/>
          <w:color w:val="000000"/>
        </w:rPr>
        <w:t>.</w:t>
      </w:r>
      <w:r w:rsidRPr="00AB28CF">
        <w:rPr>
          <w:bCs/>
          <w:iCs/>
          <w:color w:val="000000"/>
        </w:rPr>
        <w:tab/>
        <w:t xml:space="preserve">Jilqa’ l-inizjattivi riċenti appoġġjati mill-Konferenza tal-Presidenti u mill-Bureau li jippermetti lill-Membri fil-perjodu </w:t>
      </w:r>
      <w:proofErr w:type="spellStart"/>
      <w:r w:rsidRPr="00AB28CF">
        <w:rPr>
          <w:bCs/>
          <w:iCs/>
          <w:color w:val="000000"/>
        </w:rPr>
        <w:t>perinatali</w:t>
      </w:r>
      <w:proofErr w:type="spellEnd"/>
      <w:r w:rsidRPr="00AB28CF">
        <w:rPr>
          <w:bCs/>
          <w:iCs/>
          <w:color w:val="000000"/>
        </w:rPr>
        <w:t xml:space="preserve"> li jivvutaw permezz ta’ prokura, u jirrikonoxxi dan bħala pass pożittiv lejn inklużività akbar fil-ħidma parlamentari</w:t>
      </w:r>
      <w:r w:rsidR="00026A49">
        <w:rPr>
          <w:bCs/>
          <w:iCs/>
          <w:color w:val="000000"/>
        </w:rPr>
        <w:t>,</w:t>
      </w:r>
      <w:r w:rsidRPr="00AB28CF">
        <w:rPr>
          <w:bCs/>
          <w:iCs/>
          <w:color w:val="000000"/>
        </w:rPr>
        <w:t xml:space="preserve"> u jappella biex il-partiti kollha jimplimentaw </w:t>
      </w:r>
      <w:r w:rsidR="00026A49">
        <w:rPr>
          <w:bCs/>
          <w:iCs/>
          <w:color w:val="000000"/>
        </w:rPr>
        <w:t xml:space="preserve">malajr </w:t>
      </w:r>
      <w:r w:rsidRPr="00AB28CF">
        <w:rPr>
          <w:bCs/>
          <w:iCs/>
          <w:color w:val="000000"/>
        </w:rPr>
        <w:t xml:space="preserve">din il-miżura; jinsisti, madankollu, li l-miżura għada lura milli tissodisfa s-sejħiet ripetuti tal-Parlament li jiżgura li d-drittijiet tal-vot ma jkunux garantiti biss għall-Membri fil-perjodu </w:t>
      </w:r>
      <w:proofErr w:type="spellStart"/>
      <w:r w:rsidRPr="00AB28CF">
        <w:rPr>
          <w:bCs/>
          <w:iCs/>
          <w:color w:val="000000"/>
        </w:rPr>
        <w:t>perinatali</w:t>
      </w:r>
      <w:proofErr w:type="spellEnd"/>
      <w:r w:rsidRPr="00AB28CF">
        <w:rPr>
          <w:bCs/>
          <w:iCs/>
          <w:color w:val="000000"/>
        </w:rPr>
        <w:t xml:space="preserve">, iżda wkoll għall-Membri li jinsabu fuq </w:t>
      </w:r>
      <w:proofErr w:type="spellStart"/>
      <w:r w:rsidRPr="00AB28CF">
        <w:rPr>
          <w:bCs/>
          <w:iCs/>
          <w:color w:val="000000"/>
        </w:rPr>
        <w:t>liv</w:t>
      </w:r>
      <w:proofErr w:type="spellEnd"/>
      <w:r w:rsidRPr="00AB28CF">
        <w:rPr>
          <w:bCs/>
          <w:iCs/>
          <w:color w:val="000000"/>
        </w:rPr>
        <w:t xml:space="preserve"> </w:t>
      </w:r>
      <w:proofErr w:type="spellStart"/>
      <w:r w:rsidRPr="00AB28CF">
        <w:rPr>
          <w:bCs/>
          <w:iCs/>
          <w:color w:val="000000"/>
        </w:rPr>
        <w:t>parentali</w:t>
      </w:r>
      <w:proofErr w:type="spellEnd"/>
      <w:r w:rsidRPr="00AB28CF">
        <w:rPr>
          <w:bCs/>
          <w:iCs/>
          <w:color w:val="000000"/>
        </w:rPr>
        <w:t xml:space="preserve"> jew tal-</w:t>
      </w:r>
      <w:proofErr w:type="spellStart"/>
      <w:r w:rsidRPr="00AB28CF">
        <w:rPr>
          <w:bCs/>
          <w:iCs/>
          <w:color w:val="000000"/>
        </w:rPr>
        <w:t>paternità</w:t>
      </w:r>
      <w:proofErr w:type="spellEnd"/>
      <w:r w:rsidRPr="00AB28CF">
        <w:rPr>
          <w:bCs/>
          <w:iCs/>
          <w:color w:val="000000"/>
        </w:rPr>
        <w:t xml:space="preserve"> jew għall-Membri li għaddejjin minn mard fit-tul iċċertifikat;</w:t>
      </w:r>
    </w:p>
    <w:p w14:paraId="6D83D9B5" w14:textId="3E8DBA96" w:rsidR="00A76CFF" w:rsidRPr="007518AF" w:rsidRDefault="00DA1715" w:rsidP="00A76CFF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30</w:t>
      </w:r>
      <w:r w:rsidR="00A76CFF" w:rsidRPr="007518AF">
        <w:rPr>
          <w:color w:val="000000"/>
        </w:rPr>
        <w:t>.</w:t>
      </w:r>
      <w:r w:rsidR="00A76CFF" w:rsidRPr="007518AF">
        <w:rPr>
          <w:color w:val="000000"/>
        </w:rPr>
        <w:tab/>
      </w:r>
      <w:r w:rsidR="00945FE4" w:rsidRPr="00945FE4">
        <w:rPr>
          <w:color w:val="000000"/>
        </w:rPr>
        <w:t>Jesprimi tħassib dwar il-fatt li l-kwalità u l-</w:t>
      </w:r>
      <w:proofErr w:type="spellStart"/>
      <w:r w:rsidR="00945FE4" w:rsidRPr="00945FE4">
        <w:rPr>
          <w:color w:val="000000"/>
        </w:rPr>
        <w:t>kontinwità</w:t>
      </w:r>
      <w:proofErr w:type="spellEnd"/>
      <w:r w:rsidR="00945FE4" w:rsidRPr="00945FE4">
        <w:rPr>
          <w:color w:val="000000"/>
        </w:rPr>
        <w:t xml:space="preserve"> tas-servizzi pprovduti mill-</w:t>
      </w:r>
      <w:proofErr w:type="spellStart"/>
      <w:r w:rsidR="00945FE4" w:rsidRPr="00945FE4">
        <w:rPr>
          <w:color w:val="000000"/>
        </w:rPr>
        <w:t>Crèche</w:t>
      </w:r>
      <w:proofErr w:type="spellEnd"/>
      <w:r w:rsidR="00945FE4" w:rsidRPr="00945FE4">
        <w:rPr>
          <w:color w:val="000000"/>
        </w:rPr>
        <w:t xml:space="preserve"> </w:t>
      </w:r>
      <w:proofErr w:type="spellStart"/>
      <w:r w:rsidR="00945FE4" w:rsidRPr="00945FE4">
        <w:rPr>
          <w:color w:val="000000"/>
        </w:rPr>
        <w:t>Wayenberg</w:t>
      </w:r>
      <w:proofErr w:type="spellEnd"/>
      <w:r w:rsidR="00945FE4" w:rsidRPr="00945FE4">
        <w:rPr>
          <w:color w:val="000000"/>
        </w:rPr>
        <w:t xml:space="preserve"> tal-Parlament ġew affettwati minn bidliet frekwenti tal-fornituri tas-servizz mill-2020, flimkien ma’ sfidi relatati ma’ nuqqas ta’ persunal u livell għoli ta’ </w:t>
      </w:r>
      <w:proofErr w:type="spellStart"/>
      <w:r w:rsidR="00945FE4" w:rsidRPr="00945FE4">
        <w:rPr>
          <w:color w:val="000000"/>
        </w:rPr>
        <w:t>assenteiżmu</w:t>
      </w:r>
      <w:proofErr w:type="spellEnd"/>
      <w:r w:rsidR="00945FE4" w:rsidRPr="00945FE4">
        <w:rPr>
          <w:color w:val="000000"/>
        </w:rPr>
        <w:t xml:space="preserve"> tal-persunal u </w:t>
      </w:r>
      <w:proofErr w:type="spellStart"/>
      <w:r w:rsidR="00945FE4" w:rsidRPr="00945FE4">
        <w:rPr>
          <w:color w:val="000000"/>
        </w:rPr>
        <w:t>dawran</w:t>
      </w:r>
      <w:proofErr w:type="spellEnd"/>
      <w:r w:rsidR="00945FE4" w:rsidRPr="00945FE4">
        <w:rPr>
          <w:color w:val="000000"/>
        </w:rPr>
        <w:t xml:space="preserve"> tal-persunal fil-</w:t>
      </w:r>
      <w:proofErr w:type="spellStart"/>
      <w:r w:rsidR="00945FE4" w:rsidRPr="00945FE4">
        <w:rPr>
          <w:color w:val="000000"/>
        </w:rPr>
        <w:t>Crèche</w:t>
      </w:r>
      <w:proofErr w:type="spellEnd"/>
      <w:r w:rsidR="00945FE4" w:rsidRPr="00945FE4">
        <w:rPr>
          <w:color w:val="000000"/>
        </w:rPr>
        <w:t xml:space="preserve">; jieħu nota tal-għoti tal-kuntratt attwali għas-servizzi tal-indukrar tat-tfal tal-Parlament fi Brussell lil kumpanija ġdida stabbilita ftit wara l-pubblikazzjoni tal-offerta u allegatament marbuta mal-fornitur preċedenti, </w:t>
      </w:r>
      <w:proofErr w:type="spellStart"/>
      <w:r w:rsidR="00945FE4" w:rsidRPr="00945FE4">
        <w:rPr>
          <w:color w:val="000000"/>
        </w:rPr>
        <w:t>Esedra</w:t>
      </w:r>
      <w:proofErr w:type="spellEnd"/>
      <w:r w:rsidR="00945FE4" w:rsidRPr="00945FE4">
        <w:rPr>
          <w:color w:val="000000"/>
        </w:rPr>
        <w:t xml:space="preserve">; ifakkar fit-terminazzjoni </w:t>
      </w:r>
      <w:r w:rsidR="00A76CFF" w:rsidRPr="007518AF">
        <w:rPr>
          <w:color w:val="000000"/>
        </w:rPr>
        <w:t xml:space="preserve">bikrija </w:t>
      </w:r>
      <w:r w:rsidR="00945FE4" w:rsidRPr="00945FE4">
        <w:rPr>
          <w:color w:val="000000"/>
        </w:rPr>
        <w:t>mill-Parlament</w:t>
      </w:r>
      <w:r w:rsidR="00945FE4">
        <w:rPr>
          <w:color w:val="000000"/>
        </w:rPr>
        <w:t xml:space="preserve"> </w:t>
      </w:r>
      <w:r w:rsidR="00A76CFF" w:rsidRPr="007518AF">
        <w:rPr>
          <w:color w:val="000000"/>
        </w:rPr>
        <w:t>tal-kuntratt mal-fornitur preċedenti tal-</w:t>
      </w:r>
      <w:proofErr w:type="spellStart"/>
      <w:r w:rsidR="00A76CFF" w:rsidRPr="007518AF">
        <w:rPr>
          <w:color w:val="000000"/>
        </w:rPr>
        <w:t>Crèche</w:t>
      </w:r>
      <w:proofErr w:type="spellEnd"/>
      <w:r w:rsidR="00A76CFF" w:rsidRPr="007518AF">
        <w:rPr>
          <w:color w:val="000000"/>
        </w:rPr>
        <w:t xml:space="preserve"> </w:t>
      </w:r>
      <w:proofErr w:type="spellStart"/>
      <w:r w:rsidR="00A76CFF" w:rsidRPr="007518AF">
        <w:rPr>
          <w:color w:val="000000"/>
        </w:rPr>
        <w:t>Wayenberg</w:t>
      </w:r>
      <w:proofErr w:type="spellEnd"/>
      <w:r w:rsidR="00945FE4">
        <w:rPr>
          <w:color w:val="000000"/>
        </w:rPr>
        <w:t xml:space="preserve">, </w:t>
      </w:r>
      <w:proofErr w:type="spellStart"/>
      <w:r w:rsidR="00945FE4" w:rsidRPr="00945FE4">
        <w:rPr>
          <w:color w:val="000000"/>
        </w:rPr>
        <w:t>Esedra</w:t>
      </w:r>
      <w:proofErr w:type="spellEnd"/>
      <w:r w:rsidR="00945FE4" w:rsidRPr="00945FE4">
        <w:rPr>
          <w:color w:val="000000"/>
        </w:rPr>
        <w:t>,</w:t>
      </w:r>
      <w:r w:rsidR="00A76CFF" w:rsidRPr="007518AF">
        <w:rPr>
          <w:color w:val="000000"/>
        </w:rPr>
        <w:t xml:space="preserve"> wara għadd ta’ allegazzjonijiet serji kontra </w:t>
      </w:r>
      <w:r w:rsidR="00945FE4">
        <w:rPr>
          <w:color w:val="000000"/>
        </w:rPr>
        <w:t>dak i</w:t>
      </w:r>
      <w:r w:rsidR="00A76CFF" w:rsidRPr="007518AF">
        <w:rPr>
          <w:color w:val="000000"/>
        </w:rPr>
        <w:t xml:space="preserve">l-kuntrattur; itenni li kundizzjonijiet tax-xogħol deċenti </w:t>
      </w:r>
      <w:r w:rsidR="00945FE4" w:rsidRPr="00AB28CF">
        <w:rPr>
          <w:bCs/>
          <w:iCs/>
        </w:rPr>
        <w:t xml:space="preserve">u paga </w:t>
      </w:r>
      <w:r w:rsidR="00945FE4" w:rsidRPr="00AB28CF">
        <w:rPr>
          <w:bCs/>
          <w:iCs/>
        </w:rPr>
        <w:lastRenderedPageBreak/>
        <w:t>adegwata</w:t>
      </w:r>
      <w:r w:rsidR="00945FE4" w:rsidRPr="0011331A">
        <w:t xml:space="preserve"> </w:t>
      </w:r>
      <w:r w:rsidR="00A76CFF" w:rsidRPr="007518AF">
        <w:rPr>
          <w:color w:val="000000"/>
        </w:rPr>
        <w:t xml:space="preserve">għall-persunal estern, </w:t>
      </w:r>
      <w:r w:rsidR="00945FE4" w:rsidRPr="00945FE4">
        <w:rPr>
          <w:color w:val="000000"/>
        </w:rPr>
        <w:t>inklużi t-taħriġ</w:t>
      </w:r>
      <w:r w:rsidR="00A76CFF" w:rsidRPr="007518AF">
        <w:rPr>
          <w:color w:val="000000"/>
        </w:rPr>
        <w:t xml:space="preserve">, l-iżvilupp tal-ħiliet, </w:t>
      </w:r>
      <w:r w:rsidR="00945FE4" w:rsidRPr="00945FE4">
        <w:rPr>
          <w:color w:val="000000"/>
        </w:rPr>
        <w:t xml:space="preserve">il-miżuri kontra l-vjolenza u l-fastidju, id-djalogu soċjali sinifikattiv, </w:t>
      </w:r>
      <w:r w:rsidR="00A76CFF" w:rsidRPr="007518AF">
        <w:rPr>
          <w:color w:val="000000"/>
        </w:rPr>
        <w:t xml:space="preserve">u l-investiment fil-benessri tal-persunal għandhom, fejn rilevanti, ikunu kunsiderazzjoni </w:t>
      </w:r>
      <w:proofErr w:type="spellStart"/>
      <w:r w:rsidR="00A76CFF" w:rsidRPr="007518AF">
        <w:rPr>
          <w:color w:val="000000"/>
        </w:rPr>
        <w:t>prijoritarja</w:t>
      </w:r>
      <w:proofErr w:type="spellEnd"/>
      <w:r w:rsidR="00A76CFF" w:rsidRPr="007518AF">
        <w:rPr>
          <w:color w:val="000000"/>
        </w:rPr>
        <w:t xml:space="preserve"> fl-akkwist pubbliku tal-Parlament bħala kwistjoni ta’ prinċipju;</w:t>
      </w:r>
      <w:r w:rsidR="00965CC0">
        <w:rPr>
          <w:color w:val="000000"/>
        </w:rPr>
        <w:t xml:space="preserve"> </w:t>
      </w:r>
      <w:r w:rsidR="00965CC0" w:rsidRPr="00965CC0">
        <w:rPr>
          <w:color w:val="000000"/>
        </w:rPr>
        <w:t>jappella għal awditu estern indipendenti tal-proċedura tal-offerti u tal-implimentazzjoni tal-kuntratt attwali, inkluża valutazzjoni esterna indipendenti tal-kundizzjonijiet tax-xogħol u l-benesseri tal-persunal</w:t>
      </w:r>
      <w:r w:rsidR="00965CC0">
        <w:rPr>
          <w:color w:val="000000"/>
        </w:rPr>
        <w:t>;</w:t>
      </w:r>
    </w:p>
    <w:p w14:paraId="7643ED16" w14:textId="5E3BD758" w:rsidR="00A76CFF" w:rsidRPr="007518AF" w:rsidRDefault="00DA1715" w:rsidP="00A76CFF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31</w:t>
      </w:r>
      <w:r w:rsidR="00A76CFF" w:rsidRPr="007518AF">
        <w:rPr>
          <w:color w:val="000000"/>
        </w:rPr>
        <w:t>.</w:t>
      </w:r>
      <w:r w:rsidR="00A76CFF" w:rsidRPr="007518AF">
        <w:rPr>
          <w:color w:val="000000"/>
        </w:rPr>
        <w:tab/>
        <w:t>Jilqa’ l-kamra tal-familja fi Strażburgu bħala appoġġ siewi għall-Membri u l-persunal bi tfal żgħar matul l-attivitajiet parlamentari tagħhom; jinnota, madankollu, li għandha kapaċità limitata li takkomoda 30 tifel/tifla; josserva li l-età medja tal-Membri tal-Parlament Ewropew u tal-persunal parlamentari naqset f’dawn l-aħħar snin, u dan wassal għal għadd akbar ta’ familji żgħażagħ u żieda fid-domanda għal faċilitajiet għall-indukrar tat-tfal; jistieden lill-Bureau u lis-Segretarju Ġenerali jidentifikaw u jimplimentaw soluzzjonijiet biex ikomplu jtejbu l-indukrar tat-tfal fi Strażburgu;</w:t>
      </w:r>
    </w:p>
    <w:p w14:paraId="26EB5A68" w14:textId="38C1366B" w:rsidR="00A76CFF" w:rsidRPr="007518AF" w:rsidRDefault="00DA1715" w:rsidP="00A76CFF">
      <w:pPr>
        <w:spacing w:after="240"/>
        <w:ind w:left="567" w:hanging="567"/>
        <w:rPr>
          <w:color w:val="000000"/>
        </w:rPr>
      </w:pPr>
      <w:r>
        <w:rPr>
          <w:color w:val="000000"/>
        </w:rPr>
        <w:t>32</w:t>
      </w:r>
      <w:r w:rsidR="00A76CFF" w:rsidRPr="007518AF">
        <w:rPr>
          <w:color w:val="000000"/>
        </w:rPr>
        <w:t>.</w:t>
      </w:r>
      <w:r w:rsidR="00A76CFF" w:rsidRPr="007518AF">
        <w:rPr>
          <w:color w:val="000000"/>
        </w:rPr>
        <w:tab/>
        <w:t xml:space="preserve">Jafferma mill-ġdid it-talba tiegħu lis-Segretarju Ġenerali biex jenfasizza l-prinċipju fundamentali li r-reklutaġġ kollu għandu jkun ibbażat fuq il-kompetenza filwaqt li jiġi żgurat ukoll il-bilanċ ġeografiku fost l-Istati Membri kollha f’kull livell tal-persunal; jissottolinja li l-kisba ta’ rappreżentanza ġeografika ġusta fil-livelli kollha tal-amministrazzjoni, filwaqt li jitqiesu wkoll l-età u l-ġeneru, hija essenzjali biex jitrawwem servizz pubbliku ġenwinament Ewropew; jinnota li l-Parlament ħa miżuri biex jappoġġja dan l-objettiv, inkluża l-organizzazzjoni ta’ kompetizzjonijiet speċifiċi għan-nazzjonalità; jenfasizza l-ħtieġa li jiġu aċċellerati l-proċessi tal-kompetizzjonijiet filwaqt li jinżamm approċċ ta’ għażla ibbażat strettament fuq il-mertu; </w:t>
      </w:r>
    </w:p>
    <w:p w14:paraId="2DF81389" w14:textId="67516C7A" w:rsidR="00A76CFF" w:rsidRPr="007518AF" w:rsidRDefault="00A76CFF" w:rsidP="00A76CFF">
      <w:pPr>
        <w:spacing w:after="240"/>
        <w:ind w:left="567" w:hanging="567"/>
        <w:rPr>
          <w:color w:val="000000"/>
        </w:rPr>
      </w:pPr>
      <w:r w:rsidRPr="007518AF">
        <w:rPr>
          <w:color w:val="000000"/>
        </w:rPr>
        <w:t>3</w:t>
      </w:r>
      <w:r w:rsidR="00DA1715">
        <w:rPr>
          <w:color w:val="000000"/>
        </w:rPr>
        <w:t>3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>Jenfasizza li l-</w:t>
      </w:r>
      <w:proofErr w:type="spellStart"/>
      <w:r w:rsidRPr="007518AF">
        <w:rPr>
          <w:color w:val="000000"/>
        </w:rPr>
        <w:t>multilingwiżmu</w:t>
      </w:r>
      <w:proofErr w:type="spellEnd"/>
      <w:r w:rsidRPr="007518AF">
        <w:rPr>
          <w:color w:val="000000"/>
        </w:rPr>
        <w:t xml:space="preserve"> huwa prinċipju fundamentali li l-ħidma tal-Parlament hija bbażata fuqu; jitlob li, meta xieraq, il-Parlament jisfrutta l-</w:t>
      </w:r>
      <w:proofErr w:type="spellStart"/>
      <w:r w:rsidRPr="007518AF">
        <w:rPr>
          <w:color w:val="000000"/>
        </w:rPr>
        <w:t>evoluzzjonijiet</w:t>
      </w:r>
      <w:proofErr w:type="spellEnd"/>
      <w:r w:rsidRPr="007518AF">
        <w:rPr>
          <w:color w:val="000000"/>
        </w:rPr>
        <w:t xml:space="preserve"> teknoloġiċi l-kbar fis-servizzi relatati </w:t>
      </w:r>
      <w:proofErr w:type="spellStart"/>
      <w:r w:rsidRPr="007518AF">
        <w:rPr>
          <w:color w:val="000000"/>
        </w:rPr>
        <w:t>mal-multilingwiżmu</w:t>
      </w:r>
      <w:proofErr w:type="spellEnd"/>
      <w:r w:rsidRPr="007518AF">
        <w:rPr>
          <w:color w:val="000000"/>
        </w:rPr>
        <w:t xml:space="preserve">, inklużi l-iżvilupp u l-użu tal-IA; </w:t>
      </w:r>
    </w:p>
    <w:p w14:paraId="21123AC0" w14:textId="39BB7AB5" w:rsidR="00A76CFF" w:rsidRPr="007518AF" w:rsidRDefault="00A76CFF" w:rsidP="00A76CFF">
      <w:pPr>
        <w:spacing w:after="24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3</w:t>
      </w:r>
      <w:r w:rsidR="00DA1715">
        <w:rPr>
          <w:color w:val="000000"/>
        </w:rPr>
        <w:t>4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>Jieħu nota tas-sentenza tas-17 ta’ Diċembru 2025 mill-Qorti Ġenerali tal-Qorti tal-Ġustizzja tal-Unjoni Ewropea li tikkonferma l-legalità tal-miżuri adottati mill-Bureau fl-2023 rigward il-Fond ta’ Pensjoni Volontarja għall-Membri</w:t>
      </w:r>
      <w:r w:rsidRPr="007518AF">
        <w:rPr>
          <w:rStyle w:val="FootnoteReference"/>
          <w:bCs/>
          <w:iCs/>
          <w:color w:val="000000"/>
        </w:rPr>
        <w:footnoteReference w:id="13"/>
      </w:r>
      <w:r w:rsidRPr="007518AF">
        <w:rPr>
          <w:color w:val="000000"/>
        </w:rPr>
        <w:t>; jenfasizza li filwaqt li dawn il-miżuri naqqsu l-obbligu tal-benefiċċju b’ 63 %, il-fond għadu f’sitwazzjoni finanzjarja fraġli ħafna; jistenna li jirċievi aġġornament ta’ żviluppi ulterjuri rigward l-Iskema ta’ Pensjoni Volontarja;</w:t>
      </w:r>
    </w:p>
    <w:p w14:paraId="53649245" w14:textId="685F4B4B" w:rsidR="00A76CFF" w:rsidRPr="007518AF" w:rsidRDefault="00A76CFF" w:rsidP="00A76CFF">
      <w:pPr>
        <w:spacing w:after="240"/>
        <w:ind w:left="567" w:hanging="567"/>
        <w:rPr>
          <w:bCs/>
          <w:iCs/>
          <w:color w:val="000000"/>
        </w:rPr>
      </w:pPr>
      <w:r w:rsidRPr="007518AF">
        <w:rPr>
          <w:color w:val="000000"/>
        </w:rPr>
        <w:t>3</w:t>
      </w:r>
      <w:r w:rsidR="00DA1715">
        <w:rPr>
          <w:color w:val="000000"/>
        </w:rPr>
        <w:t>5</w:t>
      </w:r>
      <w:r w:rsidRPr="007518AF">
        <w:rPr>
          <w:color w:val="000000"/>
        </w:rPr>
        <w:t>.</w:t>
      </w:r>
      <w:r w:rsidRPr="007518AF">
        <w:rPr>
          <w:color w:val="000000"/>
        </w:rPr>
        <w:tab/>
        <w:t xml:space="preserve">Jistenna li t-talbiet </w:t>
      </w:r>
      <w:proofErr w:type="spellStart"/>
      <w:r w:rsidRPr="007518AF">
        <w:rPr>
          <w:color w:val="000000"/>
        </w:rPr>
        <w:t>ivvotati</w:t>
      </w:r>
      <w:proofErr w:type="spellEnd"/>
      <w:r w:rsidRPr="007518AF">
        <w:rPr>
          <w:color w:val="000000"/>
        </w:rPr>
        <w:t xml:space="preserve"> mill-Plenarja għandhom jiġu implimentati bħala kwistjoni ta’ prijorità għolja;</w:t>
      </w:r>
    </w:p>
    <w:p w14:paraId="544C3596" w14:textId="2AD85869" w:rsidR="00A76CFF" w:rsidRPr="007518AF" w:rsidRDefault="00A76CFF" w:rsidP="00A76CFF">
      <w:pPr>
        <w:spacing w:after="240"/>
        <w:ind w:left="567" w:hanging="567"/>
      </w:pPr>
      <w:r w:rsidRPr="007518AF">
        <w:t>3</w:t>
      </w:r>
      <w:r w:rsidR="00DA1715">
        <w:t>6</w:t>
      </w:r>
      <w:r w:rsidRPr="007518AF">
        <w:t>.</w:t>
      </w:r>
      <w:r w:rsidRPr="007518AF">
        <w:tab/>
        <w:t>Jadotta l-estimi għas-sena finanzjarja 2027;</w:t>
      </w:r>
    </w:p>
    <w:p w14:paraId="0AB09124" w14:textId="48C477A8" w:rsidR="00A76CFF" w:rsidRPr="007518AF" w:rsidRDefault="00A76CFF" w:rsidP="00A76CFF">
      <w:pPr>
        <w:spacing w:after="240"/>
        <w:ind w:left="567" w:hanging="567"/>
        <w:jc w:val="both"/>
      </w:pPr>
      <w:r w:rsidRPr="007518AF">
        <w:t>3</w:t>
      </w:r>
      <w:r w:rsidR="00DA1715">
        <w:t>7</w:t>
      </w:r>
      <w:r w:rsidRPr="007518AF">
        <w:t>.</w:t>
      </w:r>
      <w:r w:rsidRPr="007518AF">
        <w:tab/>
        <w:t>Jagħti istruzzjonijiet lill-President tiegħu sabiex tgħaddi din ir-riżoluzzjoni u l-estimi lill-Kunsill u lill-Kummissjoni.</w:t>
      </w:r>
    </w:p>
    <w:sectPr w:rsidR="00A76CFF" w:rsidRPr="007518AF" w:rsidSect="00A402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03C17" w14:textId="77777777" w:rsidR="00CD174A" w:rsidRPr="007518AF" w:rsidRDefault="00CD174A">
      <w:r w:rsidRPr="007518AF">
        <w:separator/>
      </w:r>
    </w:p>
  </w:endnote>
  <w:endnote w:type="continuationSeparator" w:id="0">
    <w:p w14:paraId="2187CED2" w14:textId="77777777" w:rsidR="00CD174A" w:rsidRPr="007518AF" w:rsidRDefault="00CD174A">
      <w:r w:rsidRPr="007518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BE10" w14:textId="77777777" w:rsidR="00064002" w:rsidRPr="007518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3393B" w14:textId="77777777" w:rsidR="00064002" w:rsidRPr="007518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594E" w14:textId="77777777" w:rsidR="00064002" w:rsidRPr="007518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6D6A" w14:textId="77777777" w:rsidR="00CD174A" w:rsidRPr="007518AF" w:rsidRDefault="00CD174A">
      <w:r w:rsidRPr="007518AF">
        <w:separator/>
      </w:r>
    </w:p>
  </w:footnote>
  <w:footnote w:type="continuationSeparator" w:id="0">
    <w:p w14:paraId="486954A5" w14:textId="77777777" w:rsidR="00CD174A" w:rsidRPr="007518AF" w:rsidRDefault="00CD174A">
      <w:r w:rsidRPr="007518AF">
        <w:continuationSeparator/>
      </w:r>
    </w:p>
  </w:footnote>
  <w:footnote w:id="1">
    <w:p w14:paraId="19A24F85" w14:textId="35B894E7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L, 2024/2509, 26.9.2024, ELI:</w:t>
      </w:r>
      <w:r w:rsidRPr="007518AF">
        <w:rPr>
          <w:color w:val="000000"/>
        </w:rPr>
        <w:t xml:space="preserve"> </w:t>
      </w:r>
      <w:hyperlink r:id="rId1" w:history="1">
        <w:r w:rsidRPr="007518AF">
          <w:rPr>
            <w:rStyle w:val="Hyperlink"/>
          </w:rPr>
          <w:t>http://data.europa.eu/eli/reg/2024/2509/oj</w:t>
        </w:r>
      </w:hyperlink>
      <w:r w:rsidRPr="007518AF">
        <w:t>.</w:t>
      </w:r>
    </w:p>
  </w:footnote>
  <w:footnote w:id="2">
    <w:p w14:paraId="02D15339" w14:textId="7F72E4FD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L 433</w:t>
      </w:r>
      <w:r w:rsidR="00041CF8">
        <w:t xml:space="preserve"> I</w:t>
      </w:r>
      <w:r w:rsidRPr="007518AF">
        <w:t>, 22.12.2020, p. 11, ELI:</w:t>
      </w:r>
      <w:r w:rsidRPr="007518AF">
        <w:rPr>
          <w:color w:val="000000"/>
        </w:rPr>
        <w:t xml:space="preserve"> </w:t>
      </w:r>
      <w:hyperlink r:id="rId2" w:history="1">
        <w:r w:rsidRPr="007518AF">
          <w:rPr>
            <w:rStyle w:val="Hyperlink"/>
          </w:rPr>
          <w:t>http://data.europa.eu/eli/reg/2020/2093/oj</w:t>
        </w:r>
      </w:hyperlink>
      <w:r w:rsidRPr="007518AF">
        <w:rPr>
          <w:color w:val="000000"/>
        </w:rPr>
        <w:t>.</w:t>
      </w:r>
    </w:p>
  </w:footnote>
  <w:footnote w:id="3">
    <w:p w14:paraId="33726423" w14:textId="6163D788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C 444 I, 22.12.2020, p. 4.</w:t>
      </w:r>
    </w:p>
  </w:footnote>
  <w:footnote w:id="4">
    <w:p w14:paraId="46784F8F" w14:textId="7B8DBA9B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C 445, 29.10.2021, p. 252.</w:t>
      </w:r>
    </w:p>
  </w:footnote>
  <w:footnote w:id="5">
    <w:p w14:paraId="1090FE50" w14:textId="62E7A3F9" w:rsidR="00A76CFF" w:rsidRPr="007518AF" w:rsidRDefault="00A76CFF" w:rsidP="007518AF">
      <w:pPr>
        <w:ind w:left="567" w:hanging="567"/>
      </w:pPr>
      <w:r w:rsidRPr="007518AF">
        <w:rPr>
          <w:rStyle w:val="FootnoteReference"/>
          <w:rFonts w:eastAsiaTheme="majorEastAsia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 xml:space="preserve">ĠU L 325, 20.12.2022, p. 11, ELI: </w:t>
      </w:r>
      <w:hyperlink r:id="rId3" w:history="1">
        <w:r w:rsidRPr="007518AF">
          <w:rPr>
            <w:rStyle w:val="Hyperlink"/>
          </w:rPr>
          <w:t>http://data.europa.eu/eli/reg/2022/2496/oj</w:t>
        </w:r>
      </w:hyperlink>
      <w:r w:rsidRPr="007518AF">
        <w:t>.</w:t>
      </w:r>
    </w:p>
  </w:footnote>
  <w:footnote w:id="6">
    <w:p w14:paraId="257902FA" w14:textId="4B169B68" w:rsidR="00A76CFF" w:rsidRPr="007518AF" w:rsidRDefault="00A76CFF" w:rsidP="007518AF">
      <w:pPr>
        <w:ind w:left="567" w:hanging="567"/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 xml:space="preserve">ĠU L, 2024/765, 29.2.2024, ELI: </w:t>
      </w:r>
      <w:hyperlink r:id="rId4" w:history="1">
        <w:r w:rsidRPr="007518AF">
          <w:rPr>
            <w:rStyle w:val="Hyperlink"/>
          </w:rPr>
          <w:t>http://data.europa.eu/eli/reg/2024/765/oj</w:t>
        </w:r>
      </w:hyperlink>
      <w:r w:rsidRPr="007518AF">
        <w:t>.</w:t>
      </w:r>
    </w:p>
  </w:footnote>
  <w:footnote w:id="7">
    <w:p w14:paraId="2E740857" w14:textId="0A79346D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L 433</w:t>
      </w:r>
      <w:r w:rsidR="00041CF8">
        <w:t xml:space="preserve"> I</w:t>
      </w:r>
      <w:r w:rsidRPr="007518AF">
        <w:t>, 22.12.2020, p. 28, ELI:</w:t>
      </w:r>
      <w:r w:rsidRPr="007518AF">
        <w:rPr>
          <w:color w:val="000000"/>
        </w:rPr>
        <w:t xml:space="preserve"> </w:t>
      </w:r>
      <w:hyperlink r:id="rId5" w:history="1">
        <w:r w:rsidRPr="007518AF">
          <w:rPr>
            <w:rStyle w:val="Hyperlink"/>
          </w:rPr>
          <w:t>http://data.europa.eu/eli/agree_interinstit/2020/1222/oj</w:t>
        </w:r>
      </w:hyperlink>
      <w:r w:rsidRPr="007518AF">
        <w:rPr>
          <w:color w:val="000000"/>
        </w:rPr>
        <w:t>.</w:t>
      </w:r>
    </w:p>
  </w:footnote>
  <w:footnote w:id="8">
    <w:p w14:paraId="3470AB14" w14:textId="6E27AA30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C 445, 29.10.2021, p. 240.</w:t>
      </w:r>
    </w:p>
  </w:footnote>
  <w:footnote w:id="9">
    <w:p w14:paraId="615FDDF4" w14:textId="0A0C077D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C 177, 17.5.2023, p. 115.</w:t>
      </w:r>
    </w:p>
  </w:footnote>
  <w:footnote w:id="10">
    <w:p w14:paraId="35D2C29E" w14:textId="66DCDE16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C, C/2024/1195, 23.2.2024, ELI:</w:t>
      </w:r>
      <w:r w:rsidRPr="007518AF">
        <w:rPr>
          <w:color w:val="000000"/>
        </w:rPr>
        <w:t xml:space="preserve"> </w:t>
      </w:r>
      <w:hyperlink r:id="rId6" w:history="1">
        <w:r w:rsidRPr="007518AF">
          <w:rPr>
            <w:rStyle w:val="Hyperlink"/>
          </w:rPr>
          <w:t>http://data.europa.eu/eli/C/2024/1195/oj</w:t>
        </w:r>
      </w:hyperlink>
      <w:r w:rsidRPr="007518AF">
        <w:rPr>
          <w:color w:val="000000"/>
        </w:rPr>
        <w:t>.</w:t>
      </w:r>
    </w:p>
  </w:footnote>
  <w:footnote w:id="11">
    <w:p w14:paraId="7180ED3B" w14:textId="4660180E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C, C/2024/6751, 26.11.2024, ELI:</w:t>
      </w:r>
      <w:r w:rsidRPr="007518AF">
        <w:rPr>
          <w:color w:val="000000"/>
        </w:rPr>
        <w:t xml:space="preserve"> </w:t>
      </w:r>
      <w:hyperlink r:id="rId7" w:history="1">
        <w:r w:rsidRPr="007518AF">
          <w:rPr>
            <w:rStyle w:val="Hyperlink"/>
          </w:rPr>
          <w:t>http://data.europa.eu/eli/C/2024/6751/oj</w:t>
        </w:r>
      </w:hyperlink>
      <w:r w:rsidRPr="007518AF">
        <w:rPr>
          <w:color w:val="000000"/>
        </w:rPr>
        <w:t>.</w:t>
      </w:r>
    </w:p>
  </w:footnote>
  <w:footnote w:id="12">
    <w:p w14:paraId="7A19D55C" w14:textId="445BB039" w:rsidR="00A76CFF" w:rsidRPr="007518AF" w:rsidRDefault="00A76CFF" w:rsidP="007518AF">
      <w:pPr>
        <w:ind w:left="567" w:hanging="567"/>
        <w:rPr>
          <w:color w:val="000000"/>
        </w:rPr>
      </w:pPr>
      <w:r w:rsidRPr="007518AF">
        <w:rPr>
          <w:rStyle w:val="FootnoteReference"/>
        </w:rPr>
        <w:footnoteRef/>
      </w:r>
      <w:r w:rsidR="007518AF" w:rsidRPr="007518AF">
        <w:t xml:space="preserve"> </w:t>
      </w:r>
      <w:r w:rsidR="007518AF" w:rsidRPr="007518AF">
        <w:tab/>
      </w:r>
      <w:r w:rsidRPr="007518AF">
        <w:t>ĠU L, 2026/72, 26.2.2026, ELI:</w:t>
      </w:r>
      <w:r w:rsidRPr="007518AF">
        <w:rPr>
          <w:color w:val="000000"/>
        </w:rPr>
        <w:t xml:space="preserve"> </w:t>
      </w:r>
      <w:hyperlink r:id="rId8" w:history="1">
        <w:r w:rsidRPr="007518AF">
          <w:rPr>
            <w:rStyle w:val="Hyperlink"/>
          </w:rPr>
          <w:t>http://data.europa.eu/eli/budget/2026/72/oj</w:t>
        </w:r>
      </w:hyperlink>
      <w:r w:rsidRPr="007518AF">
        <w:rPr>
          <w:color w:val="000000"/>
        </w:rPr>
        <w:t xml:space="preserve">. </w:t>
      </w:r>
    </w:p>
  </w:footnote>
  <w:footnote w:id="13">
    <w:p w14:paraId="4C1B1E09" w14:textId="26868954" w:rsidR="00A76CFF" w:rsidRPr="007518AF" w:rsidRDefault="00A76CFF" w:rsidP="007518AF">
      <w:pPr>
        <w:pStyle w:val="FootnoteText"/>
        <w:ind w:left="567" w:hanging="567"/>
        <w:rPr>
          <w:sz w:val="24"/>
          <w:lang w:val="mt-MT"/>
        </w:rPr>
      </w:pPr>
      <w:r w:rsidRPr="007518AF">
        <w:rPr>
          <w:rStyle w:val="FootnoteReference"/>
          <w:sz w:val="24"/>
          <w:lang w:val="mt-MT"/>
        </w:rPr>
        <w:footnoteRef/>
      </w:r>
      <w:r w:rsidR="007518AF" w:rsidRPr="007518AF">
        <w:rPr>
          <w:sz w:val="24"/>
          <w:lang w:val="mt-MT"/>
        </w:rPr>
        <w:t xml:space="preserve"> </w:t>
      </w:r>
      <w:r w:rsidR="007518AF" w:rsidRPr="007518AF">
        <w:rPr>
          <w:sz w:val="24"/>
          <w:lang w:val="mt-MT"/>
        </w:rPr>
        <w:tab/>
      </w:r>
      <w:r w:rsidRPr="007518AF">
        <w:rPr>
          <w:sz w:val="24"/>
          <w:lang w:val="mt-MT"/>
        </w:rPr>
        <w:t xml:space="preserve">Sentenza tal-Qorti </w:t>
      </w:r>
      <w:r w:rsidR="00E92DA0">
        <w:rPr>
          <w:sz w:val="24"/>
          <w:lang w:val="mt-MT"/>
        </w:rPr>
        <w:t>Ġenerali</w:t>
      </w:r>
      <w:r w:rsidRPr="007518AF">
        <w:rPr>
          <w:sz w:val="24"/>
          <w:lang w:val="mt-MT"/>
        </w:rPr>
        <w:t xml:space="preserve"> tas-17 ta' Diċembru 2025,  </w:t>
      </w:r>
      <w:r w:rsidRPr="007518AF">
        <w:rPr>
          <w:i/>
          <w:sz w:val="24"/>
          <w:lang w:val="mt-MT"/>
        </w:rPr>
        <w:t>FE</w:t>
      </w:r>
      <w:r w:rsidRPr="007518AF">
        <w:rPr>
          <w:sz w:val="24"/>
          <w:lang w:val="mt-MT"/>
        </w:rPr>
        <w:t> </w:t>
      </w:r>
      <w:proofErr w:type="spellStart"/>
      <w:r w:rsidRPr="007518AF">
        <w:rPr>
          <w:sz w:val="24"/>
          <w:lang w:val="mt-MT"/>
        </w:rPr>
        <w:t>vs</w:t>
      </w:r>
      <w:proofErr w:type="spellEnd"/>
      <w:r w:rsidRPr="007518AF">
        <w:rPr>
          <w:sz w:val="24"/>
          <w:lang w:val="mt-MT"/>
        </w:rPr>
        <w:t xml:space="preserve"> </w:t>
      </w:r>
      <w:r w:rsidRPr="004012EE">
        <w:rPr>
          <w:i/>
          <w:iCs/>
          <w:sz w:val="24"/>
          <w:lang w:val="mt-MT"/>
        </w:rPr>
        <w:t>Il-Parlament</w:t>
      </w:r>
      <w:r w:rsidRPr="007518AF">
        <w:rPr>
          <w:sz w:val="24"/>
          <w:lang w:val="mt-MT"/>
        </w:rPr>
        <w:t>, T</w:t>
      </w:r>
      <w:r w:rsidRPr="007518AF">
        <w:rPr>
          <w:sz w:val="24"/>
          <w:lang w:val="mt-MT"/>
        </w:rPr>
        <w:noBreakHyphen/>
        <w:t>483/24, ECLI:EU:T:2015:1121.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7D9A0" w14:textId="77777777" w:rsidR="00064002" w:rsidRPr="007518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B617" w14:textId="77777777" w:rsidR="00064002" w:rsidRPr="007518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9B4B" w14:textId="77777777" w:rsidR="00064002" w:rsidRPr="007518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3E8"/>
    <w:multiLevelType w:val="multilevel"/>
    <w:tmpl w:val="3B9ACA00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700"/>
        </w:tabs>
        <w:ind w:left="1700" w:hanging="1700"/>
      </w:pPr>
    </w:lvl>
    <w:lvl w:ilvl="5">
      <w:start w:val="1"/>
      <w:numFmt w:val="decimal"/>
      <w:lvlText w:val="%1.%2.%3.%4.%5.%6."/>
      <w:lvlJc w:val="left"/>
      <w:pPr>
        <w:tabs>
          <w:tab w:val="num" w:pos="1700"/>
        </w:tabs>
        <w:ind w:left="1700" w:hanging="1700"/>
      </w:pPr>
    </w:lvl>
    <w:lvl w:ilvl="6">
      <w:start w:val="1"/>
      <w:numFmt w:val="decimal"/>
      <w:lvlText w:val="%1.%2.%3.%4.%5.%6.%7."/>
      <w:lvlJc w:val="left"/>
      <w:pPr>
        <w:tabs>
          <w:tab w:val="num" w:pos="1700"/>
        </w:tabs>
        <w:ind w:left="1700" w:hanging="1700"/>
      </w:pPr>
    </w:lvl>
    <w:lvl w:ilvl="7">
      <w:start w:val="1"/>
      <w:numFmt w:val="decimal"/>
      <w:lvlText w:val="%1.%2.%3.%4.%5.%6.%7.%8."/>
      <w:lvlJc w:val="left"/>
      <w:pPr>
        <w:tabs>
          <w:tab w:val="num" w:pos="1700"/>
        </w:tabs>
        <w:ind w:left="1700" w:hanging="1700"/>
      </w:pPr>
    </w:lvl>
    <w:lvl w:ilvl="8">
      <w:start w:val="1"/>
      <w:numFmt w:val="decimal"/>
      <w:lvlText w:val="%1.%2.%3.%4.%5.%6.%7.%8.%9."/>
      <w:lvlJc w:val="left"/>
      <w:pPr>
        <w:tabs>
          <w:tab w:val="num" w:pos="1700"/>
        </w:tabs>
        <w:ind w:left="1700" w:hanging="1700"/>
      </w:pPr>
    </w:lvl>
  </w:abstractNum>
  <w:abstractNum w:abstractNumId="1" w15:restartNumberingAfterBreak="0">
    <w:nsid w:val="000003F2"/>
    <w:multiLevelType w:val="singleLevel"/>
    <w:tmpl w:val="4190AB00"/>
    <w:name w:val="Tiret 0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" w15:restartNumberingAfterBreak="0">
    <w:nsid w:val="000003F3"/>
    <w:multiLevelType w:val="singleLevel"/>
    <w:tmpl w:val="4190AB01"/>
    <w:name w:val="Tiret 1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3F4"/>
    <w:multiLevelType w:val="singleLevel"/>
    <w:tmpl w:val="4190AB02"/>
    <w:name w:val="Tiret 2"/>
    <w:lvl w:ilvl="0">
      <w:start w:val="1"/>
      <w:numFmt w:val="bullet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" w15:restartNumberingAfterBreak="0">
    <w:nsid w:val="000003F5"/>
    <w:multiLevelType w:val="singleLevel"/>
    <w:tmpl w:val="4190AB03"/>
    <w:name w:val="Tiret 3"/>
    <w:lvl w:ilvl="0">
      <w:start w:val="1"/>
      <w:numFmt w:val="bullet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000003F6"/>
    <w:multiLevelType w:val="singleLevel"/>
    <w:tmpl w:val="4190AB04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2413093">
    <w:abstractNumId w:val="6"/>
  </w:num>
  <w:num w:numId="2" w16cid:durableId="38325457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6"/>
    <w:docVar w:name="dvlangue" w:val="MT"/>
    <w:docVar w:name="dvnumam" w:val="0"/>
    <w:docVar w:name="dvpe" w:val="785.303"/>
    <w:docVar w:name="dvrapporteur" w:val="Rapporteur: "/>
    <w:docVar w:name="dvtitre" w:val="Riżoluzzjoni tal-Parlament Ewropew xx xx xxxx 2026 dwar l-estimi tad-dħul u tal-infiq tal-Parlament Ewropew għas-sena finanzjarja 2027(2025/2247(BUI))"/>
  </w:docVars>
  <w:rsids>
    <w:rsidRoot w:val="00CD174A"/>
    <w:rsid w:val="00002272"/>
    <w:rsid w:val="00026A49"/>
    <w:rsid w:val="000307FF"/>
    <w:rsid w:val="00041CF8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F32AE"/>
    <w:rsid w:val="002573A0"/>
    <w:rsid w:val="002767FF"/>
    <w:rsid w:val="002B18FE"/>
    <w:rsid w:val="002B5493"/>
    <w:rsid w:val="002D1538"/>
    <w:rsid w:val="00343214"/>
    <w:rsid w:val="00361C00"/>
    <w:rsid w:val="00395FA1"/>
    <w:rsid w:val="003E15D4"/>
    <w:rsid w:val="004012EE"/>
    <w:rsid w:val="00411CCE"/>
    <w:rsid w:val="0041666E"/>
    <w:rsid w:val="00421060"/>
    <w:rsid w:val="004378F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D35"/>
    <w:rsid w:val="005F1B17"/>
    <w:rsid w:val="006037C0"/>
    <w:rsid w:val="006631B6"/>
    <w:rsid w:val="00677717"/>
    <w:rsid w:val="00680577"/>
    <w:rsid w:val="006F74FA"/>
    <w:rsid w:val="00731ADD"/>
    <w:rsid w:val="00734777"/>
    <w:rsid w:val="00747932"/>
    <w:rsid w:val="007518AF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FE4"/>
    <w:rsid w:val="009509D8"/>
    <w:rsid w:val="00950B64"/>
    <w:rsid w:val="00965CC0"/>
    <w:rsid w:val="00981893"/>
    <w:rsid w:val="00A1687D"/>
    <w:rsid w:val="00A4021B"/>
    <w:rsid w:val="00A43E52"/>
    <w:rsid w:val="00A4678D"/>
    <w:rsid w:val="00A76CFF"/>
    <w:rsid w:val="00A778C7"/>
    <w:rsid w:val="00AB28C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74A"/>
    <w:rsid w:val="00CF071A"/>
    <w:rsid w:val="00D058B8"/>
    <w:rsid w:val="00D56C11"/>
    <w:rsid w:val="00D834A0"/>
    <w:rsid w:val="00D872DF"/>
    <w:rsid w:val="00D91E21"/>
    <w:rsid w:val="00DA1715"/>
    <w:rsid w:val="00DA2554"/>
    <w:rsid w:val="00DA7FCD"/>
    <w:rsid w:val="00E365E1"/>
    <w:rsid w:val="00E820A4"/>
    <w:rsid w:val="00E92DA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86A26"/>
  <w15:chartTrackingRefBased/>
  <w15:docId w15:val="{996F001F-670A-4635-B470-8B5A59EC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R,FR1,FR2,FR3,Footnote,Footnote Reference Number,Footnote number,Footnote reference number,Footnote symbol,Footnotemark,Footnotemark1,Footnotemark2,Footnotemark3,Footnotemark4,Times 10 Point,Voetnootverwijzing,fr,o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76CF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9"/>
    <w:rsid w:val="00A76CF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9"/>
    <w:rsid w:val="00A76CF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9"/>
    <w:rsid w:val="00A76CF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9"/>
    <w:rsid w:val="00A76CF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9"/>
    <w:rsid w:val="00A76CF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9"/>
    <w:rsid w:val="00A76CF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9"/>
    <w:rsid w:val="00A76CF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9"/>
    <w:rsid w:val="00A76CF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A76CF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6C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A76CFF"/>
    <w:pPr>
      <w:spacing w:after="240"/>
    </w:pPr>
  </w:style>
  <w:style w:type="paragraph" w:customStyle="1" w:styleId="TOCPage">
    <w:name w:val="TOC Page"/>
    <w:basedOn w:val="Normal"/>
    <w:next w:val="TOC1"/>
    <w:rsid w:val="00A76CF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76C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6CFF"/>
    <w:rPr>
      <w:b/>
    </w:rPr>
  </w:style>
  <w:style w:type="paragraph" w:customStyle="1" w:styleId="NormalHanging12a">
    <w:name w:val="NormalHanging12a"/>
    <w:basedOn w:val="Normal"/>
    <w:rsid w:val="00A76CF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6CFF"/>
    <w:pPr>
      <w:spacing w:after="480"/>
      <w:ind w:left="1417"/>
    </w:pPr>
  </w:style>
  <w:style w:type="paragraph" w:customStyle="1" w:styleId="CoverNormal">
    <w:name w:val="CoverNormal"/>
    <w:basedOn w:val="Normal"/>
    <w:rsid w:val="00A76CFF"/>
    <w:pPr>
      <w:ind w:left="1418"/>
    </w:pPr>
  </w:style>
  <w:style w:type="paragraph" w:customStyle="1" w:styleId="CoverReference">
    <w:name w:val="CoverReference"/>
    <w:basedOn w:val="Normal"/>
    <w:rsid w:val="00A76CFF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A76CF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6CFF"/>
    <w:pPr>
      <w:spacing w:before="240" w:after="1200"/>
    </w:pPr>
  </w:style>
  <w:style w:type="paragraph" w:customStyle="1" w:styleId="EPBody">
    <w:name w:val="EPBody"/>
    <w:basedOn w:val="Normal"/>
    <w:rsid w:val="00A76CF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6C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A76C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CFF"/>
    <w:rPr>
      <w:sz w:val="24"/>
      <w:lang w:val="mt-MT"/>
    </w:rPr>
  </w:style>
  <w:style w:type="paragraph" w:customStyle="1" w:styleId="EPComma">
    <w:name w:val="EPComma"/>
    <w:basedOn w:val="Normal"/>
    <w:rsid w:val="00A76CFF"/>
    <w:pPr>
      <w:spacing w:before="480" w:after="240"/>
    </w:pPr>
  </w:style>
  <w:style w:type="character" w:styleId="Hyperlink">
    <w:name w:val="Hyperlink"/>
    <w:basedOn w:val="DefaultParagraphFont"/>
    <w:uiPriority w:val="99"/>
    <w:rsid w:val="00A76C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CFF"/>
    <w:rPr>
      <w:color w:val="605E5C"/>
      <w:shd w:val="clear" w:color="auto" w:fill="E1DFDD"/>
    </w:rPr>
  </w:style>
  <w:style w:type="paragraph" w:customStyle="1" w:styleId="Action">
    <w:name w:val="Action"/>
    <w:basedOn w:val="Normal"/>
    <w:rsid w:val="00A76CFF"/>
    <w:pPr>
      <w:tabs>
        <w:tab w:val="left" w:pos="357"/>
      </w:tabs>
      <w:spacing w:after="240"/>
      <w:ind w:left="357" w:hanging="357"/>
    </w:pPr>
    <w:rPr>
      <w:lang w:eastAsia="en-US"/>
    </w:rPr>
  </w:style>
  <w:style w:type="paragraph" w:customStyle="1" w:styleId="action0">
    <w:name w:val="action"/>
    <w:basedOn w:val="Normal"/>
    <w:rsid w:val="00A76CFF"/>
    <w:pPr>
      <w:widowControl/>
      <w:spacing w:after="240"/>
      <w:ind w:left="357" w:hanging="357"/>
    </w:pPr>
    <w:rPr>
      <w:rFonts w:eastAsiaTheme="minorHAnsi"/>
      <w:szCs w:val="24"/>
    </w:rPr>
  </w:style>
  <w:style w:type="paragraph" w:customStyle="1" w:styleId="Institutionquiagit">
    <w:name w:val="Institution qui agit"/>
    <w:basedOn w:val="Normal"/>
    <w:next w:val="Normal"/>
    <w:rsid w:val="00A76CFF"/>
    <w:pPr>
      <w:keepNext/>
      <w:snapToGrid w:val="0"/>
      <w:spacing w:after="240"/>
    </w:pPr>
    <w:rPr>
      <w:i/>
      <w:lang w:eastAsia="en-US"/>
    </w:rPr>
  </w:style>
  <w:style w:type="paragraph" w:customStyle="1" w:styleId="FootnoteReference1">
    <w:name w:val="Footnote Reference1"/>
    <w:basedOn w:val="Normal"/>
    <w:link w:val="FootnoteReference"/>
    <w:rsid w:val="00A76CFF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A76CFF"/>
    <w:rPr>
      <w:sz w:val="24"/>
      <w:lang w:val="mt-MT"/>
    </w:rPr>
  </w:style>
  <w:style w:type="paragraph" w:styleId="Footer">
    <w:name w:val="footer"/>
    <w:basedOn w:val="Normal"/>
    <w:link w:val="FooterChar"/>
    <w:uiPriority w:val="99"/>
    <w:rsid w:val="00A76C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CFF"/>
    <w:rPr>
      <w:sz w:val="24"/>
      <w:lang w:val="mt-MT"/>
    </w:rPr>
  </w:style>
  <w:style w:type="character" w:styleId="CommentReference">
    <w:name w:val="annotation reference"/>
    <w:basedOn w:val="DefaultParagraphFont"/>
    <w:uiPriority w:val="99"/>
    <w:rsid w:val="00A76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76CF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6CF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76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76CFF"/>
    <w:rPr>
      <w:b/>
      <w:bCs/>
      <w:lang w:val="mt-MT"/>
    </w:rPr>
  </w:style>
  <w:style w:type="paragraph" w:styleId="ListParagraph">
    <w:name w:val="List Paragraph"/>
    <w:basedOn w:val="Normal"/>
    <w:uiPriority w:val="34"/>
    <w:qFormat/>
    <w:rsid w:val="00A76CFF"/>
    <w:pPr>
      <w:ind w:left="720"/>
      <w:contextualSpacing/>
    </w:pPr>
  </w:style>
  <w:style w:type="paragraph" w:customStyle="1" w:styleId="Normal24a">
    <w:name w:val="Normal24a"/>
    <w:basedOn w:val="Normal"/>
    <w:rsid w:val="00A76CFF"/>
    <w:pPr>
      <w:spacing w:after="480"/>
    </w:pPr>
  </w:style>
  <w:style w:type="paragraph" w:customStyle="1" w:styleId="NormalBoldCenter">
    <w:name w:val="NormalBoldCenter"/>
    <w:basedOn w:val="Normal"/>
    <w:rsid w:val="00A76CFF"/>
    <w:pPr>
      <w:jc w:val="center"/>
    </w:pPr>
    <w:rPr>
      <w:b/>
    </w:rPr>
  </w:style>
  <w:style w:type="paragraph" w:customStyle="1" w:styleId="Footprint12b">
    <w:name w:val="Footprint12b"/>
    <w:basedOn w:val="Normal"/>
    <w:rsid w:val="00A76CF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76CFF"/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76CF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76CFF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CF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76CFF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A76CFF"/>
    <w:rPr>
      <w:b/>
      <w:bCs/>
    </w:rPr>
  </w:style>
  <w:style w:type="character" w:styleId="Emphasis">
    <w:name w:val="Emphasis"/>
    <w:basedOn w:val="DefaultParagraphFont"/>
    <w:uiPriority w:val="20"/>
    <w:qFormat/>
    <w:rsid w:val="00A76CF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76CFF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76CFF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6CFF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CFF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CFF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A76CF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76CF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76CF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76CF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76CFF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A76CFF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A76CFF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A76CFF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A76CFF"/>
    <w:pPr>
      <w:shd w:val="clear" w:color="auto" w:fill="C0C0C0"/>
      <w:spacing w:before="60" w:after="60"/>
    </w:pPr>
    <w:rPr>
      <w:rFonts w:eastAsiaTheme="minorEastAsia"/>
      <w:lang w:val="mt-MT"/>
    </w:rPr>
  </w:style>
  <w:style w:type="paragraph" w:customStyle="1" w:styleId="Section">
    <w:name w:val="Section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A76CFF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A76CFF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A76CFF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A76CFF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A76CFF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A76CFF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A76CFF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A76CFF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A76CFF"/>
  </w:style>
  <w:style w:type="character" w:customStyle="1" w:styleId="tw4winInternal">
    <w:name w:val="tw4winInternal"/>
    <w:basedOn w:val="DefaultParagraphFont"/>
    <w:uiPriority w:val="99"/>
    <w:rsid w:val="00A76CFF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A76CFF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A76CFF"/>
    <w:rPr>
      <w:shd w:val="clear" w:color="auto" w:fill="FF0000"/>
    </w:rPr>
  </w:style>
  <w:style w:type="paragraph" w:styleId="BalloonText">
    <w:name w:val="Balloon Text"/>
    <w:basedOn w:val="Normal"/>
    <w:link w:val="BalloonTextChar"/>
    <w:uiPriority w:val="99"/>
    <w:unhideWhenUsed/>
    <w:rsid w:val="00A76CFF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6CFF"/>
    <w:rPr>
      <w:rFonts w:ascii="Segoe UI" w:eastAsiaTheme="minorHAnsi" w:hAnsi="Segoe UI" w:cs="Segoe UI"/>
      <w:sz w:val="18"/>
      <w:szCs w:val="18"/>
      <w:lang w:val="mt-MT" w:eastAsia="en-US"/>
    </w:rPr>
  </w:style>
  <w:style w:type="numbering" w:customStyle="1" w:styleId="NoList1">
    <w:name w:val="No List1"/>
    <w:next w:val="NoList"/>
    <w:uiPriority w:val="99"/>
    <w:semiHidden/>
    <w:unhideWhenUsed/>
    <w:rsid w:val="00A76CFF"/>
  </w:style>
  <w:style w:type="numbering" w:customStyle="1" w:styleId="NoList2">
    <w:name w:val="No List2"/>
    <w:next w:val="NoList"/>
    <w:uiPriority w:val="99"/>
    <w:semiHidden/>
    <w:unhideWhenUsed/>
    <w:rsid w:val="00A76CFF"/>
  </w:style>
  <w:style w:type="paragraph" w:customStyle="1" w:styleId="RollCallVotes">
    <w:name w:val="RollCallVotes"/>
    <w:basedOn w:val="Normal"/>
    <w:rsid w:val="00A76CF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6CF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6CF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6CFF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budget/2026/72/oj" TargetMode="External"/><Relationship Id="rId3" Type="http://schemas.openxmlformats.org/officeDocument/2006/relationships/hyperlink" Target="http://data.europa.eu/eli/reg/2022/2496/oj" TargetMode="External"/><Relationship Id="rId7" Type="http://schemas.openxmlformats.org/officeDocument/2006/relationships/hyperlink" Target="http://data.europa.eu/eli/C/2024/6751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C/2024/1195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3475</Words>
  <Characters>25253</Characters>
  <Application>Microsoft Office Word</Application>
  <DocSecurity>0</DocSecurity>
  <Lines>210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2026-07-07T09:18:00Z</dcterms:created>
  <dcterms:modified xsi:type="dcterms:W3CDTF">2026-07-07T09:18:00Z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P10_TA(2026)0155_</vt:lpwstr>
  </property>
  <property fmtid="{D5CDD505-2E9C-101B-9397-08002B2CF9AE}" pid="4" name="&lt;Type&gt;">
    <vt:lpwstr>RR</vt:lpwstr>
  </property>
</Properties>
</file>