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3070D" w14:paraId="7592325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2C44D92" w14:textId="69A810F9" w:rsidR="00751A4A" w:rsidRPr="0003070D" w:rsidRDefault="00DD7528" w:rsidP="0010095E">
            <w:pPr>
              <w:pStyle w:val="EPName"/>
            </w:pPr>
            <w:r w:rsidRPr="0003070D">
              <w:t>Parlament Europejski</w:t>
            </w:r>
          </w:p>
          <w:p w14:paraId="0FE0A858" w14:textId="77777777" w:rsidR="00751A4A" w:rsidRPr="0003070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3070D">
              <w:t>2024</w:t>
            </w:r>
            <w:r w:rsidR="00817416" w:rsidRPr="0003070D">
              <w:t>-202</w:t>
            </w:r>
            <w:r w:rsidRPr="0003070D">
              <w:t>9</w:t>
            </w:r>
          </w:p>
        </w:tc>
        <w:tc>
          <w:tcPr>
            <w:tcW w:w="2268" w:type="dxa"/>
            <w:shd w:val="clear" w:color="auto" w:fill="auto"/>
          </w:tcPr>
          <w:p w14:paraId="38A6E454" w14:textId="77777777" w:rsidR="00751A4A" w:rsidRPr="0003070D" w:rsidRDefault="00187494" w:rsidP="0010095E">
            <w:pPr>
              <w:pStyle w:val="EPLogo"/>
            </w:pPr>
            <w:r w:rsidRPr="0003070D">
              <w:rPr>
                <w:noProof/>
                <w:lang w:eastAsia="ja-JP"/>
              </w:rPr>
              <w:drawing>
                <wp:inline distT="0" distB="0" distL="0" distR="0" wp14:anchorId="25204A4F" wp14:editId="62CF91F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A347C6" w14:textId="77777777" w:rsidR="00D058B8" w:rsidRPr="0003070D" w:rsidRDefault="00D058B8" w:rsidP="004C5D52">
      <w:pPr>
        <w:pStyle w:val="LineTop"/>
      </w:pPr>
    </w:p>
    <w:p w14:paraId="070521B8" w14:textId="6B9EF5BF" w:rsidR="00680577" w:rsidRPr="0003070D" w:rsidRDefault="00DD7528" w:rsidP="00680577">
      <w:pPr>
        <w:pStyle w:val="EPBodyTA1"/>
      </w:pPr>
      <w:r w:rsidRPr="0003070D">
        <w:t>TEKSTY PRZYJĘTE</w:t>
      </w:r>
    </w:p>
    <w:p w14:paraId="6AEB3874" w14:textId="77777777" w:rsidR="00D058B8" w:rsidRPr="0003070D" w:rsidRDefault="00D058B8" w:rsidP="00D058B8">
      <w:pPr>
        <w:pStyle w:val="LineBottom"/>
      </w:pPr>
    </w:p>
    <w:p w14:paraId="0F69C461" w14:textId="0CA413F8" w:rsidR="00F45E35" w:rsidRPr="00862BB3" w:rsidRDefault="00F45E35" w:rsidP="00F45E35">
      <w:pPr>
        <w:pStyle w:val="ATHeading1"/>
      </w:pPr>
      <w:bookmarkStart w:id="0" w:name="TANumber"/>
      <w:r w:rsidRPr="00862BB3">
        <w:t>P10_TA(2026)0</w:t>
      </w:r>
      <w:bookmarkEnd w:id="0"/>
      <w:r w:rsidR="003F2BA8">
        <w:t>155</w:t>
      </w:r>
    </w:p>
    <w:p w14:paraId="679F6B3E" w14:textId="06C1963D" w:rsidR="00F45E35" w:rsidRPr="00F45E35" w:rsidRDefault="00F45E35" w:rsidP="00F45E35">
      <w:pPr>
        <w:pStyle w:val="ATHeading2"/>
      </w:pPr>
      <w:bookmarkStart w:id="1" w:name="title"/>
      <w:r>
        <w:t xml:space="preserve">Preliminarz dochodów i wydatków na rok budżetowy 2027 </w:t>
      </w:r>
      <w:r w:rsidRPr="00F45E35">
        <w:t>– Se</w:t>
      </w:r>
      <w:r>
        <w:t>kcja</w:t>
      </w:r>
      <w:r w:rsidRPr="00F45E35">
        <w:t xml:space="preserve"> I – </w:t>
      </w:r>
      <w:bookmarkEnd w:id="1"/>
      <w:r w:rsidRPr="00F45E35">
        <w:t>Parlament Europejski</w:t>
      </w:r>
    </w:p>
    <w:p w14:paraId="69E21797" w14:textId="6B4C8B28" w:rsidR="00F45E35" w:rsidRPr="00862BB3" w:rsidRDefault="00F45E35" w:rsidP="00F45E35">
      <w:pPr>
        <w:rPr>
          <w:i/>
          <w:vanish/>
        </w:rPr>
      </w:pPr>
      <w:r w:rsidRPr="0021315F">
        <w:rPr>
          <w:i/>
        </w:rPr>
        <w:fldChar w:fldCharType="begin"/>
      </w:r>
      <w:r w:rsidRPr="00862BB3">
        <w:rPr>
          <w:i/>
        </w:rPr>
        <w:instrText xml:space="preserve"> TC"(A10-0124/2026 - Sprawozdawca: Michalis </w:instrText>
      </w:r>
      <w:proofErr w:type="spellStart"/>
      <w:r w:rsidRPr="00862BB3">
        <w:rPr>
          <w:i/>
        </w:rPr>
        <w:instrText>Hadjipantela</w:instrText>
      </w:r>
      <w:proofErr w:type="spellEnd"/>
      <w:r w:rsidRPr="00862BB3">
        <w:rPr>
          <w:i/>
        </w:rPr>
        <w:instrText xml:space="preserve">)"\l3 \n&gt; \* MERGEFORMAT </w:instrText>
      </w:r>
      <w:r w:rsidRPr="0021315F">
        <w:rPr>
          <w:i/>
        </w:rPr>
        <w:fldChar w:fldCharType="end"/>
      </w:r>
    </w:p>
    <w:p w14:paraId="21AFF58B" w14:textId="13A16D29" w:rsidR="00F45E35" w:rsidRPr="00862BB3" w:rsidRDefault="00F45E35" w:rsidP="00F45E35">
      <w:pPr>
        <w:rPr>
          <w:vanish/>
        </w:rPr>
      </w:pPr>
      <w:r w:rsidRPr="00862BB3">
        <w:rPr>
          <w:vanish/>
        </w:rPr>
        <w:t>Komisja Budżetowa</w:t>
      </w:r>
    </w:p>
    <w:p w14:paraId="766B885F" w14:textId="77777777" w:rsidR="00F45E35" w:rsidRPr="00862BB3" w:rsidRDefault="00F45E35" w:rsidP="00F45E35">
      <w:pPr>
        <w:rPr>
          <w:vanish/>
        </w:rPr>
      </w:pPr>
      <w:r w:rsidRPr="00862BB3">
        <w:rPr>
          <w:vanish/>
        </w:rPr>
        <w:t>PE785.303</w:t>
      </w:r>
    </w:p>
    <w:p w14:paraId="165B8B2B" w14:textId="79CB4F30" w:rsidR="00F45E35" w:rsidRPr="00F45E35" w:rsidRDefault="00F45E35" w:rsidP="00F45E35">
      <w:pPr>
        <w:pStyle w:val="ATHeading3"/>
      </w:pPr>
      <w:r w:rsidRPr="00F45E35">
        <w:t>Rezolucja Parlamentu Europejskiego z dnia 30 kwietnia 2026 r. w sprawie preliminarza dochodów i wydatków na rok budżetowy 2027 – Sekcja I –</w:t>
      </w:r>
      <w:r>
        <w:t xml:space="preserve"> </w:t>
      </w:r>
      <w:r w:rsidRPr="00F45E35">
        <w:t>Parlament Europejski (2025/2247(BUI))</w:t>
      </w:r>
    </w:p>
    <w:p w14:paraId="76632932" w14:textId="03509663" w:rsidR="00F45E35" w:rsidRPr="0021315F" w:rsidRDefault="00F45E35" w:rsidP="00F45E35">
      <w:pPr>
        <w:pStyle w:val="Institutionquiagit"/>
        <w:spacing w:before="480"/>
        <w:rPr>
          <w:i w:val="0"/>
        </w:rPr>
      </w:pPr>
      <w:r>
        <w:t>Parlament Europejski</w:t>
      </w:r>
      <w:r w:rsidRPr="0021315F">
        <w:rPr>
          <w:i w:val="0"/>
        </w:rPr>
        <w:t>,</w:t>
      </w:r>
    </w:p>
    <w:p w14:paraId="39550DCC" w14:textId="31BF8A61" w:rsidR="00C82101" w:rsidRPr="0003070D" w:rsidRDefault="00F45E35" w:rsidP="00C82101">
      <w:pPr>
        <w:pStyle w:val="Action"/>
        <w:tabs>
          <w:tab w:val="clear" w:pos="357"/>
        </w:tabs>
        <w:spacing w:after="120"/>
        <w:ind w:left="567" w:hanging="567"/>
        <w:outlineLvl w:val="0"/>
      </w:pPr>
      <w:r w:rsidRPr="0003070D">
        <w:rPr>
          <w:color w:val="000000"/>
        </w:rPr>
        <w:t>–</w:t>
      </w:r>
      <w:r w:rsidR="00C82101" w:rsidRPr="00F45E35">
        <w:tab/>
      </w:r>
      <w:r w:rsidR="00C82101" w:rsidRPr="0003070D">
        <w:t>uwzględniając art. 314 Traktatu o funkcjonowaniu Unii Europejskiej,</w:t>
      </w:r>
    </w:p>
    <w:p w14:paraId="0EFF1165" w14:textId="77777777" w:rsidR="00C82101" w:rsidRPr="0003070D" w:rsidRDefault="00C82101" w:rsidP="00C82101">
      <w:pPr>
        <w:widowControl/>
        <w:spacing w:after="240"/>
        <w:ind w:left="567" w:hanging="567"/>
        <w:rPr>
          <w:color w:val="000000"/>
        </w:rPr>
      </w:pPr>
      <w:r w:rsidRPr="0003070D">
        <w:rPr>
          <w:color w:val="000000"/>
        </w:rPr>
        <w:t>–</w:t>
      </w:r>
      <w:r w:rsidRPr="0003070D">
        <w:rPr>
          <w:color w:val="000000"/>
        </w:rPr>
        <w:tab/>
        <w:t xml:space="preserve">uwzględniając rozporządzenie Parlamentu Europejskiego i Rady (UE, </w:t>
      </w:r>
      <w:proofErr w:type="spellStart"/>
      <w:r w:rsidRPr="0003070D">
        <w:rPr>
          <w:color w:val="000000"/>
        </w:rPr>
        <w:t>Euratom</w:t>
      </w:r>
      <w:proofErr w:type="spellEnd"/>
      <w:r w:rsidRPr="0003070D">
        <w:rPr>
          <w:color w:val="000000"/>
        </w:rPr>
        <w:t>) 2024/2509 z dnia 23 września 2024 r. w sprawie zasad finansowych mających zastosowanie do budżetu ogólnego Unii (wersja przekształcona)</w:t>
      </w:r>
      <w:r w:rsidRPr="0003070D">
        <w:rPr>
          <w:color w:val="000000"/>
          <w:vertAlign w:val="superscript"/>
        </w:rPr>
        <w:footnoteReference w:id="1"/>
      </w:r>
      <w:r w:rsidRPr="0003070D">
        <w:rPr>
          <w:color w:val="000000"/>
        </w:rPr>
        <w:t xml:space="preserve"> (rozporządzenie finansowe),</w:t>
      </w:r>
    </w:p>
    <w:p w14:paraId="6A4B11B3" w14:textId="77777777" w:rsidR="00C82101" w:rsidRPr="0003070D" w:rsidRDefault="00C82101" w:rsidP="00C82101">
      <w:pPr>
        <w:spacing w:after="240"/>
        <w:ind w:left="567" w:hanging="567"/>
        <w:rPr>
          <w:color w:val="000000"/>
        </w:rPr>
      </w:pPr>
      <w:r w:rsidRPr="0003070D">
        <w:rPr>
          <w:color w:val="000000"/>
        </w:rPr>
        <w:t>–</w:t>
      </w:r>
      <w:r w:rsidRPr="0003070D">
        <w:rPr>
          <w:color w:val="000000"/>
        </w:rPr>
        <w:tab/>
      </w:r>
      <w:r w:rsidRPr="0003070D">
        <w:t xml:space="preserve">uwzględniając rozporządzenie Rady (UE, </w:t>
      </w:r>
      <w:proofErr w:type="spellStart"/>
      <w:r w:rsidRPr="0003070D">
        <w:t>Euratom</w:t>
      </w:r>
      <w:proofErr w:type="spellEnd"/>
      <w:r w:rsidRPr="0003070D">
        <w:t>) 2020/2093 z dnia 17 grudnia 2020 r. określające wieloletnie ramy finansowe na lata 2021–2027</w:t>
      </w:r>
      <w:r w:rsidRPr="0003070D">
        <w:rPr>
          <w:color w:val="000000"/>
          <w:vertAlign w:val="superscript"/>
        </w:rPr>
        <w:footnoteReference w:id="2"/>
      </w:r>
      <w:r w:rsidRPr="0003070D">
        <w:t>, wspólne oświadczenie uzgodnione między Parlamentem, Radą i Komisją w tym kontekście</w:t>
      </w:r>
      <w:r w:rsidRPr="0003070D">
        <w:rPr>
          <w:color w:val="000000"/>
          <w:vertAlign w:val="superscript"/>
        </w:rPr>
        <w:footnoteReference w:id="3"/>
      </w:r>
      <w:r w:rsidRPr="0003070D">
        <w:t>, a także powiązane oświadczenia jednostronne</w:t>
      </w:r>
      <w:r w:rsidRPr="0003070D">
        <w:rPr>
          <w:color w:val="000000"/>
          <w:vertAlign w:val="superscript"/>
        </w:rPr>
        <w:footnoteReference w:id="4"/>
      </w:r>
      <w:r w:rsidRPr="0003070D">
        <w:t>,</w:t>
      </w:r>
    </w:p>
    <w:p w14:paraId="5CF30134" w14:textId="77777777" w:rsidR="00C82101" w:rsidRPr="0003070D" w:rsidRDefault="00C82101" w:rsidP="00C82101">
      <w:pPr>
        <w:spacing w:after="240"/>
        <w:ind w:left="567" w:hanging="567"/>
        <w:rPr>
          <w:color w:val="000000" w:themeColor="text1"/>
        </w:rPr>
      </w:pPr>
      <w:r w:rsidRPr="0003070D">
        <w:rPr>
          <w:color w:val="000000"/>
        </w:rPr>
        <w:t>–</w:t>
      </w:r>
      <w:r w:rsidRPr="0003070D">
        <w:rPr>
          <w:color w:val="000000"/>
        </w:rPr>
        <w:tab/>
        <w:t xml:space="preserve">uwzględniając rozporządzenie Rady (UE, </w:t>
      </w:r>
      <w:proofErr w:type="spellStart"/>
      <w:r w:rsidRPr="0003070D">
        <w:rPr>
          <w:color w:val="000000"/>
        </w:rPr>
        <w:t>Euratom</w:t>
      </w:r>
      <w:proofErr w:type="spellEnd"/>
      <w:r w:rsidRPr="0003070D">
        <w:rPr>
          <w:color w:val="000000"/>
        </w:rPr>
        <w:t xml:space="preserve">) 2022/2496 z dnia 15 grudnia 2022 r. w sprawie zmiany rozporządzenia (UE, </w:t>
      </w:r>
      <w:proofErr w:type="spellStart"/>
      <w:r w:rsidRPr="0003070D">
        <w:rPr>
          <w:color w:val="000000"/>
        </w:rPr>
        <w:t>Euratom</w:t>
      </w:r>
      <w:proofErr w:type="spellEnd"/>
      <w:r w:rsidRPr="0003070D">
        <w:rPr>
          <w:color w:val="000000"/>
        </w:rPr>
        <w:t>) 2020/2093 określającego wieloletnie ramy finansowe na lata 2021–2027</w:t>
      </w:r>
      <w:r w:rsidRPr="0003070D">
        <w:rPr>
          <w:color w:val="000000"/>
          <w:vertAlign w:val="superscript"/>
        </w:rPr>
        <w:footnoteReference w:id="5"/>
      </w:r>
      <w:r w:rsidRPr="0003070D">
        <w:rPr>
          <w:color w:val="000000"/>
        </w:rPr>
        <w:t>,</w:t>
      </w:r>
    </w:p>
    <w:p w14:paraId="7182076C" w14:textId="77777777" w:rsidR="00C82101" w:rsidRPr="0003070D" w:rsidRDefault="00C82101" w:rsidP="00C82101">
      <w:pPr>
        <w:spacing w:after="240"/>
        <w:ind w:left="567" w:hanging="567"/>
      </w:pPr>
      <w:r w:rsidRPr="0003070D">
        <w:t>–</w:t>
      </w:r>
      <w:r w:rsidRPr="0003070D">
        <w:tab/>
      </w:r>
      <w:r w:rsidRPr="0003070D">
        <w:rPr>
          <w:color w:val="000000"/>
        </w:rPr>
        <w:t xml:space="preserve">uwzględniając rozporządzenie Rady (UE, </w:t>
      </w:r>
      <w:proofErr w:type="spellStart"/>
      <w:r w:rsidRPr="0003070D">
        <w:rPr>
          <w:color w:val="000000"/>
        </w:rPr>
        <w:t>Euratom</w:t>
      </w:r>
      <w:proofErr w:type="spellEnd"/>
      <w:r w:rsidRPr="0003070D">
        <w:rPr>
          <w:color w:val="000000"/>
        </w:rPr>
        <w:t xml:space="preserve">) 2024/765 w sprawie zmiany rozporządzenia (UE, </w:t>
      </w:r>
      <w:proofErr w:type="spellStart"/>
      <w:r w:rsidRPr="0003070D">
        <w:rPr>
          <w:color w:val="000000"/>
        </w:rPr>
        <w:t>Euratom</w:t>
      </w:r>
      <w:proofErr w:type="spellEnd"/>
      <w:r w:rsidRPr="0003070D">
        <w:rPr>
          <w:color w:val="000000"/>
        </w:rPr>
        <w:t>) 2020/2093 określającego wieloletnie ramy finansowe na lata 2021–2027</w:t>
      </w:r>
      <w:r w:rsidRPr="0003070D">
        <w:rPr>
          <w:rStyle w:val="FootnoteReference"/>
          <w:color w:val="000000"/>
        </w:rPr>
        <w:footnoteReference w:id="6"/>
      </w:r>
      <w:r w:rsidRPr="0003070D">
        <w:rPr>
          <w:color w:val="000000"/>
        </w:rPr>
        <w:t xml:space="preserve"> (rewizja WRF),</w:t>
      </w:r>
    </w:p>
    <w:p w14:paraId="2463AAC7" w14:textId="77777777" w:rsidR="00C82101" w:rsidRPr="0003070D" w:rsidRDefault="00C82101" w:rsidP="00C82101">
      <w:pPr>
        <w:spacing w:after="240"/>
        <w:ind w:left="567" w:hanging="567"/>
        <w:rPr>
          <w:color w:val="000000"/>
        </w:rPr>
      </w:pPr>
      <w:r w:rsidRPr="0003070D">
        <w:rPr>
          <w:color w:val="000000"/>
        </w:rPr>
        <w:t>–</w:t>
      </w:r>
      <w:r w:rsidRPr="0003070D">
        <w:rPr>
          <w:color w:val="000000"/>
        </w:rPr>
        <w:tab/>
        <w:t xml:space="preserve">uwzględniając Porozumienie międzyinstytucjonalne z dnia 16 grudnia 2020 r. między </w:t>
      </w:r>
      <w:r w:rsidRPr="0003070D">
        <w:rPr>
          <w:color w:val="000000"/>
        </w:rPr>
        <w:lastRenderedPageBreak/>
        <w:t>Parlamentem Europejskim, Radą Unii Europejskiej i Komisją Europejską w sprawie dyscypliny budżetowej, współpracy w kwestiach budżetowych i należytego zarządzania finansami oraz w sprawie nowych zasobów własnych, w tym również harmonogramu wprowadzania nowych zasobów własnych</w:t>
      </w:r>
      <w:r w:rsidRPr="0003070D">
        <w:rPr>
          <w:color w:val="000000"/>
          <w:vertAlign w:val="superscript"/>
        </w:rPr>
        <w:footnoteReference w:id="7"/>
      </w:r>
      <w:r w:rsidRPr="0003070D">
        <w:rPr>
          <w:color w:val="000000"/>
        </w:rPr>
        <w:t>,</w:t>
      </w:r>
    </w:p>
    <w:p w14:paraId="1E9B678A" w14:textId="77777777" w:rsidR="00C82101" w:rsidRPr="0003070D" w:rsidRDefault="00C82101" w:rsidP="00C82101">
      <w:pPr>
        <w:spacing w:after="240"/>
        <w:ind w:left="567" w:hanging="567"/>
      </w:pPr>
      <w:r w:rsidRPr="0003070D">
        <w:t>–</w:t>
      </w:r>
      <w:r w:rsidRPr="0003070D">
        <w:tab/>
        <w:t>uwzględniając swoją rezolucję ustawodawczą z dnia 16 grudnia 2020 r. w sprawie projektu rozporządzenia Rady określającego wieloletnie ramy finansowe na lata 2021–2027</w:t>
      </w:r>
      <w:r w:rsidRPr="0003070D">
        <w:rPr>
          <w:vertAlign w:val="superscript"/>
        </w:rPr>
        <w:footnoteReference w:id="8"/>
      </w:r>
      <w:r w:rsidRPr="0003070D">
        <w:t>,</w:t>
      </w:r>
    </w:p>
    <w:p w14:paraId="4ADFEB67" w14:textId="77777777" w:rsidR="00C82101" w:rsidRPr="0003070D" w:rsidRDefault="00C82101" w:rsidP="00C82101">
      <w:pPr>
        <w:spacing w:after="240"/>
        <w:ind w:left="567" w:hanging="567"/>
        <w:rPr>
          <w:color w:val="000000"/>
        </w:rPr>
      </w:pPr>
      <w:r w:rsidRPr="0003070D">
        <w:rPr>
          <w:color w:val="000000"/>
        </w:rPr>
        <w:t>–</w:t>
      </w:r>
      <w:r w:rsidRPr="0003070D">
        <w:rPr>
          <w:color w:val="000000"/>
        </w:rPr>
        <w:tab/>
        <w:t>uwzględniając swoją rezolucję z dnia 15 grudnia 2022 r. w sprawie ulepszenia wieloletnich ram finansowych na lata 2021–2027: gotowy na nowe wyzwania, odporny budżet UE</w:t>
      </w:r>
      <w:r w:rsidRPr="0003070D">
        <w:rPr>
          <w:color w:val="000000"/>
          <w:vertAlign w:val="superscript"/>
        </w:rPr>
        <w:footnoteReference w:id="9"/>
      </w:r>
      <w:r w:rsidRPr="0003070D">
        <w:rPr>
          <w:color w:val="000000"/>
        </w:rPr>
        <w:t>,</w:t>
      </w:r>
    </w:p>
    <w:p w14:paraId="0B56B932" w14:textId="77777777" w:rsidR="00C82101" w:rsidRPr="0003070D" w:rsidRDefault="00C82101" w:rsidP="00C82101">
      <w:pPr>
        <w:spacing w:after="240"/>
        <w:ind w:left="567" w:hanging="567"/>
      </w:pPr>
      <w:r w:rsidRPr="0003070D">
        <w:t>–</w:t>
      </w:r>
      <w:r w:rsidRPr="0003070D">
        <w:tab/>
        <w:t>uwzględniając swoją rezolucję z dnia 3 października 2023 r. w sprawie wniosku dotyczącego śródokresowej rewizji wieloletnich ram finansowych na lata 2021–2027</w:t>
      </w:r>
      <w:r w:rsidRPr="0003070D">
        <w:rPr>
          <w:vertAlign w:val="superscript"/>
        </w:rPr>
        <w:footnoteReference w:id="10"/>
      </w:r>
      <w:r w:rsidRPr="0003070D">
        <w:t>,</w:t>
      </w:r>
    </w:p>
    <w:p w14:paraId="190B606C" w14:textId="77777777" w:rsidR="00C82101" w:rsidRPr="0003070D" w:rsidRDefault="00C82101" w:rsidP="00C82101">
      <w:pPr>
        <w:spacing w:after="240"/>
        <w:ind w:left="567" w:hanging="567"/>
        <w:rPr>
          <w:color w:val="000000"/>
        </w:rPr>
      </w:pPr>
      <w:r w:rsidRPr="0003070D">
        <w:rPr>
          <w:color w:val="000000"/>
        </w:rPr>
        <w:t>–</w:t>
      </w:r>
      <w:r w:rsidRPr="0003070D">
        <w:rPr>
          <w:color w:val="000000"/>
        </w:rPr>
        <w:tab/>
        <w:t xml:space="preserve">uwzględniając swoją rezolucję z dnia 27 lutego 2024 r. w sprawie wniosku dotyczącego rozporządzenia Rady zmieniającego rozporządzenie (UE, </w:t>
      </w:r>
      <w:proofErr w:type="spellStart"/>
      <w:r w:rsidRPr="0003070D">
        <w:rPr>
          <w:color w:val="000000"/>
        </w:rPr>
        <w:t>Euratom</w:t>
      </w:r>
      <w:proofErr w:type="spellEnd"/>
      <w:r w:rsidRPr="0003070D">
        <w:rPr>
          <w:color w:val="000000"/>
        </w:rPr>
        <w:t>) 2020/2093 określające wieloletnie ramy finansowe na lata 2021–2027</w:t>
      </w:r>
      <w:r w:rsidRPr="0003070D">
        <w:rPr>
          <w:color w:val="000000"/>
          <w:vertAlign w:val="superscript"/>
        </w:rPr>
        <w:footnoteReference w:id="11"/>
      </w:r>
      <w:r w:rsidRPr="0003070D">
        <w:rPr>
          <w:color w:val="000000"/>
        </w:rPr>
        <w:t>,</w:t>
      </w:r>
    </w:p>
    <w:p w14:paraId="647EDDFB" w14:textId="77777777" w:rsidR="00C82101" w:rsidRPr="0003070D" w:rsidRDefault="00C82101" w:rsidP="00C82101">
      <w:pPr>
        <w:spacing w:after="240"/>
        <w:ind w:left="567" w:hanging="567"/>
        <w:rPr>
          <w:color w:val="000000"/>
        </w:rPr>
      </w:pPr>
      <w:r w:rsidRPr="0003070D">
        <w:rPr>
          <w:color w:val="000000"/>
        </w:rPr>
        <w:t>–</w:t>
      </w:r>
      <w:r w:rsidRPr="0003070D">
        <w:rPr>
          <w:color w:val="000000"/>
        </w:rPr>
        <w:tab/>
      </w:r>
      <w:r w:rsidRPr="0003070D">
        <w:t>uwzględniając budżet ogólny Unii Europejskiej na rok budżetowy 2026, zatwierdzony ostatecznie dnia 26 listopada 2025 r.</w:t>
      </w:r>
      <w:r w:rsidRPr="0003070D">
        <w:rPr>
          <w:color w:val="000000"/>
          <w:vertAlign w:val="superscript"/>
        </w:rPr>
        <w:footnoteReference w:id="12"/>
      </w:r>
      <w:r w:rsidRPr="0003070D">
        <w:t>, i wspólne oświadczenia uzgodnione między Parlamentem, Radą i Komisją, które zostały do niego załączone,</w:t>
      </w:r>
    </w:p>
    <w:p w14:paraId="7216E2B6" w14:textId="77777777" w:rsidR="00C82101" w:rsidRPr="0003070D" w:rsidRDefault="00C82101" w:rsidP="00C82101">
      <w:pPr>
        <w:pStyle w:val="Action"/>
        <w:tabs>
          <w:tab w:val="clear" w:pos="357"/>
        </w:tabs>
        <w:spacing w:after="120"/>
        <w:ind w:left="567" w:hanging="567"/>
        <w:outlineLvl w:val="0"/>
      </w:pPr>
      <w:r w:rsidRPr="0003070D">
        <w:t>–</w:t>
      </w:r>
      <w:r w:rsidRPr="0003070D">
        <w:tab/>
        <w:t>uwzględniając sprawozdanie sekretarza generalnego dla Prezydium dotyczące sporządzenia wstępnego projektu preliminarza budżetowego Parlamentu na rok budżetowy 2027,</w:t>
      </w:r>
    </w:p>
    <w:p w14:paraId="73045BF9" w14:textId="77777777" w:rsidR="00C82101" w:rsidRPr="0003070D" w:rsidRDefault="00C82101" w:rsidP="00C82101">
      <w:pPr>
        <w:pStyle w:val="Action"/>
        <w:tabs>
          <w:tab w:val="clear" w:pos="357"/>
        </w:tabs>
        <w:spacing w:after="120"/>
        <w:ind w:left="567" w:hanging="567"/>
        <w:outlineLvl w:val="0"/>
      </w:pPr>
      <w:r w:rsidRPr="0003070D">
        <w:t>–</w:t>
      </w:r>
      <w:r w:rsidRPr="0003070D">
        <w:tab/>
        <w:t>uwzględniając wstępny projekt preliminarza budżetowego sporządzony przez Prezydium w dniu 9 marca 2026 r. zgodnie z art. 25 ust. 7 oraz art. 104 ust. 1 Regulaminu,</w:t>
      </w:r>
    </w:p>
    <w:p w14:paraId="0949430A" w14:textId="77777777" w:rsidR="00C82101" w:rsidRPr="0003070D" w:rsidRDefault="00C82101" w:rsidP="00C82101">
      <w:pPr>
        <w:pStyle w:val="Action"/>
        <w:tabs>
          <w:tab w:val="clear" w:pos="357"/>
        </w:tabs>
        <w:spacing w:after="120"/>
        <w:ind w:left="567" w:hanging="567"/>
        <w:outlineLvl w:val="0"/>
      </w:pPr>
      <w:r w:rsidRPr="0003070D">
        <w:t>–</w:t>
      </w:r>
      <w:r w:rsidRPr="0003070D">
        <w:tab/>
        <w:t>uwzględniając projekt preliminarza budżetowego sporządzony przez Komisję Budżetową zgodnie z art. 104 ust. 2 Regulaminu,</w:t>
      </w:r>
    </w:p>
    <w:p w14:paraId="5A9D998B" w14:textId="77777777" w:rsidR="00C82101" w:rsidRPr="0003070D" w:rsidRDefault="00C82101" w:rsidP="00C82101">
      <w:pPr>
        <w:pStyle w:val="Action"/>
        <w:tabs>
          <w:tab w:val="clear" w:pos="357"/>
        </w:tabs>
        <w:spacing w:after="120"/>
        <w:ind w:left="567" w:hanging="567"/>
        <w:outlineLvl w:val="0"/>
      </w:pPr>
      <w:r w:rsidRPr="0003070D">
        <w:t>–</w:t>
      </w:r>
      <w:r w:rsidRPr="0003070D">
        <w:tab/>
        <w:t>uwzględniając art. 104 Regulaminu,</w:t>
      </w:r>
    </w:p>
    <w:p w14:paraId="6B184B33" w14:textId="77777777" w:rsidR="00C82101" w:rsidRPr="0003070D" w:rsidRDefault="00C82101" w:rsidP="00C82101">
      <w:pPr>
        <w:pStyle w:val="Action"/>
        <w:tabs>
          <w:tab w:val="clear" w:pos="357"/>
        </w:tabs>
        <w:ind w:left="567" w:hanging="567"/>
        <w:outlineLvl w:val="0"/>
      </w:pPr>
      <w:r w:rsidRPr="0003070D">
        <w:t>–</w:t>
      </w:r>
      <w:r w:rsidRPr="0003070D">
        <w:tab/>
        <w:t>uwzględniając sprawozdanie Komisji Budżetowej (A10-0124/2026),</w:t>
      </w:r>
    </w:p>
    <w:p w14:paraId="1E09DE56" w14:textId="77777777" w:rsidR="00C82101" w:rsidRPr="0003070D" w:rsidRDefault="00C82101" w:rsidP="00C82101">
      <w:pPr>
        <w:pStyle w:val="Action"/>
        <w:tabs>
          <w:tab w:val="clear" w:pos="357"/>
        </w:tabs>
        <w:spacing w:after="120"/>
        <w:ind w:left="567" w:hanging="567"/>
        <w:outlineLvl w:val="0"/>
      </w:pPr>
      <w:r w:rsidRPr="0003070D">
        <w:t>A.</w:t>
      </w:r>
      <w:r w:rsidRPr="0003070D">
        <w:tab/>
        <w:t>mając na uwadze, że budżet zaproponowany 9 lutego 2026 r. przez sekretarza generalnego we wstępnym projekcie preliminarza budżetowego Parlamentu na 2027 r. wynosi 2 665 474 853 EUR, co oznacza wzrost o 2,33 % lub 60 618 266 EUR w porównaniu z budżetem na 2026 r.;</w:t>
      </w:r>
    </w:p>
    <w:p w14:paraId="7BA357FD" w14:textId="77777777" w:rsidR="00C82101" w:rsidRPr="0003070D" w:rsidRDefault="00C82101" w:rsidP="00C82101">
      <w:pPr>
        <w:pStyle w:val="Action"/>
        <w:tabs>
          <w:tab w:val="clear" w:pos="357"/>
        </w:tabs>
        <w:spacing w:after="120"/>
        <w:ind w:left="567" w:hanging="567"/>
        <w:outlineLvl w:val="0"/>
      </w:pPr>
      <w:r w:rsidRPr="0003070D">
        <w:t>B.</w:t>
      </w:r>
      <w:r w:rsidRPr="0003070D">
        <w:tab/>
        <w:t xml:space="preserve">mając na uwadze, że wzrost o 2,33 % zaproponowany przez sekretarza generalnego wynika ze wzrostu o 2,01 % statutowych zobowiązań finansowych i o 2,89 % wydatków </w:t>
      </w:r>
      <w:proofErr w:type="spellStart"/>
      <w:r w:rsidRPr="0003070D">
        <w:t>niestatutowych</w:t>
      </w:r>
      <w:proofErr w:type="spellEnd"/>
      <w:r w:rsidRPr="0003070D">
        <w:t>;</w:t>
      </w:r>
    </w:p>
    <w:p w14:paraId="44738171" w14:textId="77777777" w:rsidR="00C82101" w:rsidRPr="0003070D" w:rsidRDefault="00C82101" w:rsidP="00C82101">
      <w:pPr>
        <w:pStyle w:val="Action"/>
        <w:tabs>
          <w:tab w:val="clear" w:pos="357"/>
        </w:tabs>
        <w:ind w:left="567" w:hanging="567"/>
        <w:outlineLvl w:val="0"/>
      </w:pPr>
      <w:r w:rsidRPr="0003070D">
        <w:lastRenderedPageBreak/>
        <w:t>C.</w:t>
      </w:r>
      <w:r w:rsidRPr="0003070D">
        <w:tab/>
        <w:t>mając na uwadze, że według Eurostatu roczna inflacja w Unii wyniosła w grudniu 2025 r. 2,3 %, w porównaniu z 2,7 % w grudniu 2024 r.; mając na uwadze, że poziom wydatków w dziale 7 wieloletnich ram finansowych (WRF) na lata 2021–2027 opiera się na rocznym wzroście o 2 %;</w:t>
      </w:r>
    </w:p>
    <w:p w14:paraId="1E39A1B2" w14:textId="77777777" w:rsidR="00C82101" w:rsidRPr="0003070D" w:rsidRDefault="00C82101" w:rsidP="00C82101">
      <w:pPr>
        <w:pStyle w:val="Action"/>
        <w:tabs>
          <w:tab w:val="clear" w:pos="357"/>
        </w:tabs>
        <w:ind w:left="567" w:hanging="567"/>
        <w:outlineLvl w:val="0"/>
      </w:pPr>
      <w:r w:rsidRPr="0003070D">
        <w:t>D.</w:t>
      </w:r>
      <w:r w:rsidRPr="0003070D">
        <w:tab/>
        <w:t>mając na uwadze, że wiarygodność Parlamentu zależy od jego zdolności do realizacji podstawowych zadań budżetowych, ustawodawczych i kontrolnych na najwyższym poziomie, przy jednoczesnym dawaniu przykładu innym instytucjom Unii poprzez ostrożne i skuteczne planowanie i realizowanie wydatków oraz odzwierciedlanie panujących realiów gospodarczych;</w:t>
      </w:r>
    </w:p>
    <w:p w14:paraId="23FCF4BF" w14:textId="77777777" w:rsidR="00C82101" w:rsidRPr="0003070D" w:rsidRDefault="00C82101" w:rsidP="00C82101">
      <w:pPr>
        <w:pStyle w:val="NormalHanging12a"/>
        <w:rPr>
          <w:b/>
          <w:i/>
        </w:rPr>
      </w:pPr>
      <w:r w:rsidRPr="0003070D">
        <w:rPr>
          <w:b/>
          <w:i/>
        </w:rPr>
        <w:t>Ogólne ramy</w:t>
      </w:r>
    </w:p>
    <w:p w14:paraId="3A45F703" w14:textId="77777777" w:rsidR="00C82101" w:rsidRPr="0003070D" w:rsidRDefault="00C82101" w:rsidP="00C82101">
      <w:pPr>
        <w:widowControl/>
        <w:spacing w:after="240"/>
        <w:ind w:left="567" w:hanging="567"/>
        <w:rPr>
          <w:color w:val="000000"/>
        </w:rPr>
      </w:pPr>
      <w:r w:rsidRPr="0003070D">
        <w:rPr>
          <w:color w:val="000000"/>
        </w:rPr>
        <w:t>1.</w:t>
      </w:r>
      <w:r w:rsidRPr="0003070D">
        <w:rPr>
          <w:color w:val="000000"/>
        </w:rPr>
        <w:tab/>
        <w:t>jest zaniepokojony sytuacją działu 7 w obecnych WRF; przypomina, że ograniczenia są wynikiem cięć dokonanych przez Radę w stosunku do już bardzo niskiego poziomu środków w pierwotnym wniosku Komisji przy uzgadnianiu WRF na lata 2021–2027, a także skumulowanego wpływu wyższej niż się spodziewano inflacji przez kilka lat; wyraża ubolewanie z powodu sprzeciwu Rady wobec propozycji Komisji dotyczącej podwyższenia od 2024 r. pułapu działu 7 w ramach rewizji WRF; zwraca uwagę, że podczas rewizji WRF nie rozwiązano kwestii pułapu działu 7; podkreśla, że przewidywany ujemny margines na 2027 r. zakłada wykorzystanie w tym celu instrumentów szczególnych w dziale 7; podkreśla, że korzystanie z instrumentów szczególnych powinno pozostać wyjątkowe, należycie uzasadnione i ograniczone do nieprzewidzianych okoliczności;</w:t>
      </w:r>
    </w:p>
    <w:p w14:paraId="29220DB3" w14:textId="77777777" w:rsidR="00C82101" w:rsidRPr="0003070D" w:rsidRDefault="00C82101" w:rsidP="00C82101">
      <w:pPr>
        <w:widowControl/>
        <w:spacing w:after="240"/>
        <w:ind w:left="567" w:hanging="567"/>
        <w:rPr>
          <w:color w:val="000000"/>
        </w:rPr>
      </w:pPr>
      <w:r w:rsidRPr="0003070D">
        <w:rPr>
          <w:color w:val="000000"/>
        </w:rPr>
        <w:t>2.</w:t>
      </w:r>
      <w:r w:rsidRPr="0003070D">
        <w:rPr>
          <w:color w:val="000000"/>
        </w:rPr>
        <w:tab/>
        <w:t xml:space="preserve">zatwierdza porozumienie osiągnięte 15 kwietnia 2026 r. w ramach procedury pojednawczej między Prezydium a Komisją Budżetową, zakładające zwiększenie budżetu o 1,98 % w stosunku do 2026 r., co odpowiada ogólnemu poziomowi środków w preliminarzu w wysokości 2 656 435 753 EUR na 2027 </w:t>
      </w:r>
      <w:proofErr w:type="gramStart"/>
      <w:r w:rsidRPr="0003070D">
        <w:rPr>
          <w:color w:val="000000"/>
        </w:rPr>
        <w:t>r.,</w:t>
      </w:r>
      <w:proofErr w:type="gramEnd"/>
      <w:r w:rsidRPr="0003070D">
        <w:rPr>
          <w:color w:val="000000"/>
        </w:rPr>
        <w:t xml:space="preserve"> oraz odpowiednie zmniejszenie środków zaproponowanych w następujących liniach budżetowych o łączną kwotę 10 554 000 EUR: </w:t>
      </w:r>
    </w:p>
    <w:p w14:paraId="1A745D2D" w14:textId="77777777" w:rsidR="00C82101" w:rsidRPr="0003070D" w:rsidRDefault="00C82101" w:rsidP="00C82101">
      <w:pPr>
        <w:widowControl/>
        <w:spacing w:after="240"/>
        <w:ind w:left="567"/>
        <w:rPr>
          <w:color w:val="000000"/>
        </w:rPr>
      </w:pPr>
      <w:r w:rsidRPr="0003070D">
        <w:rPr>
          <w:color w:val="000000"/>
        </w:rPr>
        <w:t xml:space="preserve">1 0 0 6 – Zwrot kosztów ogólnych, 1 4 0 5 01 – Wydatki na tłumaczenia ustne: zewnętrzne tłumaczenia ustne, 1 4 2 – Zewnętrzne usługi tłumaczeniowe, 1 6 1 2 07 – Szkolenia i doskonalenie: szkolenia zewnętrzne dla DG ITEC, 2 0 0 7 04 —Budowa budynków i zagospodarowanie pomieszczeń służbowych: Biura kontaktowe/Europa </w:t>
      </w:r>
      <w:proofErr w:type="spellStart"/>
      <w:r w:rsidRPr="0003070D">
        <w:rPr>
          <w:color w:val="000000"/>
        </w:rPr>
        <w:t>Experience</w:t>
      </w:r>
      <w:proofErr w:type="spellEnd"/>
      <w:r w:rsidRPr="0003070D">
        <w:rPr>
          <w:color w:val="000000"/>
        </w:rPr>
        <w:t xml:space="preserve">, 2 1 0 0 02 — Ład informatyczny i </w:t>
      </w:r>
      <w:proofErr w:type="spellStart"/>
      <w:r w:rsidRPr="0003070D">
        <w:rPr>
          <w:color w:val="000000"/>
        </w:rPr>
        <w:t>cyberbezpieczeństwo</w:t>
      </w:r>
      <w:proofErr w:type="spellEnd"/>
      <w:r w:rsidRPr="0003070D">
        <w:rPr>
          <w:color w:val="000000"/>
        </w:rPr>
        <w:t xml:space="preserve"> — Bezpieczeństwo ICT, zagrożenia i zgodność z przepisami, 2 1 0 0 03 — Ład informatyczny i </w:t>
      </w:r>
      <w:proofErr w:type="spellStart"/>
      <w:r w:rsidRPr="0003070D">
        <w:rPr>
          <w:color w:val="000000"/>
        </w:rPr>
        <w:t>cyberbezpieczeństwo</w:t>
      </w:r>
      <w:proofErr w:type="spellEnd"/>
      <w:r w:rsidRPr="0003070D">
        <w:rPr>
          <w:color w:val="000000"/>
        </w:rPr>
        <w:t xml:space="preserve"> — Technologie pionierskie, 2 1 0 1 02 — Zarządzanie aplikacjami biznesowymi — Dostarczanie rozwiązań informatycznych, 2 1 0 1 13 — Zarządzanie aplikacjami biznesowymi — DG FINS, 2 1 0 2 03 — Zarządzanie infrastrukturą i operacjami — Telekomunikacja, 2 1 0 2 04 — Zarządzanie infrastrukturą i operacjami — Infrastruktura korporacyjna, 2 1 0 2 05 — Zarządzanie infrastrukturą i operacjami — Oprogramowanie — Infrastruktura, 2 1 0 2 07 — Zarządzanie infrastrukturą i operacjami — Zarządzanie drukarniami, 2 1 0 3 01 — Usługi związane z cyfrowym miejscem pracy i jego wyposażeniem — Indywidualny sprzęt informatyczny, 2 1 2 0 01 — Meble: zakup, wynajem, wymiana, konserwacja i naprawa mebli, 2 1 6 0 01 – Przewóz posłów, innych osób i towarów: przewóz posłów (wynajem i eksploatacja pojazdów), 3 0 0 0 02 — Koszty podróży służbowych pracowników i przejazdów pomiędzy trzema miejscami pracy: wyjazdy poza trzy miejsca pracy, 3 0 0 0 03 — Koszty podróży służbowych pracowników i przejazdów pomiędzy trzema miejscami pracy: szkolenia i doskonalenie, 3 2 1 0 01 — Wydatki na </w:t>
      </w:r>
      <w:r w:rsidRPr="0003070D">
        <w:rPr>
          <w:color w:val="000000"/>
        </w:rPr>
        <w:lastRenderedPageBreak/>
        <w:t xml:space="preserve">Biuro Analiz Parlamentu Europejskiego, w tym na bibliotekę, archiwa historyczne, weryfikację rozwiązań naukowych i technologicznych (STOA) oraz Europejskie Centrum Mediów Naukowych: ocena skutków i europejska wartość dodana, 3 2 2 0 09 — Wydatki na dokumentację: abonamenty i monitorowanie mediów, 3 2 4 2 01 — Wydatki na informację publiczną oraz udział w imprezach i akcjach o charakterze publicznym: kampanie informacyjne, 3 2 4 3 01 — Centra dla zwiedzających Parlamentu Europejskiego: </w:t>
      </w:r>
      <w:proofErr w:type="spellStart"/>
      <w:r w:rsidRPr="0003070D">
        <w:rPr>
          <w:color w:val="000000"/>
        </w:rPr>
        <w:t>Parlamentarium</w:t>
      </w:r>
      <w:proofErr w:type="spellEnd"/>
      <w:r w:rsidRPr="0003070D">
        <w:rPr>
          <w:color w:val="000000"/>
        </w:rPr>
        <w:t xml:space="preserve"> i „Europa </w:t>
      </w:r>
      <w:proofErr w:type="spellStart"/>
      <w:r w:rsidRPr="0003070D">
        <w:rPr>
          <w:color w:val="000000"/>
        </w:rPr>
        <w:t>Experience</w:t>
      </w:r>
      <w:proofErr w:type="spellEnd"/>
      <w:r w:rsidRPr="0003070D">
        <w:rPr>
          <w:color w:val="000000"/>
        </w:rPr>
        <w:t xml:space="preserve">”, 3 2 4 3 02 — Centra dla zwiedzających Parlamentu Europejskiego: Dom Historii Europejskiej, 101 – Rezerwa na nieprzewidziane wydatki; </w:t>
      </w:r>
    </w:p>
    <w:p w14:paraId="7D275652" w14:textId="77777777" w:rsidR="00C82101" w:rsidRPr="0003070D" w:rsidRDefault="00C82101" w:rsidP="00C82101">
      <w:pPr>
        <w:widowControl/>
        <w:spacing w:after="240"/>
        <w:ind w:left="567"/>
        <w:rPr>
          <w:color w:val="000000"/>
        </w:rPr>
      </w:pPr>
      <w:r w:rsidRPr="0003070D">
        <w:rPr>
          <w:color w:val="000000"/>
        </w:rPr>
        <w:t>ponadto postanowiono zwiększyć poziom wydatków we wstępnym projekcie preliminarza budżetowego zatwierdzonym przez Prezydium 9 marca 2026 r. o 1 514 900 EUR oraz odpowiednio zwiększyć środki zaproponowane w następujących liniach budżetowych:</w:t>
      </w:r>
    </w:p>
    <w:p w14:paraId="692772DC" w14:textId="77777777" w:rsidR="00C82101" w:rsidRPr="0003070D" w:rsidRDefault="00C82101" w:rsidP="00C82101">
      <w:pPr>
        <w:widowControl/>
        <w:spacing w:after="240"/>
        <w:ind w:left="567"/>
        <w:rPr>
          <w:color w:val="000000"/>
        </w:rPr>
      </w:pPr>
      <w:r w:rsidRPr="0003070D">
        <w:rPr>
          <w:color w:val="000000"/>
        </w:rPr>
        <w:t xml:space="preserve">4 0 3 — Finansowanie europejskich fundacji politycznych i 4 4 0 — Koszty posiedzeń i innych zajęć byłych posłów; </w:t>
      </w:r>
    </w:p>
    <w:p w14:paraId="296E517E" w14:textId="77777777" w:rsidR="00C82101" w:rsidRPr="0003070D" w:rsidRDefault="00C82101" w:rsidP="00C82101">
      <w:pPr>
        <w:widowControl/>
        <w:spacing w:after="240"/>
        <w:ind w:left="567" w:hanging="567"/>
        <w:rPr>
          <w:color w:val="000000"/>
        </w:rPr>
      </w:pPr>
      <w:r w:rsidRPr="0003070D">
        <w:rPr>
          <w:color w:val="000000"/>
        </w:rPr>
        <w:t>3.</w:t>
      </w:r>
      <w:r w:rsidRPr="0003070D">
        <w:rPr>
          <w:color w:val="000000"/>
        </w:rPr>
        <w:tab/>
        <w:t>przypomina, że prawie dwie trzecie budżetu jest ustalane przez zobowiązania statutowe; przypomina, że według obecnych prognoz Komisji indeksacja wynagrodzeń, zgodnie z regulaminem pracowniczym i Statutem posła do Parlamentu Europejskiego, wyniesie 2,2 % w lipcu 2026 r. i 2,3 % w lipcu 2027 r.;</w:t>
      </w:r>
    </w:p>
    <w:p w14:paraId="08391403" w14:textId="77777777" w:rsidR="00C82101" w:rsidRPr="0003070D" w:rsidRDefault="00C82101" w:rsidP="00C82101">
      <w:pPr>
        <w:widowControl/>
        <w:spacing w:after="240"/>
        <w:ind w:left="567" w:hanging="567"/>
        <w:rPr>
          <w:color w:val="000000"/>
        </w:rPr>
      </w:pPr>
      <w:r w:rsidRPr="0003070D">
        <w:rPr>
          <w:color w:val="000000"/>
        </w:rPr>
        <w:t>4.</w:t>
      </w:r>
      <w:r w:rsidRPr="0003070D">
        <w:rPr>
          <w:color w:val="000000"/>
        </w:rPr>
        <w:tab/>
        <w:t>zauważa, że w ramach wzrostu o 51,6 mln EUR w porównaniu z budżetem na 2026 r. wzrost o 32,6 mln EUR jest związany ze statutowymi zobowiązaniami finansowymi, głównie z aktualizacją wynagrodzeń urzędników i pracowników zatrudnionych na czas określony (16,2 mln EUR) oraz pracowników kontraktowych (1,7 mln EUR); zauważa, że od 2027 r. przewiduje się nadzwyczajną pomoc bezpośrednią dla każdego stażysty odbywającego staż w Luksemburgu (do 500 EUR miesięcznie), aby pomóc stażystom w radzeniu sobie z rosnącymi kosztami mieszkaniowymi; wzywa do zapewnienia dostępności staży dla młodych ludzi w kontekście rosnących kosztów utrzymania niezależnie od miejsca pracy; z zadowoleniem przyjmuje decyzję Prezydium o rezygnacji z indeksacji dodatku z tytułu kosztów ogólnych na 2026 r.;</w:t>
      </w:r>
    </w:p>
    <w:p w14:paraId="10C16446" w14:textId="77777777" w:rsidR="00C82101" w:rsidRPr="0003070D" w:rsidRDefault="00C82101" w:rsidP="00C82101">
      <w:pPr>
        <w:widowControl/>
        <w:spacing w:after="240"/>
        <w:ind w:left="567" w:hanging="567"/>
        <w:rPr>
          <w:b/>
          <w:i/>
          <w:color w:val="000000"/>
        </w:rPr>
      </w:pPr>
      <w:r w:rsidRPr="0003070D">
        <w:rPr>
          <w:color w:val="000000"/>
        </w:rPr>
        <w:t>5.</w:t>
      </w:r>
      <w:r w:rsidRPr="0003070D">
        <w:rPr>
          <w:b/>
          <w:i/>
          <w:color w:val="000000"/>
        </w:rPr>
        <w:tab/>
      </w:r>
      <w:r w:rsidRPr="0003070D">
        <w:rPr>
          <w:color w:val="000000"/>
        </w:rPr>
        <w:t>zauważa, że kwotę przewidzianą na dodatek na pomoc parlamentarną szacuje się na podstawie tendencji historycznych; podkreśla, że w żadnym wypadku nie można pozbawić posłów prawa do pełnego wykorzystania tego dodatku, zgodnie z odpowiednimi przepisami, ze względu na niedostępność środków w tej linii budżetowej; zwraca się do sekretarza generalnego o ścisłe monitorowanie sytuacji, informowanie Komisji Budżetowej o wykonaniu tej linii budżetowej i podejmowanie odpowiednich działań w przypadku ryzyka niedoboru środków finansowych;</w:t>
      </w:r>
    </w:p>
    <w:p w14:paraId="66309936" w14:textId="77777777" w:rsidR="00C82101" w:rsidRPr="0003070D" w:rsidRDefault="00C82101" w:rsidP="00C82101">
      <w:pPr>
        <w:widowControl/>
        <w:spacing w:after="240"/>
        <w:ind w:left="567" w:hanging="567"/>
        <w:rPr>
          <w:color w:val="000000"/>
        </w:rPr>
      </w:pPr>
      <w:r w:rsidRPr="0003070D">
        <w:rPr>
          <w:color w:val="000000"/>
        </w:rPr>
        <w:t>6.</w:t>
      </w:r>
      <w:r w:rsidRPr="0003070D">
        <w:rPr>
          <w:color w:val="000000"/>
        </w:rPr>
        <w:tab/>
        <w:t xml:space="preserve">zauważa, że Parlament nie wnioskuje o żadne dodatkowe stanowiska na 2027 r., czwarty rok z rzędu; </w:t>
      </w:r>
    </w:p>
    <w:p w14:paraId="717286E7" w14:textId="77777777" w:rsidR="00C82101" w:rsidRPr="0003070D" w:rsidRDefault="00C82101" w:rsidP="00C82101">
      <w:pPr>
        <w:widowControl/>
        <w:spacing w:after="240"/>
        <w:ind w:left="567" w:hanging="567"/>
        <w:rPr>
          <w:color w:val="000000"/>
        </w:rPr>
      </w:pPr>
      <w:r w:rsidRPr="0003070D">
        <w:rPr>
          <w:color w:val="000000"/>
        </w:rPr>
        <w:t>7.</w:t>
      </w:r>
      <w:r w:rsidRPr="0003070D">
        <w:rPr>
          <w:color w:val="000000"/>
        </w:rPr>
        <w:tab/>
        <w:t xml:space="preserve">zauważa, że wzrost wydatków </w:t>
      </w:r>
      <w:proofErr w:type="spellStart"/>
      <w:r w:rsidRPr="0003070D">
        <w:rPr>
          <w:color w:val="000000"/>
        </w:rPr>
        <w:t>niestatutowych</w:t>
      </w:r>
      <w:proofErr w:type="spellEnd"/>
      <w:r w:rsidRPr="0003070D">
        <w:rPr>
          <w:color w:val="000000"/>
        </w:rPr>
        <w:t xml:space="preserve"> między rokiem 2026 a 2027 wynosi 2 %; </w:t>
      </w:r>
    </w:p>
    <w:p w14:paraId="51AE4766" w14:textId="77777777" w:rsidR="00C82101" w:rsidRPr="0003070D" w:rsidRDefault="00C82101" w:rsidP="00C82101">
      <w:pPr>
        <w:widowControl/>
        <w:spacing w:after="240"/>
        <w:ind w:left="567" w:hanging="567"/>
        <w:rPr>
          <w:color w:val="000000"/>
        </w:rPr>
      </w:pPr>
      <w:r w:rsidRPr="0003070D">
        <w:rPr>
          <w:color w:val="000000"/>
        </w:rPr>
        <w:t>8.</w:t>
      </w:r>
      <w:r w:rsidRPr="0003070D">
        <w:rPr>
          <w:color w:val="000000"/>
        </w:rPr>
        <w:tab/>
        <w:t xml:space="preserve">z zadowoleniem przyjmuje bieżące prace sekretarza generalnego, zgodne z reformami zaproponowanymi przez przewodniczącą </w:t>
      </w:r>
      <w:proofErr w:type="spellStart"/>
      <w:r w:rsidRPr="0003070D">
        <w:rPr>
          <w:color w:val="000000"/>
        </w:rPr>
        <w:t>Metsolę</w:t>
      </w:r>
      <w:proofErr w:type="spellEnd"/>
      <w:r w:rsidRPr="0003070D">
        <w:rPr>
          <w:color w:val="000000"/>
        </w:rPr>
        <w:t xml:space="preserve"> 16 czerwca 2025 r., w zakresie współpracy administracyjnej, planowania i uproszczenia, mające na celu zwiększenie wydajności, efektywne wykorzystanie zasobów i osiągnięcie oszczędności tam, gdzie to możliwe; wzywa do wzmocnienia mechanizmów sprawozdawczości w celu </w:t>
      </w:r>
      <w:r w:rsidRPr="0003070D">
        <w:rPr>
          <w:color w:val="000000"/>
        </w:rPr>
        <w:lastRenderedPageBreak/>
        <w:t>zwiększenia przejrzystości i rozliczalności; zwraca się do sekretarza generalnego o regularne przekazywanie Komisji Budżetowej aktualnych informacji na temat wdrażania planu działania na rzecz uproszczenia procedur administracyjnych oraz jego wpływu na budżet i personel;</w:t>
      </w:r>
    </w:p>
    <w:p w14:paraId="25F5FB15" w14:textId="77777777" w:rsidR="00C82101" w:rsidRPr="0003070D" w:rsidRDefault="00C82101" w:rsidP="00C82101">
      <w:pPr>
        <w:pStyle w:val="action0"/>
        <w:ind w:left="0" w:firstLine="0"/>
        <w:rPr>
          <w:b/>
          <w:i/>
        </w:rPr>
      </w:pPr>
      <w:r w:rsidRPr="0003070D">
        <w:rPr>
          <w:b/>
          <w:i/>
        </w:rPr>
        <w:t>Wzmocnienie podstawowych funkcji Parlamentu</w:t>
      </w:r>
    </w:p>
    <w:p w14:paraId="68AE251A" w14:textId="77777777" w:rsidR="00C82101" w:rsidRPr="0003070D" w:rsidRDefault="00C82101" w:rsidP="00C82101">
      <w:pPr>
        <w:widowControl/>
        <w:spacing w:after="240"/>
        <w:ind w:left="567" w:hanging="567"/>
        <w:rPr>
          <w:color w:val="000000"/>
        </w:rPr>
      </w:pPr>
      <w:r w:rsidRPr="0003070D">
        <w:t>9.</w:t>
      </w:r>
      <w:r w:rsidRPr="0003070D">
        <w:tab/>
        <w:t xml:space="preserve">odnotowuje cztery nowe tematyczne dyrekcje generalne (DG), które działają od stycznia 2025 r. i są odpowiedzialne za działania ustawodawcze, budżetowe i kontrolne, aby poprawić funkcjonowanie Parlamentu jako </w:t>
      </w:r>
      <w:proofErr w:type="spellStart"/>
      <w:r w:rsidRPr="0003070D">
        <w:t>współprawodawcy</w:t>
      </w:r>
      <w:proofErr w:type="spellEnd"/>
      <w:r w:rsidRPr="0003070D">
        <w:t>, jednego z organów władzy budżetowej i organu udzielającego absolutorium;</w:t>
      </w:r>
    </w:p>
    <w:p w14:paraId="7BD2336E" w14:textId="77777777" w:rsidR="00C82101" w:rsidRDefault="00C82101" w:rsidP="00C82101">
      <w:pPr>
        <w:widowControl/>
        <w:spacing w:after="240"/>
        <w:ind w:left="567" w:hanging="567"/>
        <w:rPr>
          <w:b/>
          <w:i/>
        </w:rPr>
      </w:pPr>
      <w:r w:rsidRPr="0003070D">
        <w:t>10.</w:t>
      </w:r>
      <w:r w:rsidRPr="0003070D">
        <w:tab/>
        <w:t xml:space="preserve">odnotowuje przesunięcie zasobów wewnętrznych w odniesieniu do liczby przydzielonych stanowisk (+15 % w latach 2024–2026), puli środków budżetowych na personel zewnętrzny (pozycja 1400, z 3,2 mln EUR w 2024 r. do 8 mln EUR w 2027 r.) oraz budżetu na ekspertyzy zewnętrzne (pozycja 3200, z 3,2 mln EUR w 2024 r. do 7,7 mln EUR w 2027 r.), aby wzmocnić wiedzę fachową zapewnianą posłom; podkreśla potrzebę dopilnowania, aby wzrost ten pozostał uzasadniony, proporcjonalny i przynosił wyraźną wartość dodaną; zwraca się do sekretarza generalnego o regularne przekazywanie Komisji Budżetowej aktualnych informacji na temat ewolucji i wykorzystania zasobów w tych czterech nowych dyrekcjach generalnych; podkreśla potrzebę zadbania o ważny cel, jakim jest wzmocnienie zdolności Parlamentu do wspierania pracy posłów; podkreśla kluczową rolę grup politycznych w </w:t>
      </w:r>
      <w:bookmarkStart w:id="2" w:name="_Hlk227243597"/>
      <w:r w:rsidRPr="0003070D">
        <w:t>zapewnianiu posłom wiedzy fachowej</w:t>
      </w:r>
      <w:bookmarkEnd w:id="2"/>
      <w:r w:rsidRPr="0003070D">
        <w:t xml:space="preserve"> i wsparcia politycznego w ich pracach legislacyjnych i parlamentarnych;</w:t>
      </w:r>
      <w:r w:rsidRPr="0003070D">
        <w:rPr>
          <w:b/>
          <w:i/>
        </w:rPr>
        <w:t xml:space="preserve"> </w:t>
      </w:r>
    </w:p>
    <w:p w14:paraId="08FD6700" w14:textId="5DB4A82D" w:rsidR="003F2BA8" w:rsidRPr="0003070D" w:rsidRDefault="00F31F7D" w:rsidP="00C82101">
      <w:pPr>
        <w:widowControl/>
        <w:spacing w:after="240"/>
        <w:ind w:left="567" w:hanging="567"/>
      </w:pPr>
      <w:r>
        <w:t>11</w:t>
      </w:r>
      <w:r w:rsidR="003F2BA8" w:rsidRPr="003F2BA8">
        <w:t xml:space="preserve">. </w:t>
      </w:r>
      <w:r w:rsidR="003F2BA8" w:rsidRPr="003F2BA8">
        <w:tab/>
        <w:t>przypomina, że obowiązek ochrony interesów finansowych Unii ma zastosowanie w równym stopniu do wszystkich beneficjentów funduszy unijnych, w tym grup politycznych działających w Parlamencie; zauważa, że dochodzenia i działania naprawcze dotyczące podejrzenia niewłaściwego wykorzystania funduszy unijnych przez byłą grupę Tożsamość i Demokracja uwypuklają znaczenie solidnych kontroli wewnętrznych, skutecznej weryfikacji ex post i szybkich mechanizmów odzyskiwania środków w administracji Parlamentu; wzywa administrację Parlamentu do niezwłocznego zakończenia wszystkich zaległych postępowań w sprawie odzyskania środków oraz do przekazania OLAF-owi i EPPO wszelkich dowodów nieprawidłowości w wydatkach; podkreśla, że wiarygodność unijnej struktury zwalczania nadużyć finansowych zależy od jej spójnego stosowania do wszystkich beneficjentów, w tym w samym Parlamencie;</w:t>
      </w:r>
    </w:p>
    <w:p w14:paraId="4A0BECC2" w14:textId="77777777" w:rsidR="00C82101" w:rsidRPr="0003070D" w:rsidRDefault="00C82101" w:rsidP="00C82101">
      <w:pPr>
        <w:spacing w:after="240"/>
        <w:rPr>
          <w:b/>
          <w:i/>
          <w:color w:val="000000"/>
        </w:rPr>
      </w:pPr>
      <w:r w:rsidRPr="0003070D">
        <w:rPr>
          <w:b/>
          <w:i/>
          <w:color w:val="000000"/>
        </w:rPr>
        <w:t xml:space="preserve">Transformacja cyfrowa </w:t>
      </w:r>
    </w:p>
    <w:p w14:paraId="4686BA99" w14:textId="3B87CBEB" w:rsidR="00C82101" w:rsidRPr="0003070D" w:rsidRDefault="00F31F7D" w:rsidP="00C82101">
      <w:pPr>
        <w:pStyle w:val="action0"/>
        <w:ind w:left="567" w:hanging="567"/>
      </w:pPr>
      <w:r>
        <w:t>12</w:t>
      </w:r>
      <w:r w:rsidR="00C82101" w:rsidRPr="0003070D">
        <w:t>.</w:t>
      </w:r>
      <w:r w:rsidR="00C82101" w:rsidRPr="0003070D">
        <w:tab/>
      </w:r>
      <w:r w:rsidR="00C82101" w:rsidRPr="0003070D">
        <w:rPr>
          <w:color w:val="000000"/>
        </w:rPr>
        <w:t xml:space="preserve">zauważa, że całkowity budżet IT stanowi 7,6 % całkowitego budżetu w preliminarzu na 2027 r. i wynosi 202,4 mln EUR; podkreśla znaczenie solidnej infrastruktury </w:t>
      </w:r>
      <w:proofErr w:type="spellStart"/>
      <w:r w:rsidR="00C82101" w:rsidRPr="0003070D">
        <w:rPr>
          <w:color w:val="000000"/>
        </w:rPr>
        <w:t>cyberbezpieczeństwa</w:t>
      </w:r>
      <w:proofErr w:type="spellEnd"/>
      <w:r w:rsidR="00C82101" w:rsidRPr="0003070D">
        <w:rPr>
          <w:color w:val="000000"/>
        </w:rPr>
        <w:t xml:space="preserve"> w burzliwych geopolitycznie czasach; przypomina o planowanym stopniowym zwiększaniu środków finansowych na </w:t>
      </w:r>
      <w:proofErr w:type="spellStart"/>
      <w:r w:rsidR="00C82101" w:rsidRPr="0003070D">
        <w:rPr>
          <w:color w:val="000000"/>
        </w:rPr>
        <w:t>cyberbezpieczeństwo</w:t>
      </w:r>
      <w:proofErr w:type="spellEnd"/>
      <w:r w:rsidR="00C82101" w:rsidRPr="0003070D">
        <w:rPr>
          <w:color w:val="000000"/>
        </w:rPr>
        <w:t xml:space="preserve"> do 10 % budżetu Parlamentu na ICT;</w:t>
      </w:r>
      <w:r w:rsidR="00C82101" w:rsidRPr="0003070D">
        <w:t xml:space="preserve"> zwraca uwagę, że taki planowany wzrost należy zapewnić jak najszybciej;</w:t>
      </w:r>
    </w:p>
    <w:p w14:paraId="39B15D8B" w14:textId="63A6CCE9" w:rsidR="00C82101" w:rsidRPr="0003070D" w:rsidRDefault="00F31F7D" w:rsidP="00C82101">
      <w:pPr>
        <w:pStyle w:val="action0"/>
        <w:ind w:left="567" w:hanging="567"/>
      </w:pPr>
      <w:r>
        <w:t>13</w:t>
      </w:r>
      <w:r w:rsidR="00C82101" w:rsidRPr="0003070D">
        <w:t>.</w:t>
      </w:r>
      <w:r w:rsidR="00C82101" w:rsidRPr="0003070D">
        <w:tab/>
        <w:t xml:space="preserve">podkreśla, że </w:t>
      </w:r>
      <w:proofErr w:type="spellStart"/>
      <w:r w:rsidR="00C82101" w:rsidRPr="0003070D">
        <w:t>cyberbezpieczeństwo</w:t>
      </w:r>
      <w:proofErr w:type="spellEnd"/>
      <w:r w:rsidR="00C82101" w:rsidRPr="0003070D">
        <w:t xml:space="preserve"> Parlamentu jest kluczowym priorytetem w czasach niepewności geopolitycznej; odnotowuje, że całkowita kwota przeznaczona na </w:t>
      </w:r>
      <w:proofErr w:type="spellStart"/>
      <w:r w:rsidR="00C82101" w:rsidRPr="0003070D">
        <w:t>cyberbezpieczeństwo</w:t>
      </w:r>
      <w:proofErr w:type="spellEnd"/>
      <w:r w:rsidR="00C82101" w:rsidRPr="0003070D">
        <w:t xml:space="preserve"> wynosi 16,9 mln EUR, co obejmuje wzrost środków w scentralizowanej linii dotyczącej </w:t>
      </w:r>
      <w:proofErr w:type="spellStart"/>
      <w:r w:rsidR="00C82101" w:rsidRPr="0003070D">
        <w:t>cyberbezpieczeństwa</w:t>
      </w:r>
      <w:proofErr w:type="spellEnd"/>
      <w:r w:rsidR="00C82101" w:rsidRPr="0003070D">
        <w:t xml:space="preserve"> o 54 % w porównaniu z 2026 r.; </w:t>
      </w:r>
      <w:r w:rsidR="00C82101" w:rsidRPr="0003070D">
        <w:lastRenderedPageBreak/>
        <w:t xml:space="preserve">przypomina, że inwestycje w </w:t>
      </w:r>
      <w:proofErr w:type="spellStart"/>
      <w:r w:rsidR="00C82101" w:rsidRPr="0003070D">
        <w:t>cyberbezpieczeństwo</w:t>
      </w:r>
      <w:proofErr w:type="spellEnd"/>
      <w:r w:rsidR="00C82101" w:rsidRPr="0003070D">
        <w:t xml:space="preserve"> mają kluczowe znaczenie dla ochrony demokratycznego głosu Parlamentu i Unii oraz zapewnienia prawidłowego funkcjonowania Parlamentu;</w:t>
      </w:r>
    </w:p>
    <w:p w14:paraId="645E6ECB" w14:textId="110FFEFC" w:rsidR="00C82101" w:rsidRPr="0003070D" w:rsidRDefault="00F31F7D" w:rsidP="00C82101">
      <w:pPr>
        <w:pStyle w:val="action0"/>
        <w:ind w:left="567" w:hanging="567"/>
      </w:pPr>
      <w:r>
        <w:t>14</w:t>
      </w:r>
      <w:r w:rsidR="00C82101" w:rsidRPr="0003070D">
        <w:t>.</w:t>
      </w:r>
      <w:r w:rsidR="00C82101" w:rsidRPr="0003070D">
        <w:tab/>
        <w:t>podkreśla, że Parlament musi odgrywać wiodącą rolę w przyjmowaniu bardziej cyfrowych metod pracy; z zadowoleniem przyjmuje inwestycje w sztuczną inteligencję (AI) w wysokości 1 mln EUR; apeluje o zwiększenie wykorzystania AI w celu podniesienia wydajności i wzmocnienia suwerenności w tej dziedzinie, przy czym należy pamiętać o powiązanych zagrożeniach, w tym dotyczących etyki i ochrony danych; podkreśla, że przy wdrażaniu AI należy zapewnić równowagę między innowacjami a niezbędnymi zabezpieczeniami; podkreśla potencjał AI w zakresie usprawnienia procesów administracyjnych; zachęca do opracowania jasnych wytycznych i zabezpieczeń w celu zapewnienia odpowiedzialnego i przejrzystego wdrażania AI oraz wspierania innowacji przy jednoczesnym poszanowaniu praw podstawowych, bezpieczeństwa i rozliczalności; zwraca uwagę, że rozwój AI będzie ściśle monitorowany zgodnie z zasadami ustanowionymi przez Prezydium; podkreśla, że inwestycje w AI powinny koncentrować się nie tylko na efektywności administracyjnej, ale również na zwiększeniu przejrzystości demokratycznej i zaangażowania obywateli;</w:t>
      </w:r>
    </w:p>
    <w:p w14:paraId="15CD3EA9" w14:textId="2DB5B216" w:rsidR="00C82101" w:rsidRPr="0003070D" w:rsidRDefault="00F31F7D" w:rsidP="00C82101">
      <w:pPr>
        <w:pStyle w:val="action0"/>
        <w:spacing w:after="0"/>
        <w:ind w:left="567" w:hanging="567"/>
        <w:rPr>
          <w:bCs/>
          <w:iCs/>
        </w:rPr>
      </w:pPr>
      <w:r>
        <w:t>15</w:t>
      </w:r>
      <w:r w:rsidR="00C82101" w:rsidRPr="0003070D">
        <w:t>.</w:t>
      </w:r>
      <w:r w:rsidR="00C82101" w:rsidRPr="0003070D">
        <w:tab/>
        <w:t xml:space="preserve">podkreśla, że biorąc pod uwagę kontekst geopolityczny i inwestycje, jakie Unia Europejska będzie musiała poczynić na rzecz swojej strategicznej autonomii, Parlament Europejski musi dawać przykład; odnotowuje, że przygotowywany jest skonsolidowany plan działania mający na celu wzmocnienie pozycji Parlamentu w zakresie suwerenności cyfrowej; oczekuje na regularne przekazywanie aktualnych informacji na temat poczynionych postępów; podkreśla znaczenie zapewnienia wysokiego poziomu </w:t>
      </w:r>
      <w:proofErr w:type="spellStart"/>
      <w:r w:rsidR="00C82101" w:rsidRPr="0003070D">
        <w:t>cyberbezpieczeństwa</w:t>
      </w:r>
      <w:proofErr w:type="spellEnd"/>
      <w:r w:rsidR="00C82101" w:rsidRPr="0003070D">
        <w:t>, ochrony danych i odporności w infrastrukturze cyfrowej Parlamentu; podkreśla, że trzeba starannie ocenić ryzyko związane z zależnością od dostawców spoza Europy, w tym za pomocą ocen ryzyka; podkreśla znaczenie utrzymania bezpiecznych, konkurencyjnych i niezawodnych rozwiązań, w tym, w miarę możliwości, poprzez priorytetowe traktowanie europejskich dostawców; wzywa do regularnej oceny kanałów komunikacji i narzędzi cyfrowych Parlamentu pod kątem bezpieczeństwa i zgodności z prawem UE, w sposób skoordynowany z innymi instytucjami UE, w celu zapewnienia ochrony danych parlamentarnych i integralności komunikacji;</w:t>
      </w:r>
    </w:p>
    <w:p w14:paraId="7DE995DC" w14:textId="77777777" w:rsidR="00C82101" w:rsidRPr="0003070D" w:rsidRDefault="00C82101" w:rsidP="00C82101">
      <w:pPr>
        <w:pStyle w:val="action0"/>
        <w:spacing w:after="0"/>
        <w:ind w:left="567" w:hanging="567"/>
        <w:rPr>
          <w:b/>
          <w:i/>
        </w:rPr>
      </w:pPr>
    </w:p>
    <w:p w14:paraId="0527092B" w14:textId="77777777" w:rsidR="00C82101" w:rsidRPr="0003070D" w:rsidRDefault="00C82101" w:rsidP="00C82101">
      <w:pPr>
        <w:pStyle w:val="action0"/>
        <w:ind w:left="0" w:firstLine="0"/>
        <w:rPr>
          <w:b/>
          <w:i/>
        </w:rPr>
      </w:pPr>
      <w:r w:rsidRPr="0003070D">
        <w:rPr>
          <w:b/>
          <w:i/>
        </w:rPr>
        <w:t>Infrastruktura</w:t>
      </w:r>
    </w:p>
    <w:p w14:paraId="45976DFE" w14:textId="2E7DB3BC" w:rsidR="00C82101" w:rsidRPr="0003070D" w:rsidRDefault="00F31F7D" w:rsidP="00C82101">
      <w:pPr>
        <w:pStyle w:val="action0"/>
        <w:ind w:left="567" w:hanging="567"/>
        <w:rPr>
          <w:color w:val="000000"/>
        </w:rPr>
      </w:pPr>
      <w:r>
        <w:rPr>
          <w:color w:val="000000"/>
        </w:rPr>
        <w:t>16</w:t>
      </w:r>
      <w:r w:rsidR="00C82101" w:rsidRPr="0003070D">
        <w:rPr>
          <w:color w:val="000000"/>
        </w:rPr>
        <w:t>.</w:t>
      </w:r>
      <w:r w:rsidR="00C82101" w:rsidRPr="0003070D">
        <w:rPr>
          <w:color w:val="000000"/>
        </w:rPr>
        <w:tab/>
        <w:t>odnotowuje nowe podejście związane z budynkami, w którym kładzie się nacisk na konsolidację, a nie na nabywanie nowych budynków, z uwzględnieniem zrównoważonego rozwoju, dostępności i mobilności posłów, pracowników i odwiedzających;</w:t>
      </w:r>
    </w:p>
    <w:p w14:paraId="5D638C07" w14:textId="2765008D" w:rsidR="00C82101" w:rsidRPr="0003070D" w:rsidRDefault="00F31F7D" w:rsidP="00C82101">
      <w:pPr>
        <w:pStyle w:val="action0"/>
        <w:ind w:left="567" w:hanging="567"/>
        <w:rPr>
          <w:color w:val="000000"/>
        </w:rPr>
      </w:pPr>
      <w:r>
        <w:rPr>
          <w:color w:val="000000"/>
        </w:rPr>
        <w:t>17</w:t>
      </w:r>
      <w:r w:rsidR="00C82101" w:rsidRPr="0003070D">
        <w:rPr>
          <w:color w:val="000000"/>
        </w:rPr>
        <w:t>.</w:t>
      </w:r>
      <w:r w:rsidR="00C82101" w:rsidRPr="0003070D">
        <w:rPr>
          <w:color w:val="000000"/>
        </w:rPr>
        <w:tab/>
        <w:t xml:space="preserve">zauważa, że renowacja budynku SPAAK rozpocznie się w 2027 r.; zwraca uwagę, że całkowity budżet na renowację ustalono na 455 mln EUR, a na 2027 r. przewidziano 77,67 mln EUR; podkreśla, że kosztów tych nie uwzględniono w budżecie na 2027 r.; </w:t>
      </w:r>
      <w:bookmarkStart w:id="3" w:name="_Hlk227680019"/>
      <w:r w:rsidR="00C82101" w:rsidRPr="0003070D">
        <w:rPr>
          <w:color w:val="000000"/>
        </w:rPr>
        <w:t>podkreśla, że trzeba zapewnić ścisłą kontrolę kosztów, przejrzystość i trzymanie się planowanego budżetu;</w:t>
      </w:r>
      <w:r w:rsidR="00C82101" w:rsidRPr="0003070D">
        <w:rPr>
          <w:b/>
          <w:i/>
          <w:color w:val="000000"/>
        </w:rPr>
        <w:t xml:space="preserve"> </w:t>
      </w:r>
      <w:bookmarkEnd w:id="3"/>
    </w:p>
    <w:p w14:paraId="4EFFD1D1" w14:textId="68D2DF1C" w:rsidR="00C82101" w:rsidRPr="0003070D" w:rsidRDefault="00F31F7D" w:rsidP="00C82101">
      <w:pPr>
        <w:pStyle w:val="action0"/>
        <w:ind w:left="567" w:hanging="567"/>
        <w:rPr>
          <w:color w:val="000000"/>
        </w:rPr>
      </w:pPr>
      <w:r>
        <w:rPr>
          <w:color w:val="000000"/>
        </w:rPr>
        <w:t>18</w:t>
      </w:r>
      <w:r w:rsidR="00C82101" w:rsidRPr="0003070D">
        <w:rPr>
          <w:color w:val="000000"/>
        </w:rPr>
        <w:t>.</w:t>
      </w:r>
      <w:r w:rsidR="00C82101" w:rsidRPr="0003070D">
        <w:rPr>
          <w:color w:val="000000"/>
        </w:rPr>
        <w:tab/>
        <w:t xml:space="preserve">zauważa, że Parlament zamierza zaciągnąć pożyczki, w tym w Europejskim Banku Inwestycyjnym, na sfinansowanie projektu renowacji budynku SPAAK; odnotowuje, że w budżecie na 2027 r. ujęto koszty związane z odsetkami (3,17 mln EUR) i spłatą </w:t>
      </w:r>
      <w:r w:rsidR="00C82101" w:rsidRPr="0003070D">
        <w:rPr>
          <w:color w:val="000000"/>
        </w:rPr>
        <w:lastRenderedPageBreak/>
        <w:t>kapitału (0,65 mln EUR); nalega, aby w stosownych przypadkach koszty niezwiązane bezpośrednio z pracami remontowymi były również jasno wyszczególnione i ujęte w budżecie; wzywa administrację do ścisłego informowania Komisji Budżetowej o stopach procentowych mających zastosowanie do pożyczek oraz o długoterminowym planowaniu spłaty kwoty głównej; podkreśla, że trzeba zapewnić ostrożne zarządzanie długiem;</w:t>
      </w:r>
    </w:p>
    <w:p w14:paraId="472120A2" w14:textId="7CC636B8" w:rsidR="00C82101" w:rsidRPr="0003070D" w:rsidRDefault="00F31F7D" w:rsidP="00C82101">
      <w:pPr>
        <w:pStyle w:val="action0"/>
        <w:ind w:left="567" w:hanging="567"/>
        <w:rPr>
          <w:b/>
          <w:bCs/>
          <w:i/>
          <w:iCs/>
          <w:color w:val="000000"/>
        </w:rPr>
      </w:pPr>
      <w:r>
        <w:rPr>
          <w:color w:val="000000"/>
        </w:rPr>
        <w:t>19</w:t>
      </w:r>
      <w:r w:rsidR="00C82101" w:rsidRPr="0003070D">
        <w:rPr>
          <w:color w:val="000000"/>
        </w:rPr>
        <w:t>.</w:t>
      </w:r>
      <w:r w:rsidR="00C82101" w:rsidRPr="0003070D">
        <w:rPr>
          <w:color w:val="000000"/>
        </w:rPr>
        <w:tab/>
        <w:t xml:space="preserve">ubolewa nad opóźnieniami w tworzeniu centrów Europa </w:t>
      </w:r>
      <w:proofErr w:type="spellStart"/>
      <w:r w:rsidR="00C82101" w:rsidRPr="0003070D">
        <w:rPr>
          <w:color w:val="000000"/>
        </w:rPr>
        <w:t>Experience</w:t>
      </w:r>
      <w:proofErr w:type="spellEnd"/>
      <w:r w:rsidR="00C82101" w:rsidRPr="0003070D">
        <w:rPr>
          <w:color w:val="000000"/>
        </w:rPr>
        <w:t xml:space="preserve"> we wszystkich państwach członkowskich; z zadowoleniem przyjmuje nową koncepcję, zatwierdzoną przez Prezydium 31 marca 2025 r., mającą na celu optymalne wykorzystanie przestrzeni Europa </w:t>
      </w:r>
      <w:proofErr w:type="spellStart"/>
      <w:r w:rsidR="00C82101" w:rsidRPr="0003070D">
        <w:rPr>
          <w:color w:val="000000"/>
        </w:rPr>
        <w:t>Experience</w:t>
      </w:r>
      <w:proofErr w:type="spellEnd"/>
      <w:r w:rsidR="00C82101" w:rsidRPr="0003070D">
        <w:rPr>
          <w:color w:val="000000"/>
        </w:rPr>
        <w:t xml:space="preserve">, z uwzględnieniem różnej sytuacji w poszczególnych państwach członkowskich; podkreśla, jak ważne jest zadbanie o to, by centra Europa </w:t>
      </w:r>
      <w:proofErr w:type="spellStart"/>
      <w:r w:rsidR="00C82101" w:rsidRPr="0003070D">
        <w:rPr>
          <w:color w:val="000000"/>
        </w:rPr>
        <w:t>Experience</w:t>
      </w:r>
      <w:proofErr w:type="spellEnd"/>
      <w:r w:rsidR="00C82101" w:rsidRPr="0003070D">
        <w:rPr>
          <w:color w:val="000000"/>
        </w:rPr>
        <w:t xml:space="preserve"> oferowały interesujące doświadczenie dla zwiedzających i dzięki temu przyciągały licznych obywateli; apeluje o utworzenie centrów Europa </w:t>
      </w:r>
      <w:proofErr w:type="spellStart"/>
      <w:r w:rsidR="00C82101" w:rsidRPr="0003070D">
        <w:rPr>
          <w:color w:val="000000"/>
        </w:rPr>
        <w:t>Experience</w:t>
      </w:r>
      <w:proofErr w:type="spellEnd"/>
      <w:r w:rsidR="00C82101" w:rsidRPr="0003070D">
        <w:rPr>
          <w:color w:val="000000"/>
        </w:rPr>
        <w:t xml:space="preserve"> w pierwszej kolejności w państwach członkowskich najbardziej oddalonych od trzech miejsc pracy, przy czym należy również zadbać o to, by rozwój i funkcjonowanie tych centrów pozostały opłacalne; przypomina, że centra Europa </w:t>
      </w:r>
      <w:proofErr w:type="spellStart"/>
      <w:r w:rsidR="00C82101" w:rsidRPr="0003070D">
        <w:rPr>
          <w:color w:val="000000"/>
        </w:rPr>
        <w:t>Experience</w:t>
      </w:r>
      <w:proofErr w:type="spellEnd"/>
      <w:r w:rsidR="00C82101" w:rsidRPr="0003070D">
        <w:rPr>
          <w:color w:val="000000"/>
        </w:rPr>
        <w:t xml:space="preserve"> powinny umożliwić wszystkim obywatelom lepsze zrozumienie funkcjonowania instytucji unijnych i naszych wspólnych wartości; podkreśla potrzebę efektywnego wykorzystania środków budżetowych przydzielonych tym centrom, aby mogły one prowadzić działania komunikacyjne o dużym wpływie i docierać zwłaszcza do młodych ludzi i słabszych grup społecznych; podkreśla, że w ramach finansowania należy priorytetowo traktować rozpowszechnianie opartych na faktach i dostępnych informacji na temat lokalnego wpływu polityki UE, co stanowi opłacalne narzędzie ochrony demokratycznej integralności Unii przed dezinformacją;</w:t>
      </w:r>
    </w:p>
    <w:p w14:paraId="5CEDBB4B" w14:textId="5B2E3338" w:rsidR="00C82101" w:rsidRPr="0003070D" w:rsidRDefault="00F31F7D" w:rsidP="00C82101">
      <w:pPr>
        <w:pStyle w:val="action0"/>
        <w:ind w:left="567" w:hanging="567"/>
        <w:rPr>
          <w:bCs/>
          <w:iCs/>
          <w:color w:val="000000"/>
        </w:rPr>
      </w:pPr>
      <w:r>
        <w:rPr>
          <w:color w:val="000000"/>
        </w:rPr>
        <w:t>20</w:t>
      </w:r>
      <w:r w:rsidR="00C82101" w:rsidRPr="0003070D">
        <w:rPr>
          <w:color w:val="000000"/>
        </w:rPr>
        <w:t>.</w:t>
      </w:r>
      <w:r w:rsidR="00C82101" w:rsidRPr="0003070D">
        <w:rPr>
          <w:color w:val="000000"/>
        </w:rPr>
        <w:tab/>
        <w:t xml:space="preserve">przypomina o znaczeniu programu Parlamentu Europejskiego „Szkoła-Ambasador” dla promowania aktywnego zaangażowania młodych Europejczyków oraz o znaczeniu programu szkoleniowego dla młodych dziennikarzy nazwanego na cześć Davida </w:t>
      </w:r>
      <w:proofErr w:type="spellStart"/>
      <w:r w:rsidR="00C82101" w:rsidRPr="0003070D">
        <w:rPr>
          <w:color w:val="000000"/>
        </w:rPr>
        <w:t>Sassolego</w:t>
      </w:r>
      <w:proofErr w:type="spellEnd"/>
      <w:r w:rsidR="00C82101" w:rsidRPr="0003070D">
        <w:rPr>
          <w:color w:val="000000"/>
        </w:rPr>
        <w:t xml:space="preserve"> w celu zwiększenia zrozumienia Unii i jej funkcjonowania wśród dziennikarzy, jako najlepszego antidotum na dezinformację, w świetle ostatnich tendencji wskazujących na niepokojący spadek wolności i niezależności mediów w całej Unii;</w:t>
      </w:r>
    </w:p>
    <w:p w14:paraId="27372149" w14:textId="166FC749" w:rsidR="00C82101" w:rsidRPr="0003070D" w:rsidRDefault="00F31F7D" w:rsidP="00C82101">
      <w:pPr>
        <w:pStyle w:val="action0"/>
        <w:ind w:left="567" w:hanging="567"/>
        <w:rPr>
          <w:bCs/>
          <w:iCs/>
          <w:color w:val="000000"/>
        </w:rPr>
      </w:pPr>
      <w:r>
        <w:rPr>
          <w:color w:val="000000"/>
        </w:rPr>
        <w:t>21</w:t>
      </w:r>
      <w:r w:rsidR="00C82101" w:rsidRPr="0003070D">
        <w:rPr>
          <w:color w:val="000000"/>
        </w:rPr>
        <w:t>.</w:t>
      </w:r>
      <w:r w:rsidR="00C82101" w:rsidRPr="0003070D">
        <w:rPr>
          <w:color w:val="000000"/>
        </w:rPr>
        <w:tab/>
        <w:t>ponownie wyraża poparcie dla budowy w Brukseli paneuropejskiego pomnika ofiar reżimów totalitarnych XX wieku; odzwierciedlałby on różnorodność doświadczeń historycznych; wzywa Prezydium do rozważenia tej kwestii w celu przyjęcia decyzji, z należytym uwzględnieniem ograniczeń budżetowych ostatnich lat obecnych WRF oraz trudności gospodarczych, z jakimi borykają się obywatele europejscy;</w:t>
      </w:r>
    </w:p>
    <w:p w14:paraId="0904BCB9" w14:textId="593CEA20" w:rsidR="00C82101" w:rsidRPr="0003070D" w:rsidRDefault="00F31F7D" w:rsidP="00C82101">
      <w:pPr>
        <w:pStyle w:val="action0"/>
        <w:ind w:left="567" w:hanging="567"/>
        <w:rPr>
          <w:bCs/>
          <w:iCs/>
          <w:color w:val="000000"/>
        </w:rPr>
      </w:pPr>
      <w:r>
        <w:rPr>
          <w:color w:val="000000"/>
        </w:rPr>
        <w:t>22</w:t>
      </w:r>
      <w:r w:rsidR="00C82101" w:rsidRPr="0003070D">
        <w:rPr>
          <w:color w:val="000000"/>
        </w:rPr>
        <w:t>.</w:t>
      </w:r>
      <w:r w:rsidR="00C82101" w:rsidRPr="0003070D">
        <w:rPr>
          <w:color w:val="000000"/>
        </w:rPr>
        <w:tab/>
        <w:t>podkreśla, że posiadanie przez Parlament jednej siedziby może zmniejszyć koszty finansowe i środowiskowe; przypomina, że zgodnie z Traktatem o Unii Europejskiej Parlament ma mieć siedzibę w Strasburgu; zauważa, że trwałe zmiany wymagałyby zmiany traktatu, do czego potrzebna jest jednomyślność;</w:t>
      </w:r>
    </w:p>
    <w:p w14:paraId="15C8B876" w14:textId="77777777" w:rsidR="00C82101" w:rsidRPr="0003070D" w:rsidRDefault="00C82101" w:rsidP="00C82101">
      <w:pPr>
        <w:pStyle w:val="action0"/>
        <w:ind w:left="0" w:firstLine="0"/>
        <w:rPr>
          <w:b/>
          <w:i/>
          <w:color w:val="000000"/>
        </w:rPr>
      </w:pPr>
      <w:r w:rsidRPr="0003070D">
        <w:rPr>
          <w:b/>
          <w:i/>
          <w:color w:val="000000"/>
        </w:rPr>
        <w:t xml:space="preserve">Ekologiczny Parlament </w:t>
      </w:r>
    </w:p>
    <w:p w14:paraId="505943A2" w14:textId="10EEA6B8" w:rsidR="00C82101" w:rsidRPr="0003070D" w:rsidRDefault="00F31F7D" w:rsidP="00C82101">
      <w:pPr>
        <w:widowControl/>
        <w:spacing w:after="240"/>
        <w:ind w:left="567" w:hanging="567"/>
        <w:rPr>
          <w:color w:val="000000"/>
        </w:rPr>
      </w:pPr>
      <w:r>
        <w:rPr>
          <w:color w:val="000000"/>
        </w:rPr>
        <w:t>23</w:t>
      </w:r>
      <w:r w:rsidR="00C82101" w:rsidRPr="0003070D">
        <w:rPr>
          <w:color w:val="000000"/>
        </w:rPr>
        <w:t>.</w:t>
      </w:r>
      <w:r w:rsidR="00C82101" w:rsidRPr="0003070D">
        <w:rPr>
          <w:color w:val="000000"/>
        </w:rPr>
        <w:tab/>
        <w:t xml:space="preserve">z zadowoleniem przyjmuje cele systemu zarządzania środowiskowego (EMAS) Parlamentu na lata 2025–2029; z zadowoleniem przyjmuje inwestycje w infrastrukturę w ramach planowanych działań w zakresie efektywności energetycznej i renowacji środowiskowej przewidzianych na lata 2025–2029; inwestycje te są dobrą metodą osiągania optymalnego stosunku wartości do ceny; odnotowuje budżet w wysokości </w:t>
      </w:r>
      <w:r w:rsidR="00C82101" w:rsidRPr="0003070D">
        <w:rPr>
          <w:color w:val="000000"/>
        </w:rPr>
        <w:lastRenderedPageBreak/>
        <w:t>8,97 mln EUR na inwestycje w efektywność energetyczną i środowisko w preliminarzu na 2027 r. w celu dalszej poprawy efektywności środowiskowej budynków; zauważa, że oznacza to wzrost o 6,1 % w porównaniu z budżetem na 2026 r.; z zadowoleniem przyjmuje, że Parlament zainstalował i nadal instaluje panele fotowoltaiczne, aby jeszcze bardziej zwiększyć udział energii ze źródeł odnawialnych produkowanej na miejscu; podkreśla potrzebę dopilnowania, aby takie inwestycje przynosiły wymierny przyrost wydajności, biorąc również pod uwagę kontekst geopolityczny, i by umożliwiały długoterminowe oszczędności kosztów;</w:t>
      </w:r>
    </w:p>
    <w:p w14:paraId="0B84839C" w14:textId="2E7E9332" w:rsidR="00C82101" w:rsidRPr="0003070D" w:rsidRDefault="00F31F7D" w:rsidP="00C82101">
      <w:pPr>
        <w:widowControl/>
        <w:spacing w:after="240"/>
        <w:ind w:left="567" w:hanging="567"/>
        <w:rPr>
          <w:bCs/>
          <w:iCs/>
          <w:color w:val="000000"/>
        </w:rPr>
      </w:pPr>
      <w:r>
        <w:rPr>
          <w:color w:val="000000"/>
        </w:rPr>
        <w:t>24</w:t>
      </w:r>
      <w:r w:rsidR="00C82101" w:rsidRPr="0003070D">
        <w:rPr>
          <w:color w:val="000000"/>
        </w:rPr>
        <w:t>.</w:t>
      </w:r>
      <w:r w:rsidR="00C82101" w:rsidRPr="0003070D">
        <w:rPr>
          <w:color w:val="000000"/>
        </w:rPr>
        <w:tab/>
        <w:t>przypomina, że prawie dwie trzecie śladu węglowego Parlamentu pochodzi z transportu osób; zauważa, że znaczną część budżetu Parlamentu (w 2027 r. będzie to 162,1 mln EUR) wydaje się na pokrycie kosztów podróży służbowych posłów i pracowników; apeluje o to, aby organy Parlamentu zastanowiły się nad praktykami związanymi z podróżami służbowymi poza trzy miejsca pracy oraz nad przeglądem zasad i praktyk dotyczących wyjazdów służbowych w celu ogólnego zmniejszenia liczby wyjazdów służbowych oraz związanych z nimi kosztów finansowych i środowiskowych; zachęca posłów do korzystania z niskoemisyjnych alternatywnych środków transportu i najbardziej opłacalnych lotów;</w:t>
      </w:r>
    </w:p>
    <w:p w14:paraId="75B99E68" w14:textId="48E1C167" w:rsidR="00C82101" w:rsidRPr="0003070D" w:rsidRDefault="00F31F7D" w:rsidP="00C82101">
      <w:pPr>
        <w:widowControl/>
        <w:spacing w:after="240"/>
        <w:ind w:left="567" w:hanging="567"/>
        <w:rPr>
          <w:bCs/>
          <w:iCs/>
          <w:color w:val="000000"/>
        </w:rPr>
      </w:pPr>
      <w:r>
        <w:rPr>
          <w:color w:val="000000"/>
        </w:rPr>
        <w:t>25</w:t>
      </w:r>
      <w:r w:rsidR="00C82101" w:rsidRPr="0003070D">
        <w:rPr>
          <w:color w:val="000000"/>
        </w:rPr>
        <w:t>.</w:t>
      </w:r>
      <w:r w:rsidR="00C82101" w:rsidRPr="0003070D">
        <w:rPr>
          <w:color w:val="000000"/>
        </w:rPr>
        <w:tab/>
        <w:t>z zadowoleniem przyjmuje zwiększone wykorzystanie transportu publicznego do dojazdów do pracy, a jednocześnie odnotowuje zwiększone zapotrzebowanie na system dotacji finansowych na bilety okresowe w transporcie publicznym, w szczególności w Brukseli, co prowadzi do zwiększenia środków; uważa, że Parlament musi dawać przykład, zachęcając do podejmowania środków zapewniających efektywne wykorzystanie zasobów poprzez promowanie zrównoważonych rodzajów transportu w celu dojazdów do pracy oraz tworzenie dodatkowych zachęt do dojazdów rowerem;</w:t>
      </w:r>
    </w:p>
    <w:p w14:paraId="6CFEF876" w14:textId="17C556E6" w:rsidR="00C82101" w:rsidRPr="0003070D" w:rsidRDefault="00F31F7D" w:rsidP="00C82101">
      <w:pPr>
        <w:widowControl/>
        <w:spacing w:after="240"/>
        <w:ind w:left="567" w:hanging="567"/>
        <w:rPr>
          <w:color w:val="000000"/>
        </w:rPr>
      </w:pPr>
      <w:r>
        <w:rPr>
          <w:color w:val="000000"/>
        </w:rPr>
        <w:t>26</w:t>
      </w:r>
      <w:r w:rsidR="00C82101" w:rsidRPr="0003070D">
        <w:rPr>
          <w:color w:val="000000"/>
        </w:rPr>
        <w:t>.</w:t>
      </w:r>
      <w:r w:rsidR="00C82101" w:rsidRPr="0003070D">
        <w:rPr>
          <w:color w:val="000000"/>
        </w:rPr>
        <w:tab/>
        <w:t>odnotowuje znaczny wzrost cen jednostek emisji dwutlenku węgla, które przy obecnych poziomach emisji wymagałyby szacunkowo budżetu w wysokości 950 000 EUR w 2027 r.; wzywa administrację, aby priorytetowo traktowała zmniejszenie emisji powodowanych przez Parlament, w tym przez zwiększenie inwestycji w czyste systemy ogrzewania, wentylacji i klimatyzacji, w szczególności w instalacje pomp ciepła w Brukseli, oraz w inne proporcjonalne i opłacalne środki mające na celu obniżenie emisji tam, gdzie jest to rozsądne, zamiast kupować jednostki emisji dwutlenku węgla; z zadowoleniem przyjmuje wprowadzenie od czerwca 2025 r. zwiększonej oferty kolejowej na podróże służbowe do Strasburga, co stanowi pozytywny krok w kierunku zmniejszenia emisji CO</w:t>
      </w:r>
      <w:r w:rsidR="00C82101" w:rsidRPr="0003070D">
        <w:rPr>
          <w:color w:val="000000"/>
          <w:vertAlign w:val="subscript"/>
        </w:rPr>
        <w:t>2</w:t>
      </w:r>
      <w:r w:rsidR="00C82101" w:rsidRPr="0003070D">
        <w:rPr>
          <w:color w:val="000000"/>
        </w:rPr>
        <w:t xml:space="preserve">; </w:t>
      </w:r>
    </w:p>
    <w:p w14:paraId="0C8EAA4D" w14:textId="77777777" w:rsidR="00C82101" w:rsidRPr="0003070D" w:rsidRDefault="00C82101" w:rsidP="00C82101">
      <w:pPr>
        <w:pStyle w:val="action0"/>
        <w:ind w:left="0" w:firstLine="0"/>
        <w:rPr>
          <w:b/>
          <w:i/>
          <w:color w:val="000000"/>
        </w:rPr>
      </w:pPr>
      <w:r w:rsidRPr="0003070D">
        <w:rPr>
          <w:b/>
          <w:i/>
          <w:color w:val="000000"/>
        </w:rPr>
        <w:t>Inne</w:t>
      </w:r>
    </w:p>
    <w:p w14:paraId="582800F2" w14:textId="08A37E2A" w:rsidR="00C82101" w:rsidRPr="0003070D" w:rsidRDefault="00F31F7D" w:rsidP="00C82101">
      <w:pPr>
        <w:pStyle w:val="action0"/>
        <w:ind w:left="567" w:hanging="567"/>
        <w:rPr>
          <w:bCs/>
          <w:iCs/>
          <w:color w:val="000000"/>
        </w:rPr>
      </w:pPr>
      <w:r>
        <w:rPr>
          <w:color w:val="000000"/>
        </w:rPr>
        <w:t>27</w:t>
      </w:r>
      <w:r w:rsidR="00C82101" w:rsidRPr="0003070D">
        <w:rPr>
          <w:color w:val="000000"/>
        </w:rPr>
        <w:t>.</w:t>
      </w:r>
      <w:r w:rsidR="00C82101" w:rsidRPr="0003070D">
        <w:rPr>
          <w:color w:val="000000"/>
        </w:rPr>
        <w:tab/>
        <w:t>apeluje do Konferencji Przewodniczących o niezwłoczne zaproponowanie decyzji w sprawie odpowiednich artykułów przepisów wewnętrznych dotyczących akredytowanych asystentów parlamentarnych, którzy towarzyszą posłom w oficjalnych wyjazdach służbowych i delegacjach poza trzy miejsca pracy Parlamentu, jeśli nie zgłoszono oficjalnie Sekretariatowi Parlamentu żadnego pracownika ich grupy politycznej reprezentowanej w ramach wyjazdu;</w:t>
      </w:r>
    </w:p>
    <w:p w14:paraId="11B92DDE" w14:textId="032BC51D" w:rsidR="00C82101" w:rsidRDefault="00F31F7D" w:rsidP="00C82101">
      <w:pPr>
        <w:spacing w:after="240"/>
        <w:ind w:left="567" w:hanging="567"/>
        <w:rPr>
          <w:b/>
          <w:i/>
          <w:color w:val="000000"/>
        </w:rPr>
      </w:pPr>
      <w:r>
        <w:rPr>
          <w:color w:val="000000"/>
        </w:rPr>
        <w:t>28</w:t>
      </w:r>
      <w:r w:rsidR="00C82101" w:rsidRPr="0003070D">
        <w:rPr>
          <w:color w:val="000000"/>
        </w:rPr>
        <w:t>.</w:t>
      </w:r>
      <w:r w:rsidR="00C82101" w:rsidRPr="0003070D">
        <w:rPr>
          <w:color w:val="000000"/>
        </w:rPr>
        <w:tab/>
        <w:t xml:space="preserve">uważa, że Parlament powinien dawać przykład w zakresie praw osób z niepełnosprawnościami, zarówno jako pracodawca, jak i instytucja publiczna; z zadowoleniem przyjmuje politykę Parlamentu mającą na celu umożliwienie osobom z niepełnosprawnościami w pełni niezależnego korzystania z budynków Parlamentu i popiera dalsze środki i dostosowania, które są konieczne w tym zakresie; zauważa, że w </w:t>
      </w:r>
      <w:r w:rsidR="00C82101" w:rsidRPr="0003070D">
        <w:rPr>
          <w:color w:val="000000"/>
        </w:rPr>
        <w:lastRenderedPageBreak/>
        <w:t>budżecie na realizację tego celu w budynkach w Strasburgu przewidziano 2,07 mln EUR; podkreśla, że dostępność powinna być kluczowym kryterium renowacji budynku SPAAK i rozwoju wszystkich platform cyfrowych;</w:t>
      </w:r>
      <w:r w:rsidR="00C82101" w:rsidRPr="0003070D">
        <w:rPr>
          <w:b/>
          <w:i/>
          <w:color w:val="000000"/>
        </w:rPr>
        <w:t xml:space="preserve"> </w:t>
      </w:r>
    </w:p>
    <w:p w14:paraId="4399DB98" w14:textId="5EEFAB3E" w:rsidR="00F31F7D" w:rsidRPr="0003070D" w:rsidRDefault="00F31F7D" w:rsidP="00C82101">
      <w:pPr>
        <w:spacing w:after="240"/>
        <w:ind w:left="567" w:hanging="567"/>
        <w:rPr>
          <w:b/>
          <w:i/>
          <w:color w:val="000000"/>
        </w:rPr>
      </w:pPr>
      <w:r>
        <w:rPr>
          <w:b/>
          <w:i/>
        </w:rPr>
        <w:t>29</w:t>
      </w:r>
      <w:r w:rsidRPr="00E159A6">
        <w:rPr>
          <w:b/>
          <w:i/>
        </w:rPr>
        <w:t xml:space="preserve">. </w:t>
      </w:r>
      <w:r w:rsidRPr="00E159A6">
        <w:rPr>
          <w:b/>
          <w:i/>
        </w:rPr>
        <w:tab/>
        <w:t xml:space="preserve">z zadowoleniem przyjmuje niedawne inicjatywy zatwierdzone przez Konferencję Przewodniczących i Prezydium mające na celu umożliwienie posłankom w okresie okołoporodowym głosowania za pośrednictwem pełnomocnika oraz uznaje to za pozytywny krok w kierunku większej </w:t>
      </w:r>
      <w:proofErr w:type="spellStart"/>
      <w:r w:rsidRPr="00E159A6">
        <w:rPr>
          <w:b/>
          <w:i/>
        </w:rPr>
        <w:t>inkluzywności</w:t>
      </w:r>
      <w:proofErr w:type="spellEnd"/>
      <w:r w:rsidRPr="00E159A6">
        <w:rPr>
          <w:b/>
          <w:i/>
        </w:rPr>
        <w:t xml:space="preserve"> w pracy parlamentarnej i wzywa wszystkie strony do szybkiego wdrożenia tego środka; podkreśla jednak, że środek ten nie uwzględnia wielokrotnych apeli Parlamentu o zagwarantowanie prawa do głosowania nie tylko posłankom w okresie okołoporodowym, ale również posłom i posłankom przebywającym na urlopie rodzicielskim lub ojcowskim, lub cierpiącym na długotrwałą chorobę potwierdzoną odpowiednim zaświadczeniem;</w:t>
      </w:r>
    </w:p>
    <w:p w14:paraId="08214AFC" w14:textId="3F14E1F0" w:rsidR="00C82101" w:rsidRPr="0003070D" w:rsidRDefault="00F31F7D" w:rsidP="00C82101">
      <w:pPr>
        <w:spacing w:after="240"/>
        <w:ind w:left="567" w:hanging="567"/>
        <w:rPr>
          <w:bCs/>
          <w:iCs/>
          <w:color w:val="000000"/>
        </w:rPr>
      </w:pPr>
      <w:r>
        <w:rPr>
          <w:color w:val="000000"/>
        </w:rPr>
        <w:t>30</w:t>
      </w:r>
      <w:r w:rsidR="00C82101" w:rsidRPr="0003070D">
        <w:rPr>
          <w:color w:val="000000"/>
        </w:rPr>
        <w:t>.</w:t>
      </w:r>
      <w:r w:rsidR="00C82101" w:rsidRPr="0003070D">
        <w:rPr>
          <w:color w:val="000000"/>
        </w:rPr>
        <w:tab/>
      </w:r>
      <w:r w:rsidRPr="00F31F7D">
        <w:rPr>
          <w:color w:val="000000"/>
        </w:rPr>
        <w:t xml:space="preserve">wyraża zaniepokojenie, że na jakość i ciągłość usług świadczonych przez żłobek </w:t>
      </w:r>
      <w:proofErr w:type="spellStart"/>
      <w:r w:rsidRPr="00F31F7D">
        <w:rPr>
          <w:color w:val="000000"/>
        </w:rPr>
        <w:t>Wayenberg</w:t>
      </w:r>
      <w:proofErr w:type="spellEnd"/>
      <w:r w:rsidRPr="00F31F7D">
        <w:rPr>
          <w:color w:val="000000"/>
        </w:rPr>
        <w:t xml:space="preserve"> Parlamentu od 2020 r. miały wpływ częste zmiany usługodawców, a także wyzwania związane z niedoborem pracowników, wysoką absencją pracowników i rotacją pracowników w żłobku; odnotowuje udzielenie obecnej umowy na usługi Parlamentu w zakresie opieki nad dziećmi w Brukseli nowemu przedsiębiorstwu utworzonemu wkrótce po opublikowaniu przetargu i rzekomo powiązanemu z byłym usługodawcą, </w:t>
      </w:r>
      <w:proofErr w:type="spellStart"/>
      <w:r w:rsidRPr="00F31F7D">
        <w:rPr>
          <w:color w:val="000000"/>
        </w:rPr>
        <w:t>Esedrą</w:t>
      </w:r>
      <w:proofErr w:type="spellEnd"/>
      <w:r w:rsidRPr="00F31F7D">
        <w:rPr>
          <w:color w:val="000000"/>
        </w:rPr>
        <w:t xml:space="preserve">; przypomina o wcześniejszym rozwiązaniu przez Parlament umowy z poprzednim operatorem żłobka </w:t>
      </w:r>
      <w:proofErr w:type="spellStart"/>
      <w:r w:rsidRPr="00F31F7D">
        <w:rPr>
          <w:color w:val="000000"/>
        </w:rPr>
        <w:t>Wayenberg</w:t>
      </w:r>
      <w:proofErr w:type="spellEnd"/>
      <w:r w:rsidRPr="00F31F7D">
        <w:rPr>
          <w:color w:val="000000"/>
        </w:rPr>
        <w:t xml:space="preserve">, </w:t>
      </w:r>
      <w:proofErr w:type="spellStart"/>
      <w:r w:rsidRPr="00F31F7D">
        <w:rPr>
          <w:color w:val="000000"/>
        </w:rPr>
        <w:t>Esedrą</w:t>
      </w:r>
      <w:proofErr w:type="spellEnd"/>
      <w:r w:rsidRPr="00F31F7D">
        <w:rPr>
          <w:color w:val="000000"/>
        </w:rPr>
        <w:t>, po szeregu poważnych zarzutów wobec tego usługodawcy; ponownie podkreśla, że godne warunki pracy i odpowiednie wynagrodzenie dla pracowników zewnętrznych, w tym szkolenia, rozwój umiejętności, środki przeciwko przemocy i molestowaniu, konstruktywny dialog społeczny i inwestowanie w dobrostan pracowników, w stosownych przypadkach, powinny być co do zasady priorytetem w zamówieniach publicznych Parlamentu; wzywa do przeprowadzenia niezależnego zewnętrznego audytu procedury przetargowej i realizacji obecnej umowy, w tym niezależnej zewnętrznej oceny warunków pracy i dobrostanu pracowników;</w:t>
      </w:r>
    </w:p>
    <w:p w14:paraId="004654E8" w14:textId="19A79C3C" w:rsidR="00C82101" w:rsidRPr="0003070D" w:rsidRDefault="00F31F7D" w:rsidP="00C82101">
      <w:pPr>
        <w:spacing w:after="240"/>
        <w:ind w:left="567" w:hanging="567"/>
        <w:rPr>
          <w:bCs/>
          <w:iCs/>
          <w:color w:val="000000"/>
        </w:rPr>
      </w:pPr>
      <w:r>
        <w:rPr>
          <w:color w:val="000000"/>
        </w:rPr>
        <w:t>31</w:t>
      </w:r>
      <w:r w:rsidR="008C1E76">
        <w:rPr>
          <w:color w:val="000000"/>
        </w:rPr>
        <w:t>.</w:t>
      </w:r>
      <w:r w:rsidR="00C82101" w:rsidRPr="0003070D">
        <w:rPr>
          <w:color w:val="000000"/>
        </w:rPr>
        <w:tab/>
        <w:t>z zadowoleniem przyjmuje salę rodzinną w Strasburgu jako cenne wsparcie dla posłów i pracowników mających małe dzieci podczas ich działalności parlamentarnej; zauważa jednak, że może ona pomieścić jedynie 30 dzieci; zauważa, że średni wiek posłów do Parlamentu Europejskiego i pracowników Parlamentu obniżył się w ostatnich latach, co skutkuje większą liczbą młodych rodzin i zwiększonym zapotrzebowaniem na placówki opieki nad dziećmi; wzywa Prezydium i sekretarza generalnego do określenia i wdrożenia rozwiązań mających na celu dalszą poprawę opieki nad dziećmi w Strasburgu;</w:t>
      </w:r>
    </w:p>
    <w:p w14:paraId="2533F3F7" w14:textId="0D937205" w:rsidR="00C82101" w:rsidRPr="0003070D" w:rsidRDefault="00F31F7D" w:rsidP="00C82101">
      <w:pPr>
        <w:spacing w:after="240"/>
        <w:ind w:left="567" w:hanging="567"/>
        <w:rPr>
          <w:color w:val="000000"/>
        </w:rPr>
      </w:pPr>
      <w:r>
        <w:rPr>
          <w:color w:val="000000"/>
        </w:rPr>
        <w:t>32</w:t>
      </w:r>
      <w:r w:rsidR="00C82101" w:rsidRPr="0003070D">
        <w:rPr>
          <w:color w:val="000000"/>
        </w:rPr>
        <w:t>.</w:t>
      </w:r>
      <w:r w:rsidR="00C82101" w:rsidRPr="0003070D">
        <w:rPr>
          <w:color w:val="000000"/>
        </w:rPr>
        <w:tab/>
        <w:t xml:space="preserve">ponawia swój apel do sekretarza generalnego o podkreślenie podstawowej zasady, zgodnie z którą rekrutacja powinna opierać się na kompetencjach, przy jednoczesnym zapewnieniu równowagi geograficznej między wszystkimi państwami członkowskimi na każdym szczeblu personelu; podkreśla, że osiągnięcie sprawiedliwej reprezentacji geograficznej na wszystkich szczeblach administracji, również pod względem wieku i płci, ma zasadnicze znaczenie dla wspierania prawdziwie europejskiej służby publicznej; zauważa, że Parlament podejmował działania wspierające ten cel, w tym organizował konkursy dla poszczególnych narodowości; podkreśla potrzebę przyspieszenia procedur konkursowych przy jednoczesnym utrzymaniu rygorystycznego podejścia do naboru opartego na kryteriach merytorycznych; </w:t>
      </w:r>
    </w:p>
    <w:p w14:paraId="55232099" w14:textId="6C89EDA0" w:rsidR="00C82101" w:rsidRPr="0003070D" w:rsidRDefault="00F31F7D" w:rsidP="00C82101">
      <w:pPr>
        <w:spacing w:after="240"/>
        <w:ind w:left="567" w:hanging="567"/>
        <w:rPr>
          <w:color w:val="000000"/>
        </w:rPr>
      </w:pPr>
      <w:r>
        <w:rPr>
          <w:color w:val="000000"/>
        </w:rPr>
        <w:t>33</w:t>
      </w:r>
      <w:r w:rsidR="00C82101" w:rsidRPr="0003070D">
        <w:rPr>
          <w:color w:val="000000"/>
        </w:rPr>
        <w:t>.</w:t>
      </w:r>
      <w:r w:rsidR="00C82101" w:rsidRPr="0003070D">
        <w:rPr>
          <w:color w:val="000000"/>
        </w:rPr>
        <w:tab/>
        <w:t xml:space="preserve">podkreśla, że wielojęzyczność jest kluczową zasadą, na której opiera się praca </w:t>
      </w:r>
      <w:r w:rsidR="00C82101" w:rsidRPr="0003070D">
        <w:rPr>
          <w:color w:val="000000"/>
        </w:rPr>
        <w:lastRenderedPageBreak/>
        <w:t xml:space="preserve">Parlamentu; zwraca się do Parlamentu, aby w stosownych przypadkach wykorzystywał istotne zmiany technologiczne w usługach związanych z wielojęzycznością, w tym rozwój i wykorzystanie AI; </w:t>
      </w:r>
    </w:p>
    <w:p w14:paraId="3FA67BF4" w14:textId="026DFBBB" w:rsidR="00C82101" w:rsidRPr="0003070D" w:rsidRDefault="00F31F7D" w:rsidP="00C82101">
      <w:pPr>
        <w:spacing w:after="240"/>
        <w:ind w:left="567" w:hanging="567"/>
        <w:rPr>
          <w:bCs/>
          <w:iCs/>
          <w:color w:val="000000"/>
        </w:rPr>
      </w:pPr>
      <w:r>
        <w:rPr>
          <w:color w:val="000000"/>
        </w:rPr>
        <w:t>34</w:t>
      </w:r>
      <w:r w:rsidR="00C82101" w:rsidRPr="0003070D">
        <w:rPr>
          <w:color w:val="000000"/>
        </w:rPr>
        <w:t>.</w:t>
      </w:r>
      <w:r w:rsidR="00C82101" w:rsidRPr="0003070D">
        <w:rPr>
          <w:color w:val="000000"/>
        </w:rPr>
        <w:tab/>
        <w:t>odnotowuje wyrok Sądu Trybunału Sprawiedliwości Unii Europejskiej z 17 grudnia 2025 r. potwierdzający legalność środków przyjętych przez Prezydium w 2023 r. w odniesieniu do dobrowolnego funduszu emerytalnego dla posłów</w:t>
      </w:r>
      <w:r w:rsidR="00C82101" w:rsidRPr="0003070D">
        <w:rPr>
          <w:rStyle w:val="FootnoteReference"/>
          <w:bCs/>
          <w:iCs/>
          <w:color w:val="000000"/>
        </w:rPr>
        <w:footnoteReference w:id="13"/>
      </w:r>
      <w:r w:rsidR="00C82101" w:rsidRPr="0003070D">
        <w:rPr>
          <w:color w:val="000000"/>
        </w:rPr>
        <w:t>; podkreśla, że chociaż środki te zmniejszyły zobowiązanie z tytułu świadczeń o 63 %, sytuacja finansowa funduszu pozostaje bardzo niestabilna; oczekuje, że otrzyma aktualne informacje na temat dalszego rozwoju sytuacji w zakresie dobrowolnego systemu emerytalnego;</w:t>
      </w:r>
    </w:p>
    <w:p w14:paraId="70EE0878" w14:textId="294CB05C" w:rsidR="00C82101" w:rsidRPr="0003070D" w:rsidRDefault="00F31F7D" w:rsidP="00C82101">
      <w:pPr>
        <w:spacing w:after="240"/>
        <w:ind w:left="567" w:hanging="567"/>
        <w:rPr>
          <w:bCs/>
          <w:iCs/>
          <w:color w:val="000000"/>
        </w:rPr>
      </w:pPr>
      <w:r>
        <w:rPr>
          <w:color w:val="000000"/>
        </w:rPr>
        <w:t>35</w:t>
      </w:r>
      <w:r w:rsidR="00C82101" w:rsidRPr="0003070D">
        <w:rPr>
          <w:color w:val="000000"/>
        </w:rPr>
        <w:t>.</w:t>
      </w:r>
      <w:r w:rsidR="00C82101" w:rsidRPr="0003070D">
        <w:rPr>
          <w:color w:val="000000"/>
        </w:rPr>
        <w:tab/>
        <w:t>podkreśla, że wnioski przegłosowane na posiedzeniu plenarnym powinno się realizować w trybie priorytetowym;</w:t>
      </w:r>
    </w:p>
    <w:p w14:paraId="76C7D2B6" w14:textId="7E167091" w:rsidR="00C82101" w:rsidRPr="0003070D" w:rsidRDefault="00F31F7D" w:rsidP="00C82101">
      <w:pPr>
        <w:spacing w:after="240"/>
        <w:ind w:left="567" w:hanging="567"/>
      </w:pPr>
      <w:r>
        <w:t>36</w:t>
      </w:r>
      <w:r w:rsidR="00C82101" w:rsidRPr="0003070D">
        <w:t>.</w:t>
      </w:r>
      <w:r w:rsidR="00C82101" w:rsidRPr="0003070D">
        <w:tab/>
        <w:t>uchwala preliminarz budżetowy na rok budżetowy 2027;</w:t>
      </w:r>
    </w:p>
    <w:p w14:paraId="6AEB7857" w14:textId="3DE95EE4" w:rsidR="00C82101" w:rsidRPr="0003070D" w:rsidRDefault="00F31F7D" w:rsidP="00C82101">
      <w:pPr>
        <w:spacing w:after="240"/>
        <w:ind w:left="567" w:hanging="567"/>
        <w:jc w:val="both"/>
      </w:pPr>
      <w:r>
        <w:t>37</w:t>
      </w:r>
      <w:r w:rsidR="00C82101" w:rsidRPr="0003070D">
        <w:t>.</w:t>
      </w:r>
      <w:r w:rsidR="00C82101" w:rsidRPr="0003070D">
        <w:tab/>
        <w:t>zobowiązuje swoją przewodniczącą do przekazania niniejszej rezolucji i preliminarza budżetowego Radzie i Komisji.</w:t>
      </w:r>
    </w:p>
    <w:p w14:paraId="0F001954" w14:textId="324833E3" w:rsidR="00C82101" w:rsidRPr="0003070D" w:rsidRDefault="00C82101" w:rsidP="00862BB3">
      <w:pPr>
        <w:pStyle w:val="PageHeading"/>
      </w:pPr>
      <w:bookmarkStart w:id="4" w:name="_Hlk228207511"/>
    </w:p>
    <w:bookmarkEnd w:id="4"/>
    <w:sectPr w:rsidR="00C82101" w:rsidRPr="0003070D" w:rsidSect="00862B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567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34767D" w14:textId="77777777" w:rsidR="00DD7528" w:rsidRPr="0003070D" w:rsidRDefault="00DD7528">
      <w:r w:rsidRPr="0003070D">
        <w:separator/>
      </w:r>
    </w:p>
  </w:endnote>
  <w:endnote w:type="continuationSeparator" w:id="0">
    <w:p w14:paraId="1B4D2ED5" w14:textId="77777777" w:rsidR="00DD7528" w:rsidRPr="0003070D" w:rsidRDefault="00DD7528">
      <w:r w:rsidRPr="0003070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E413E" w14:textId="77777777" w:rsidR="00064002" w:rsidRPr="0003070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10F34" w14:textId="77777777" w:rsidR="00064002" w:rsidRPr="0003070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BCD5D" w14:textId="77777777" w:rsidR="00064002" w:rsidRPr="0003070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C12E1A" w14:textId="77777777" w:rsidR="00DD7528" w:rsidRPr="0003070D" w:rsidRDefault="00DD7528">
      <w:r w:rsidRPr="0003070D">
        <w:separator/>
      </w:r>
    </w:p>
  </w:footnote>
  <w:footnote w:type="continuationSeparator" w:id="0">
    <w:p w14:paraId="20F9BC6A" w14:textId="77777777" w:rsidR="00DD7528" w:rsidRPr="0003070D" w:rsidRDefault="00DD7528">
      <w:r w:rsidRPr="0003070D">
        <w:continuationSeparator/>
      </w:r>
    </w:p>
  </w:footnote>
  <w:footnote w:id="1">
    <w:p w14:paraId="055DBDDC" w14:textId="0969EA6D" w:rsidR="00C82101" w:rsidRPr="00862BB3" w:rsidRDefault="00C82101" w:rsidP="0003070D">
      <w:pPr>
        <w:ind w:left="567" w:hanging="567"/>
        <w:rPr>
          <w:color w:val="000000"/>
          <w:lang w:val="fi-FI"/>
        </w:rPr>
      </w:pPr>
      <w:r w:rsidRPr="0003070D">
        <w:rPr>
          <w:rStyle w:val="FootnoteReference"/>
        </w:rPr>
        <w:footnoteRef/>
      </w:r>
      <w:r w:rsidR="0003070D" w:rsidRPr="00862BB3">
        <w:rPr>
          <w:color w:val="000000"/>
          <w:lang w:val="fi-FI"/>
        </w:rPr>
        <w:t xml:space="preserve"> </w:t>
      </w:r>
      <w:r w:rsidR="0003070D" w:rsidRPr="00862BB3">
        <w:rPr>
          <w:color w:val="000000"/>
          <w:lang w:val="fi-FI"/>
        </w:rPr>
        <w:tab/>
      </w:r>
      <w:proofErr w:type="spellStart"/>
      <w:r w:rsidRPr="00862BB3">
        <w:rPr>
          <w:color w:val="000000"/>
          <w:lang w:val="fi-FI"/>
        </w:rPr>
        <w:t>Dz.U</w:t>
      </w:r>
      <w:proofErr w:type="spellEnd"/>
      <w:r w:rsidRPr="00862BB3">
        <w:rPr>
          <w:color w:val="000000"/>
          <w:lang w:val="fi-FI"/>
        </w:rPr>
        <w:t xml:space="preserve">. L, 2024/2509, 26.9.2024, ELI: </w:t>
      </w:r>
      <w:hyperlink r:id="rId1" w:history="1">
        <w:r w:rsidRPr="00862BB3">
          <w:rPr>
            <w:rStyle w:val="Hyperlink"/>
            <w:lang w:val="fi-FI"/>
          </w:rPr>
          <w:t>http://data.europa.eu/eli/reg/2024/2509/oj</w:t>
        </w:r>
      </w:hyperlink>
      <w:r w:rsidRPr="00862BB3">
        <w:rPr>
          <w:color w:val="337AB7"/>
          <w:u w:val="single"/>
          <w:lang w:val="fi-FI"/>
        </w:rPr>
        <w:t>.</w:t>
      </w:r>
    </w:p>
  </w:footnote>
  <w:footnote w:id="2">
    <w:p w14:paraId="7849482E" w14:textId="704704C9" w:rsidR="00C82101" w:rsidRPr="0003070D" w:rsidRDefault="00C82101" w:rsidP="0003070D">
      <w:pPr>
        <w:ind w:left="567" w:hanging="567"/>
        <w:rPr>
          <w:color w:val="000000"/>
        </w:rPr>
      </w:pPr>
      <w:r w:rsidRPr="0003070D">
        <w:rPr>
          <w:rStyle w:val="FootnoteReference"/>
        </w:rPr>
        <w:footnoteRef/>
      </w:r>
      <w:r w:rsidR="0003070D" w:rsidRPr="0003070D">
        <w:rPr>
          <w:color w:val="000000"/>
        </w:rPr>
        <w:t xml:space="preserve"> </w:t>
      </w:r>
      <w:r w:rsidR="0003070D" w:rsidRPr="0003070D">
        <w:rPr>
          <w:color w:val="000000"/>
        </w:rPr>
        <w:tab/>
      </w:r>
      <w:r w:rsidRPr="0003070D">
        <w:rPr>
          <w:color w:val="000000"/>
        </w:rPr>
        <w:t xml:space="preserve">Dz.U. L 433 I z 22.12.2020, s. 11, ELI: </w:t>
      </w:r>
      <w:hyperlink r:id="rId2" w:history="1">
        <w:r w:rsidRPr="0003070D">
          <w:rPr>
            <w:rStyle w:val="Hyperlink"/>
          </w:rPr>
          <w:t>http://data.europa.eu/eli/reg/2020/2093/oj</w:t>
        </w:r>
      </w:hyperlink>
      <w:r w:rsidRPr="0003070D">
        <w:rPr>
          <w:color w:val="000000"/>
        </w:rPr>
        <w:t>.</w:t>
      </w:r>
    </w:p>
  </w:footnote>
  <w:footnote w:id="3">
    <w:p w14:paraId="2E6313CF" w14:textId="7223E29F" w:rsidR="00C82101" w:rsidRPr="0003070D" w:rsidRDefault="00C82101" w:rsidP="0003070D">
      <w:pPr>
        <w:ind w:left="567" w:hanging="567"/>
        <w:rPr>
          <w:color w:val="000000"/>
        </w:rPr>
      </w:pPr>
      <w:r w:rsidRPr="0003070D">
        <w:rPr>
          <w:rStyle w:val="FootnoteReference"/>
        </w:rPr>
        <w:footnoteRef/>
      </w:r>
      <w:r w:rsidR="0003070D" w:rsidRPr="0003070D">
        <w:rPr>
          <w:color w:val="000000"/>
        </w:rPr>
        <w:t xml:space="preserve"> </w:t>
      </w:r>
      <w:r w:rsidR="0003070D" w:rsidRPr="0003070D">
        <w:rPr>
          <w:color w:val="000000"/>
        </w:rPr>
        <w:tab/>
      </w:r>
      <w:r w:rsidRPr="0003070D">
        <w:rPr>
          <w:color w:val="000000"/>
        </w:rPr>
        <w:t>Dz.U. C 444 I z 22.12.2020, s. 4.</w:t>
      </w:r>
    </w:p>
  </w:footnote>
  <w:footnote w:id="4">
    <w:p w14:paraId="29FBB2DC" w14:textId="26A088DD" w:rsidR="00C82101" w:rsidRPr="0003070D" w:rsidRDefault="00C82101" w:rsidP="0003070D">
      <w:pPr>
        <w:ind w:left="567" w:hanging="567"/>
        <w:rPr>
          <w:color w:val="000000"/>
        </w:rPr>
      </w:pPr>
      <w:r w:rsidRPr="0003070D">
        <w:rPr>
          <w:rStyle w:val="FootnoteReference"/>
        </w:rPr>
        <w:footnoteRef/>
      </w:r>
      <w:r w:rsidR="0003070D" w:rsidRPr="0003070D">
        <w:rPr>
          <w:color w:val="000000"/>
        </w:rPr>
        <w:t xml:space="preserve"> </w:t>
      </w:r>
      <w:r w:rsidR="0003070D" w:rsidRPr="0003070D">
        <w:rPr>
          <w:color w:val="000000"/>
        </w:rPr>
        <w:tab/>
      </w:r>
      <w:r w:rsidRPr="0003070D">
        <w:rPr>
          <w:color w:val="000000"/>
        </w:rPr>
        <w:t>Dz.U. C 445 z 29.10.2021, s. 252.</w:t>
      </w:r>
    </w:p>
  </w:footnote>
  <w:footnote w:id="5">
    <w:p w14:paraId="3809606A" w14:textId="18C359F4" w:rsidR="00C82101" w:rsidRPr="0003070D" w:rsidRDefault="00C82101" w:rsidP="0003070D">
      <w:pPr>
        <w:ind w:left="567" w:hanging="567"/>
      </w:pPr>
      <w:r w:rsidRPr="0003070D">
        <w:rPr>
          <w:rStyle w:val="FootnoteReference"/>
          <w:rFonts w:eastAsiaTheme="majorEastAsia"/>
        </w:rPr>
        <w:footnoteRef/>
      </w:r>
      <w:r w:rsidR="0003070D" w:rsidRPr="0003070D">
        <w:t xml:space="preserve"> </w:t>
      </w:r>
      <w:r w:rsidR="0003070D" w:rsidRPr="0003070D">
        <w:tab/>
      </w:r>
      <w:r w:rsidRPr="0003070D">
        <w:t xml:space="preserve">Dz.U. L 325 z 20.12.2022, s. 11, ELI: </w:t>
      </w:r>
      <w:hyperlink r:id="rId3" w:history="1">
        <w:r w:rsidRPr="0003070D">
          <w:rPr>
            <w:rStyle w:val="Hyperlink"/>
          </w:rPr>
          <w:t>http://data.europa.eu/eli/reg/2022/2496/oj</w:t>
        </w:r>
      </w:hyperlink>
      <w:r w:rsidRPr="0003070D">
        <w:t>.</w:t>
      </w:r>
    </w:p>
  </w:footnote>
  <w:footnote w:id="6">
    <w:p w14:paraId="5AC488B7" w14:textId="5F470CFF" w:rsidR="00C82101" w:rsidRPr="00862BB3" w:rsidRDefault="00C82101" w:rsidP="0003070D">
      <w:pPr>
        <w:ind w:left="567" w:hanging="567"/>
        <w:rPr>
          <w:lang w:val="fi-FI"/>
        </w:rPr>
      </w:pPr>
      <w:r w:rsidRPr="0003070D">
        <w:rPr>
          <w:rStyle w:val="FootnoteReference"/>
        </w:rPr>
        <w:footnoteRef/>
      </w:r>
      <w:r w:rsidR="0003070D" w:rsidRPr="00862BB3">
        <w:rPr>
          <w:lang w:val="fi-FI"/>
        </w:rPr>
        <w:t xml:space="preserve"> </w:t>
      </w:r>
      <w:r w:rsidR="0003070D" w:rsidRPr="00862BB3">
        <w:rPr>
          <w:lang w:val="fi-FI"/>
        </w:rPr>
        <w:tab/>
      </w:r>
      <w:proofErr w:type="spellStart"/>
      <w:r w:rsidRPr="00862BB3">
        <w:rPr>
          <w:lang w:val="fi-FI"/>
        </w:rPr>
        <w:t>Dz.U</w:t>
      </w:r>
      <w:proofErr w:type="spellEnd"/>
      <w:r w:rsidRPr="00862BB3">
        <w:rPr>
          <w:lang w:val="fi-FI"/>
        </w:rPr>
        <w:t xml:space="preserve">. L, 2024/765, 29.2.2024, ELI: </w:t>
      </w:r>
      <w:hyperlink r:id="rId4" w:history="1">
        <w:r w:rsidRPr="00862BB3">
          <w:rPr>
            <w:rStyle w:val="Hyperlink"/>
            <w:lang w:val="fi-FI"/>
          </w:rPr>
          <w:t>http://data.europa.eu/eli/reg/2024/765/oj</w:t>
        </w:r>
      </w:hyperlink>
      <w:r w:rsidRPr="00862BB3">
        <w:rPr>
          <w:lang w:val="fi-FI"/>
        </w:rPr>
        <w:t>.</w:t>
      </w:r>
    </w:p>
  </w:footnote>
  <w:footnote w:id="7">
    <w:p w14:paraId="40BDB5E3" w14:textId="4B032FB6" w:rsidR="00C82101" w:rsidRPr="0003070D" w:rsidRDefault="00C82101" w:rsidP="0003070D">
      <w:pPr>
        <w:ind w:left="567" w:hanging="567"/>
        <w:rPr>
          <w:color w:val="000000"/>
        </w:rPr>
      </w:pPr>
      <w:r w:rsidRPr="0003070D">
        <w:rPr>
          <w:rStyle w:val="FootnoteReference"/>
        </w:rPr>
        <w:footnoteRef/>
      </w:r>
      <w:r w:rsidR="0003070D" w:rsidRPr="0003070D">
        <w:rPr>
          <w:color w:val="000000"/>
        </w:rPr>
        <w:t xml:space="preserve"> </w:t>
      </w:r>
      <w:r w:rsidR="0003070D" w:rsidRPr="0003070D">
        <w:rPr>
          <w:color w:val="000000"/>
        </w:rPr>
        <w:tab/>
      </w:r>
      <w:r w:rsidRPr="0003070D">
        <w:rPr>
          <w:color w:val="000000"/>
        </w:rPr>
        <w:t xml:space="preserve">Dz.U. L 433 I z 22.12.2020, s. 28, ELI: </w:t>
      </w:r>
      <w:hyperlink r:id="rId5" w:history="1">
        <w:r w:rsidRPr="0003070D">
          <w:rPr>
            <w:rStyle w:val="Hyperlink"/>
          </w:rPr>
          <w:t>http://data.europa.eu/eli/agree_interinstit/2020/1222/oj</w:t>
        </w:r>
      </w:hyperlink>
      <w:r w:rsidRPr="0003070D">
        <w:rPr>
          <w:color w:val="000000"/>
        </w:rPr>
        <w:t>.</w:t>
      </w:r>
    </w:p>
  </w:footnote>
  <w:footnote w:id="8">
    <w:p w14:paraId="48F7A466" w14:textId="3EAB6601" w:rsidR="00C82101" w:rsidRPr="0003070D" w:rsidRDefault="00C82101" w:rsidP="0003070D">
      <w:pPr>
        <w:ind w:left="567" w:hanging="567"/>
        <w:rPr>
          <w:color w:val="000000"/>
        </w:rPr>
      </w:pPr>
      <w:r w:rsidRPr="0003070D">
        <w:rPr>
          <w:rStyle w:val="FootnoteReference"/>
        </w:rPr>
        <w:footnoteRef/>
      </w:r>
      <w:r w:rsidR="0003070D" w:rsidRPr="0003070D">
        <w:rPr>
          <w:color w:val="000000"/>
        </w:rPr>
        <w:t xml:space="preserve"> </w:t>
      </w:r>
      <w:r w:rsidR="0003070D" w:rsidRPr="0003070D">
        <w:rPr>
          <w:color w:val="000000"/>
        </w:rPr>
        <w:tab/>
      </w:r>
      <w:r w:rsidRPr="0003070D">
        <w:rPr>
          <w:color w:val="000000"/>
        </w:rPr>
        <w:t>Dz.U. C 445 z 29.10.2021, s. 240.</w:t>
      </w:r>
    </w:p>
  </w:footnote>
  <w:footnote w:id="9">
    <w:p w14:paraId="5F6ABC36" w14:textId="32955642" w:rsidR="00C82101" w:rsidRPr="0003070D" w:rsidRDefault="00C82101" w:rsidP="0003070D">
      <w:pPr>
        <w:ind w:left="567" w:hanging="567"/>
        <w:rPr>
          <w:color w:val="000000"/>
        </w:rPr>
      </w:pPr>
      <w:r w:rsidRPr="0003070D">
        <w:rPr>
          <w:rStyle w:val="FootnoteReference"/>
        </w:rPr>
        <w:footnoteRef/>
      </w:r>
      <w:r w:rsidR="0003070D" w:rsidRPr="0003070D">
        <w:rPr>
          <w:color w:val="000000"/>
        </w:rPr>
        <w:t xml:space="preserve"> </w:t>
      </w:r>
      <w:r w:rsidR="0003070D" w:rsidRPr="0003070D">
        <w:rPr>
          <w:color w:val="000000"/>
        </w:rPr>
        <w:tab/>
      </w:r>
      <w:r w:rsidRPr="0003070D">
        <w:rPr>
          <w:color w:val="000000"/>
        </w:rPr>
        <w:t>Dz.U. C 177 z 17.5.2023, s. 115.</w:t>
      </w:r>
    </w:p>
  </w:footnote>
  <w:footnote w:id="10">
    <w:p w14:paraId="1CC357AF" w14:textId="7224AAA6" w:rsidR="00C82101" w:rsidRPr="00862BB3" w:rsidRDefault="00C82101" w:rsidP="0003070D">
      <w:pPr>
        <w:ind w:left="567" w:hanging="567"/>
        <w:rPr>
          <w:color w:val="000000"/>
          <w:lang w:val="fi-FI"/>
        </w:rPr>
      </w:pPr>
      <w:r w:rsidRPr="0003070D">
        <w:rPr>
          <w:rStyle w:val="FootnoteReference"/>
        </w:rPr>
        <w:footnoteRef/>
      </w:r>
      <w:r w:rsidR="0003070D" w:rsidRPr="00862BB3">
        <w:rPr>
          <w:color w:val="000000"/>
          <w:lang w:val="fi-FI"/>
        </w:rPr>
        <w:t xml:space="preserve"> </w:t>
      </w:r>
      <w:r w:rsidR="0003070D" w:rsidRPr="00862BB3">
        <w:rPr>
          <w:color w:val="000000"/>
          <w:lang w:val="fi-FI"/>
        </w:rPr>
        <w:tab/>
      </w:r>
      <w:proofErr w:type="spellStart"/>
      <w:r w:rsidRPr="00862BB3">
        <w:rPr>
          <w:color w:val="000000"/>
          <w:lang w:val="fi-FI"/>
        </w:rPr>
        <w:t>Dz.U</w:t>
      </w:r>
      <w:proofErr w:type="spellEnd"/>
      <w:r w:rsidRPr="00862BB3">
        <w:rPr>
          <w:color w:val="000000"/>
          <w:lang w:val="fi-FI"/>
        </w:rPr>
        <w:t xml:space="preserve">. C, C/2024/1195, 23.2.2024, ELI: </w:t>
      </w:r>
      <w:hyperlink r:id="rId6" w:history="1">
        <w:r w:rsidRPr="00862BB3">
          <w:rPr>
            <w:rStyle w:val="Hyperlink"/>
            <w:lang w:val="fi-FI"/>
          </w:rPr>
          <w:t>http://data.europa.eu/eli/C/2024/1195/oj</w:t>
        </w:r>
      </w:hyperlink>
      <w:r w:rsidRPr="00862BB3">
        <w:rPr>
          <w:color w:val="000000"/>
          <w:lang w:val="fi-FI"/>
        </w:rPr>
        <w:t>.</w:t>
      </w:r>
    </w:p>
  </w:footnote>
  <w:footnote w:id="11">
    <w:p w14:paraId="0D0795EA" w14:textId="1D40290C" w:rsidR="00C82101" w:rsidRPr="00862BB3" w:rsidRDefault="00C82101" w:rsidP="0003070D">
      <w:pPr>
        <w:ind w:left="567" w:hanging="567"/>
        <w:rPr>
          <w:color w:val="000000"/>
          <w:lang w:val="fi-FI"/>
        </w:rPr>
      </w:pPr>
      <w:r w:rsidRPr="0003070D">
        <w:rPr>
          <w:rStyle w:val="FootnoteReference"/>
        </w:rPr>
        <w:footnoteRef/>
      </w:r>
      <w:r w:rsidR="0003070D" w:rsidRPr="00862BB3">
        <w:rPr>
          <w:color w:val="000000"/>
          <w:lang w:val="fi-FI"/>
        </w:rPr>
        <w:t xml:space="preserve"> </w:t>
      </w:r>
      <w:r w:rsidR="0003070D" w:rsidRPr="00862BB3">
        <w:rPr>
          <w:color w:val="000000"/>
          <w:lang w:val="fi-FI"/>
        </w:rPr>
        <w:tab/>
      </w:r>
      <w:proofErr w:type="spellStart"/>
      <w:r w:rsidRPr="00862BB3">
        <w:rPr>
          <w:color w:val="000000"/>
          <w:lang w:val="fi-FI"/>
        </w:rPr>
        <w:t>Dz.U</w:t>
      </w:r>
      <w:proofErr w:type="spellEnd"/>
      <w:r w:rsidRPr="00862BB3">
        <w:rPr>
          <w:color w:val="000000"/>
          <w:lang w:val="fi-FI"/>
        </w:rPr>
        <w:t xml:space="preserve">. C, C/2024/6751, 26.11.2024, ELI: </w:t>
      </w:r>
      <w:hyperlink r:id="rId7" w:history="1">
        <w:r w:rsidRPr="00862BB3">
          <w:rPr>
            <w:rStyle w:val="Hyperlink"/>
            <w:lang w:val="fi-FI"/>
          </w:rPr>
          <w:t>http://data.europa.eu/eli/C/2024/6751/oj</w:t>
        </w:r>
      </w:hyperlink>
      <w:r w:rsidRPr="00862BB3">
        <w:rPr>
          <w:color w:val="000000"/>
          <w:lang w:val="fi-FI"/>
        </w:rPr>
        <w:t>.</w:t>
      </w:r>
    </w:p>
  </w:footnote>
  <w:footnote w:id="12">
    <w:p w14:paraId="770EF477" w14:textId="024C5ECA" w:rsidR="00C82101" w:rsidRPr="00862BB3" w:rsidRDefault="00C82101" w:rsidP="0003070D">
      <w:pPr>
        <w:ind w:left="567" w:hanging="567"/>
        <w:rPr>
          <w:color w:val="000000"/>
          <w:lang w:val="fi-FI"/>
        </w:rPr>
      </w:pPr>
      <w:r w:rsidRPr="0003070D">
        <w:rPr>
          <w:rStyle w:val="FootnoteReference"/>
        </w:rPr>
        <w:footnoteRef/>
      </w:r>
      <w:r w:rsidR="0003070D" w:rsidRPr="00862BB3">
        <w:rPr>
          <w:color w:val="000000"/>
          <w:lang w:val="fi-FI"/>
        </w:rPr>
        <w:t xml:space="preserve"> </w:t>
      </w:r>
      <w:r w:rsidR="0003070D" w:rsidRPr="00862BB3">
        <w:rPr>
          <w:color w:val="000000"/>
          <w:lang w:val="fi-FI"/>
        </w:rPr>
        <w:tab/>
      </w:r>
      <w:proofErr w:type="spellStart"/>
      <w:r w:rsidRPr="00862BB3">
        <w:rPr>
          <w:color w:val="000000"/>
          <w:lang w:val="fi-FI"/>
        </w:rPr>
        <w:t>Dz.U</w:t>
      </w:r>
      <w:proofErr w:type="spellEnd"/>
      <w:r w:rsidRPr="00862BB3">
        <w:rPr>
          <w:color w:val="000000"/>
          <w:lang w:val="fi-FI"/>
        </w:rPr>
        <w:t xml:space="preserve">. L, 2026/72, 26.2.2026, ELI: </w:t>
      </w:r>
      <w:hyperlink r:id="rId8" w:history="1">
        <w:r w:rsidRPr="00862BB3">
          <w:rPr>
            <w:rStyle w:val="Hyperlink"/>
            <w:lang w:val="fi-FI"/>
          </w:rPr>
          <w:t>http://data.europa.eu/eli/budget/2026/72/oj</w:t>
        </w:r>
      </w:hyperlink>
      <w:r w:rsidRPr="00862BB3">
        <w:rPr>
          <w:color w:val="000000"/>
          <w:lang w:val="fi-FI"/>
        </w:rPr>
        <w:t xml:space="preserve">. </w:t>
      </w:r>
    </w:p>
  </w:footnote>
  <w:footnote w:id="13">
    <w:p w14:paraId="13C57DDB" w14:textId="65ED1897" w:rsidR="00C82101" w:rsidRPr="0003070D" w:rsidRDefault="00C82101" w:rsidP="0003070D">
      <w:pPr>
        <w:pStyle w:val="FootnoteText"/>
        <w:ind w:left="567" w:hanging="567"/>
        <w:rPr>
          <w:sz w:val="24"/>
          <w:lang w:val="pl-PL"/>
        </w:rPr>
      </w:pPr>
      <w:r w:rsidRPr="0003070D">
        <w:rPr>
          <w:rStyle w:val="FootnoteReference"/>
          <w:sz w:val="24"/>
          <w:lang w:val="pl-PL"/>
        </w:rPr>
        <w:footnoteRef/>
      </w:r>
      <w:r w:rsidR="0003070D" w:rsidRPr="0003070D">
        <w:rPr>
          <w:sz w:val="24"/>
          <w:lang w:val="pl-PL"/>
        </w:rPr>
        <w:t xml:space="preserve"> </w:t>
      </w:r>
      <w:r w:rsidR="0003070D" w:rsidRPr="0003070D">
        <w:rPr>
          <w:sz w:val="24"/>
          <w:lang w:val="pl-PL"/>
        </w:rPr>
        <w:tab/>
      </w:r>
      <w:r w:rsidRPr="0003070D">
        <w:rPr>
          <w:sz w:val="24"/>
          <w:lang w:val="pl-PL"/>
        </w:rPr>
        <w:t xml:space="preserve">Wyrok </w:t>
      </w:r>
      <w:r w:rsidR="00590335">
        <w:rPr>
          <w:sz w:val="24"/>
          <w:lang w:val="pl-PL"/>
        </w:rPr>
        <w:t xml:space="preserve">Sądu </w:t>
      </w:r>
      <w:r w:rsidRPr="0003070D">
        <w:rPr>
          <w:sz w:val="24"/>
          <w:lang w:val="pl-PL"/>
        </w:rPr>
        <w:t xml:space="preserve">z 17 grudnia 2025 r., </w:t>
      </w:r>
      <w:r w:rsidRPr="0003070D">
        <w:rPr>
          <w:i/>
          <w:iCs/>
          <w:sz w:val="24"/>
          <w:lang w:val="pl-PL"/>
        </w:rPr>
        <w:t>FE przeciwko Parlamentowi</w:t>
      </w:r>
      <w:r w:rsidRPr="0003070D">
        <w:rPr>
          <w:sz w:val="24"/>
          <w:lang w:val="pl-PL"/>
        </w:rPr>
        <w:t>, T</w:t>
      </w:r>
      <w:r w:rsidRPr="0003070D">
        <w:rPr>
          <w:sz w:val="24"/>
          <w:lang w:val="pl-PL"/>
        </w:rPr>
        <w:noBreakHyphen/>
        <w:t>483/24, ECLI:EU:T:2025:1121.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49B63" w14:textId="77777777" w:rsidR="00064002" w:rsidRPr="0003070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E107C" w14:textId="77777777" w:rsidR="00064002" w:rsidRPr="0003070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CC8EA" w14:textId="77777777" w:rsidR="00064002" w:rsidRPr="0003070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3E8"/>
    <w:multiLevelType w:val="multilevel"/>
    <w:tmpl w:val="3B9ACA00"/>
    <w:name w:val="Head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lvlText w:val="%1.%2.%3.%4.%5."/>
      <w:lvlJc w:val="left"/>
      <w:pPr>
        <w:tabs>
          <w:tab w:val="num" w:pos="1700"/>
        </w:tabs>
        <w:ind w:left="1700" w:hanging="1700"/>
      </w:pPr>
    </w:lvl>
    <w:lvl w:ilvl="5">
      <w:start w:val="1"/>
      <w:numFmt w:val="decimal"/>
      <w:lvlText w:val="%1.%2.%3.%4.%5.%6."/>
      <w:lvlJc w:val="left"/>
      <w:pPr>
        <w:tabs>
          <w:tab w:val="num" w:pos="1700"/>
        </w:tabs>
        <w:ind w:left="1700" w:hanging="1700"/>
      </w:pPr>
    </w:lvl>
    <w:lvl w:ilvl="6">
      <w:start w:val="1"/>
      <w:numFmt w:val="decimal"/>
      <w:lvlText w:val="%1.%2.%3.%4.%5.%6.%7."/>
      <w:lvlJc w:val="left"/>
      <w:pPr>
        <w:tabs>
          <w:tab w:val="num" w:pos="1700"/>
        </w:tabs>
        <w:ind w:left="1700" w:hanging="1700"/>
      </w:pPr>
    </w:lvl>
    <w:lvl w:ilvl="7">
      <w:start w:val="1"/>
      <w:numFmt w:val="decimal"/>
      <w:lvlText w:val="%1.%2.%3.%4.%5.%6.%7.%8."/>
      <w:lvlJc w:val="left"/>
      <w:pPr>
        <w:tabs>
          <w:tab w:val="num" w:pos="1700"/>
        </w:tabs>
        <w:ind w:left="1700" w:hanging="1700"/>
      </w:pPr>
    </w:lvl>
    <w:lvl w:ilvl="8">
      <w:start w:val="1"/>
      <w:numFmt w:val="decimal"/>
      <w:lvlText w:val="%1.%2.%3.%4.%5.%6.%7.%8.%9."/>
      <w:lvlJc w:val="left"/>
      <w:pPr>
        <w:tabs>
          <w:tab w:val="num" w:pos="1700"/>
        </w:tabs>
        <w:ind w:left="1700" w:hanging="1700"/>
      </w:pPr>
    </w:lvl>
  </w:abstractNum>
  <w:abstractNum w:abstractNumId="1" w15:restartNumberingAfterBreak="0">
    <w:nsid w:val="000003F2"/>
    <w:multiLevelType w:val="singleLevel"/>
    <w:tmpl w:val="4190AB00"/>
    <w:name w:val="Tiret 0"/>
    <w:lvl w:ilvl="0">
      <w:start w:val="1"/>
      <w:numFmt w:val="bullet"/>
      <w:lvlRestart w:val="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" w15:restartNumberingAfterBreak="0">
    <w:nsid w:val="000003F3"/>
    <w:multiLevelType w:val="singleLevel"/>
    <w:tmpl w:val="4190AB01"/>
    <w:name w:val="Tiret 1"/>
    <w:lvl w:ilvl="0">
      <w:start w:val="1"/>
      <w:numFmt w:val="bullet"/>
      <w:lvlRestart w:val="0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" w15:restartNumberingAfterBreak="0">
    <w:nsid w:val="000003F4"/>
    <w:multiLevelType w:val="singleLevel"/>
    <w:tmpl w:val="4190AB02"/>
    <w:name w:val="Tiret 2"/>
    <w:lvl w:ilvl="0">
      <w:start w:val="1"/>
      <w:numFmt w:val="bullet"/>
      <w:lvlRestart w:val="0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4" w15:restartNumberingAfterBreak="0">
    <w:nsid w:val="000003F5"/>
    <w:multiLevelType w:val="singleLevel"/>
    <w:tmpl w:val="4190AB03"/>
    <w:name w:val="Tiret 3"/>
    <w:lvl w:ilvl="0">
      <w:start w:val="1"/>
      <w:numFmt w:val="bullet"/>
      <w:lvlRestart w:val="0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5" w15:restartNumberingAfterBreak="0">
    <w:nsid w:val="000003F6"/>
    <w:multiLevelType w:val="singleLevel"/>
    <w:tmpl w:val="4190AB04"/>
    <w:name w:val="Tiret 4"/>
    <w:lvl w:ilvl="0">
      <w:start w:val="1"/>
      <w:numFmt w:val="bullet"/>
      <w:lvlRestart w:val="0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6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 w15:restartNumberingAfterBreak="0">
    <w:nsid w:val="3EBF6D78"/>
    <w:multiLevelType w:val="hybridMultilevel"/>
    <w:tmpl w:val="DFB0E1F2"/>
    <w:lvl w:ilvl="0" w:tplc="9FC02030">
      <w:start w:val="1"/>
      <w:numFmt w:val="decimal"/>
      <w:lvlText w:val="%1."/>
      <w:lvlJc w:val="left"/>
      <w:pPr>
        <w:ind w:left="1020" w:hanging="360"/>
      </w:pPr>
    </w:lvl>
    <w:lvl w:ilvl="1" w:tplc="193465C2">
      <w:start w:val="1"/>
      <w:numFmt w:val="decimal"/>
      <w:lvlText w:val="%2."/>
      <w:lvlJc w:val="left"/>
      <w:pPr>
        <w:ind w:left="1020" w:hanging="360"/>
      </w:pPr>
    </w:lvl>
    <w:lvl w:ilvl="2" w:tplc="43D8010E">
      <w:start w:val="1"/>
      <w:numFmt w:val="decimal"/>
      <w:lvlText w:val="%3."/>
      <w:lvlJc w:val="left"/>
      <w:pPr>
        <w:ind w:left="1020" w:hanging="360"/>
      </w:pPr>
    </w:lvl>
    <w:lvl w:ilvl="3" w:tplc="BAFE3B8A">
      <w:start w:val="1"/>
      <w:numFmt w:val="decimal"/>
      <w:lvlText w:val="%4."/>
      <w:lvlJc w:val="left"/>
      <w:pPr>
        <w:ind w:left="1020" w:hanging="360"/>
      </w:pPr>
    </w:lvl>
    <w:lvl w:ilvl="4" w:tplc="8C76EC0E">
      <w:start w:val="1"/>
      <w:numFmt w:val="decimal"/>
      <w:lvlText w:val="%5."/>
      <w:lvlJc w:val="left"/>
      <w:pPr>
        <w:ind w:left="1020" w:hanging="360"/>
      </w:pPr>
    </w:lvl>
    <w:lvl w:ilvl="5" w:tplc="7C900264">
      <w:start w:val="1"/>
      <w:numFmt w:val="decimal"/>
      <w:lvlText w:val="%6."/>
      <w:lvlJc w:val="left"/>
      <w:pPr>
        <w:ind w:left="1020" w:hanging="360"/>
      </w:pPr>
    </w:lvl>
    <w:lvl w:ilvl="6" w:tplc="113EB9AC">
      <w:start w:val="1"/>
      <w:numFmt w:val="decimal"/>
      <w:lvlText w:val="%7."/>
      <w:lvlJc w:val="left"/>
      <w:pPr>
        <w:ind w:left="1020" w:hanging="360"/>
      </w:pPr>
    </w:lvl>
    <w:lvl w:ilvl="7" w:tplc="8432F9EE">
      <w:start w:val="1"/>
      <w:numFmt w:val="decimal"/>
      <w:lvlText w:val="%8."/>
      <w:lvlJc w:val="left"/>
      <w:pPr>
        <w:ind w:left="1020" w:hanging="360"/>
      </w:pPr>
    </w:lvl>
    <w:lvl w:ilvl="8" w:tplc="DEC4C71A">
      <w:start w:val="1"/>
      <w:numFmt w:val="decimal"/>
      <w:lvlText w:val="%9."/>
      <w:lvlJc w:val="left"/>
      <w:pPr>
        <w:ind w:left="1020" w:hanging="360"/>
      </w:pPr>
    </w:lvl>
  </w:abstractNum>
  <w:num w:numId="1" w16cid:durableId="1759446694">
    <w:abstractNumId w:val="6"/>
  </w:num>
  <w:num w:numId="2" w16cid:durableId="206719610">
    <w:abstractNumId w:val="7"/>
  </w:num>
  <w:num w:numId="3" w16cid:durableId="1367678551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4/2026"/>
    <w:docVar w:name="dvlangue" w:val="PL"/>
    <w:docVar w:name="dvnumam" w:val="0"/>
    <w:docVar w:name="dvpe" w:val="785.303"/>
    <w:docVar w:name="dvrapporteur" w:val="Sprawozdawca: "/>
    <w:docVar w:name="dvtitre" w:val="Rezolucja Parlamentu Europejskiego z dnia  2026 r. w sprawie preliminarza dochodów i wydatków Parlamentu Europejskiego na rok budżetowy 2027(2025/2247(BUI))"/>
  </w:docVars>
  <w:rsids>
    <w:rsidRoot w:val="00DD7528"/>
    <w:rsid w:val="00002272"/>
    <w:rsid w:val="0003070D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F2DCE"/>
    <w:rsid w:val="00343214"/>
    <w:rsid w:val="00361C00"/>
    <w:rsid w:val="00395FA1"/>
    <w:rsid w:val="003E15D4"/>
    <w:rsid w:val="003F2BA8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0335"/>
    <w:rsid w:val="005C2568"/>
    <w:rsid w:val="005F1B17"/>
    <w:rsid w:val="006037C0"/>
    <w:rsid w:val="006631B6"/>
    <w:rsid w:val="00680577"/>
    <w:rsid w:val="006D7006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2BB3"/>
    <w:rsid w:val="00865F67"/>
    <w:rsid w:val="00881A7B"/>
    <w:rsid w:val="008840E5"/>
    <w:rsid w:val="00887B3E"/>
    <w:rsid w:val="008B4842"/>
    <w:rsid w:val="008C1E76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82101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D7528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1F7D"/>
    <w:rsid w:val="00F45E35"/>
    <w:rsid w:val="00F5134D"/>
    <w:rsid w:val="00F536CC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81C64B"/>
  <w15:chartTrackingRefBased/>
  <w15:docId w15:val="{A0C752B2-9D40-40EF-87DA-B0D2DAE19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9" w:qFormat="1"/>
    <w:lsdException w:name="heading 3" w:uiPriority="99" w:qFormat="1"/>
    <w:lsdException w:name="heading 4" w:uiPriority="99" w:qFormat="1"/>
    <w:lsdException w:name="heading 5" w:uiPriority="99" w:qFormat="1"/>
    <w:lsdException w:name="heading 6" w:uiPriority="99" w:qFormat="1"/>
    <w:lsdException w:name="heading 7" w:uiPriority="99" w:qFormat="1"/>
    <w:lsdException w:name="heading 8" w:uiPriority="99" w:qFormat="1"/>
    <w:lsdException w:name="heading 9" w:uiPriority="99" w:qFormat="1"/>
    <w:lsdException w:name="toc 1" w:uiPriority="3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uiPriority="10" w:qFormat="1"/>
    <w:lsdException w:name="Subtitle" w:uiPriority="11" w:qFormat="1"/>
    <w:lsdException w:name="Hyperlink" w:uiPriority="99"/>
    <w:lsdException w:name="Strong" w:uiPriority="22" w:qFormat="1"/>
    <w:lsdException w:name="Emphasis" w:uiPriority="20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9"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9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,Footnote number,Footnote symbol,Footnote Reference Number,Footnote reference number,Times 10 Point,Exposant 3 Point,Voetnootverwijzing,fr,o,Footnotemark,FR,Footnotemark1,Footnotemark2,FR1,Footnotemark3,FR2,Footnotemark4,FR3"/>
    <w:link w:val="FootnoteReference1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C82101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9"/>
    <w:rsid w:val="00C82101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9"/>
    <w:rsid w:val="00C82101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9"/>
    <w:rsid w:val="00C82101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9"/>
    <w:rsid w:val="00C82101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9"/>
    <w:rsid w:val="00C82101"/>
    <w:rPr>
      <w:i/>
      <w:sz w:val="22"/>
      <w:lang w:val="pl-PL"/>
    </w:rPr>
  </w:style>
  <w:style w:type="character" w:customStyle="1" w:styleId="Heading7Char">
    <w:name w:val="Heading 7 Char"/>
    <w:basedOn w:val="DefaultParagraphFont"/>
    <w:link w:val="Heading7"/>
    <w:uiPriority w:val="99"/>
    <w:rsid w:val="00C82101"/>
    <w:rPr>
      <w:rFonts w:ascii="Arial" w:hAnsi="Arial"/>
      <w:sz w:val="24"/>
      <w:lang w:val="pl-PL"/>
    </w:rPr>
  </w:style>
  <w:style w:type="character" w:customStyle="1" w:styleId="Heading8Char">
    <w:name w:val="Heading 8 Char"/>
    <w:basedOn w:val="DefaultParagraphFont"/>
    <w:link w:val="Heading8"/>
    <w:uiPriority w:val="99"/>
    <w:rsid w:val="00C82101"/>
    <w:rPr>
      <w:rFonts w:ascii="Arial" w:hAnsi="Arial"/>
      <w:i/>
      <w:sz w:val="24"/>
      <w:lang w:val="pl-PL"/>
    </w:rPr>
  </w:style>
  <w:style w:type="character" w:customStyle="1" w:styleId="Heading9Char">
    <w:name w:val="Heading 9 Char"/>
    <w:basedOn w:val="DefaultParagraphFont"/>
    <w:link w:val="Heading9"/>
    <w:uiPriority w:val="99"/>
    <w:rsid w:val="00C82101"/>
    <w:rPr>
      <w:rFonts w:ascii="Arial" w:hAnsi="Arial"/>
      <w:b/>
      <w:i/>
      <w:sz w:val="18"/>
      <w:lang w:val="pl-PL"/>
    </w:rPr>
  </w:style>
  <w:style w:type="paragraph" w:styleId="TOCHeading">
    <w:name w:val="TOC Heading"/>
    <w:basedOn w:val="Normal"/>
    <w:next w:val="Normal"/>
    <w:uiPriority w:val="39"/>
    <w:unhideWhenUsed/>
    <w:qFormat/>
    <w:rsid w:val="00C82101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C8210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C82101"/>
    <w:pPr>
      <w:spacing w:after="240"/>
    </w:pPr>
  </w:style>
  <w:style w:type="paragraph" w:customStyle="1" w:styleId="TOCPage">
    <w:name w:val="TOC Page"/>
    <w:basedOn w:val="Normal"/>
    <w:next w:val="TOC1"/>
    <w:rsid w:val="00C82101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C8210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C82101"/>
    <w:rPr>
      <w:b/>
    </w:rPr>
  </w:style>
  <w:style w:type="paragraph" w:customStyle="1" w:styleId="NormalHanging12a">
    <w:name w:val="NormalHanging12a"/>
    <w:basedOn w:val="Normal"/>
    <w:rsid w:val="00C82101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C82101"/>
    <w:pPr>
      <w:spacing w:after="480"/>
      <w:ind w:left="1417"/>
    </w:pPr>
  </w:style>
  <w:style w:type="paragraph" w:customStyle="1" w:styleId="CoverNormal">
    <w:name w:val="CoverNormal"/>
    <w:basedOn w:val="Normal"/>
    <w:rsid w:val="00C82101"/>
    <w:pPr>
      <w:ind w:left="1418"/>
    </w:pPr>
  </w:style>
  <w:style w:type="paragraph" w:customStyle="1" w:styleId="CoverReference">
    <w:name w:val="CoverReference"/>
    <w:basedOn w:val="Normal"/>
    <w:rsid w:val="00C82101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C82101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C82101"/>
    <w:pPr>
      <w:spacing w:before="240" w:after="1200"/>
    </w:pPr>
  </w:style>
  <w:style w:type="paragraph" w:customStyle="1" w:styleId="EPBody">
    <w:name w:val="EPBody"/>
    <w:basedOn w:val="Normal"/>
    <w:rsid w:val="00C8210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C8210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Header">
    <w:name w:val="header"/>
    <w:basedOn w:val="Normal"/>
    <w:link w:val="HeaderChar"/>
    <w:uiPriority w:val="99"/>
    <w:rsid w:val="00C8210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82101"/>
    <w:rPr>
      <w:sz w:val="24"/>
      <w:lang w:val="pl-PL"/>
    </w:rPr>
  </w:style>
  <w:style w:type="paragraph" w:customStyle="1" w:styleId="EPComma">
    <w:name w:val="EPComma"/>
    <w:basedOn w:val="Normal"/>
    <w:rsid w:val="00C82101"/>
    <w:pPr>
      <w:spacing w:before="480" w:after="240"/>
    </w:pPr>
  </w:style>
  <w:style w:type="character" w:styleId="Hyperlink">
    <w:name w:val="Hyperlink"/>
    <w:basedOn w:val="DefaultParagraphFont"/>
    <w:uiPriority w:val="99"/>
    <w:rsid w:val="00C8210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82101"/>
    <w:rPr>
      <w:color w:val="605E5C"/>
      <w:shd w:val="clear" w:color="auto" w:fill="E1DFDD"/>
    </w:rPr>
  </w:style>
  <w:style w:type="paragraph" w:customStyle="1" w:styleId="Action">
    <w:name w:val="Action"/>
    <w:basedOn w:val="Normal"/>
    <w:rsid w:val="00C82101"/>
    <w:pPr>
      <w:tabs>
        <w:tab w:val="left" w:pos="357"/>
      </w:tabs>
      <w:spacing w:after="240"/>
      <w:ind w:left="357" w:hanging="357"/>
    </w:pPr>
    <w:rPr>
      <w:lang w:eastAsia="en-US"/>
    </w:rPr>
  </w:style>
  <w:style w:type="paragraph" w:customStyle="1" w:styleId="action0">
    <w:name w:val="action"/>
    <w:basedOn w:val="Normal"/>
    <w:rsid w:val="00C82101"/>
    <w:pPr>
      <w:widowControl/>
      <w:spacing w:after="240"/>
      <w:ind w:left="357" w:hanging="357"/>
    </w:pPr>
    <w:rPr>
      <w:rFonts w:eastAsiaTheme="minorHAnsi"/>
      <w:szCs w:val="24"/>
    </w:rPr>
  </w:style>
  <w:style w:type="paragraph" w:customStyle="1" w:styleId="Institutionquiagit">
    <w:name w:val="Institution qui agit"/>
    <w:basedOn w:val="Normal"/>
    <w:next w:val="Normal"/>
    <w:rsid w:val="00C82101"/>
    <w:pPr>
      <w:keepNext/>
      <w:snapToGrid w:val="0"/>
      <w:spacing w:after="240"/>
    </w:pPr>
    <w:rPr>
      <w:i/>
      <w:lang w:eastAsia="en-US"/>
    </w:rPr>
  </w:style>
  <w:style w:type="paragraph" w:customStyle="1" w:styleId="FootnoteReference1">
    <w:name w:val="Footnote Reference1"/>
    <w:basedOn w:val="Normal"/>
    <w:link w:val="FootnoteReference"/>
    <w:rsid w:val="00C82101"/>
    <w:pPr>
      <w:widowControl/>
      <w:spacing w:after="160" w:line="240" w:lineRule="exact"/>
    </w:pPr>
    <w:rPr>
      <w:sz w:val="20"/>
      <w:vertAlign w:val="superscript"/>
      <w:lang w:val="en-GB"/>
    </w:rPr>
  </w:style>
  <w:style w:type="paragraph" w:styleId="Revision">
    <w:name w:val="Revision"/>
    <w:hidden/>
    <w:uiPriority w:val="99"/>
    <w:semiHidden/>
    <w:rsid w:val="00C82101"/>
    <w:rPr>
      <w:sz w:val="24"/>
      <w:lang w:val="pl-PL"/>
    </w:rPr>
  </w:style>
  <w:style w:type="paragraph" w:styleId="Footer">
    <w:name w:val="footer"/>
    <w:basedOn w:val="Normal"/>
    <w:link w:val="FooterChar"/>
    <w:uiPriority w:val="99"/>
    <w:rsid w:val="00C8210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82101"/>
    <w:rPr>
      <w:sz w:val="24"/>
      <w:lang w:val="pl-PL"/>
    </w:rPr>
  </w:style>
  <w:style w:type="character" w:styleId="CommentReference">
    <w:name w:val="annotation reference"/>
    <w:basedOn w:val="DefaultParagraphFont"/>
    <w:uiPriority w:val="99"/>
    <w:rsid w:val="00C821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C82101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82101"/>
    <w:rPr>
      <w:lang w:val="pl-P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C821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C82101"/>
    <w:rPr>
      <w:b/>
      <w:bCs/>
      <w:lang w:val="pl-PL"/>
    </w:rPr>
  </w:style>
  <w:style w:type="paragraph" w:styleId="ListParagraph">
    <w:name w:val="List Paragraph"/>
    <w:basedOn w:val="Normal"/>
    <w:uiPriority w:val="34"/>
    <w:qFormat/>
    <w:rsid w:val="00C82101"/>
    <w:pPr>
      <w:ind w:left="720"/>
      <w:contextualSpacing/>
    </w:pPr>
  </w:style>
  <w:style w:type="paragraph" w:customStyle="1" w:styleId="Normal24a">
    <w:name w:val="Normal24a"/>
    <w:basedOn w:val="Normal"/>
    <w:rsid w:val="00C82101"/>
    <w:pPr>
      <w:spacing w:after="480"/>
    </w:pPr>
  </w:style>
  <w:style w:type="paragraph" w:customStyle="1" w:styleId="NormalBoldCenter">
    <w:name w:val="NormalBoldCenter"/>
    <w:basedOn w:val="Normal"/>
    <w:rsid w:val="00C82101"/>
    <w:pPr>
      <w:jc w:val="center"/>
    </w:pPr>
    <w:rPr>
      <w:b/>
    </w:rPr>
  </w:style>
  <w:style w:type="paragraph" w:customStyle="1" w:styleId="Footprint12b">
    <w:name w:val="Footprint12b"/>
    <w:basedOn w:val="Normal"/>
    <w:rsid w:val="00C82101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C82101"/>
    <w:rPr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C82101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C82101"/>
    <w:rPr>
      <w:rFonts w:ascii="Arial" w:eastAsiaTheme="majorEastAsia" w:hAnsi="Arial" w:cs="Arial"/>
      <w:b/>
      <w:bCs/>
      <w:kern w:val="28"/>
      <w:sz w:val="32"/>
      <w:szCs w:val="32"/>
      <w:lang w:val="pl-PL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2101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C82101"/>
    <w:rPr>
      <w:rFonts w:ascii="Arial" w:eastAsiaTheme="majorEastAsia" w:hAnsi="Arial" w:cs="Arial"/>
      <w:sz w:val="24"/>
      <w:szCs w:val="24"/>
      <w:lang w:val="pl-PL" w:eastAsia="en-US"/>
    </w:rPr>
  </w:style>
  <w:style w:type="character" w:styleId="Strong">
    <w:name w:val="Strong"/>
    <w:basedOn w:val="DefaultParagraphFont"/>
    <w:uiPriority w:val="22"/>
    <w:qFormat/>
    <w:rsid w:val="00C82101"/>
    <w:rPr>
      <w:b/>
      <w:bCs/>
    </w:rPr>
  </w:style>
  <w:style w:type="character" w:styleId="Emphasis">
    <w:name w:val="Emphasis"/>
    <w:basedOn w:val="DefaultParagraphFont"/>
    <w:uiPriority w:val="20"/>
    <w:qFormat/>
    <w:rsid w:val="00C82101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C82101"/>
    <w:pPr>
      <w:widowControl/>
      <w:jc w:val="both"/>
    </w:pPr>
    <w:rPr>
      <w:rFonts w:eastAsiaTheme="minorHAnsi"/>
      <w:szCs w:val="32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C82101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C82101"/>
    <w:rPr>
      <w:rFonts w:eastAsiaTheme="minorHAnsi"/>
      <w:i/>
      <w:sz w:val="24"/>
      <w:szCs w:val="24"/>
      <w:lang w:val="pl-PL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2101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2101"/>
    <w:rPr>
      <w:rFonts w:eastAsiaTheme="minorHAnsi"/>
      <w:b/>
      <w:i/>
      <w:sz w:val="24"/>
      <w:szCs w:val="22"/>
      <w:lang w:val="pl-PL" w:eastAsia="en-US"/>
    </w:rPr>
  </w:style>
  <w:style w:type="character" w:styleId="SubtleEmphasis">
    <w:name w:val="Subtle Emphasis"/>
    <w:uiPriority w:val="19"/>
    <w:qFormat/>
    <w:rsid w:val="00C82101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C82101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C82101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C82101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C82101"/>
    <w:rPr>
      <w:rFonts w:asciiTheme="majorHAnsi" w:eastAsiaTheme="majorEastAsia" w:hAnsiTheme="majorHAnsi"/>
      <w:b/>
      <w:i/>
      <w:sz w:val="24"/>
      <w:szCs w:val="24"/>
    </w:rPr>
  </w:style>
  <w:style w:type="paragraph" w:customStyle="1" w:styleId="TableTitle">
    <w:name w:val="Table Title"/>
    <w:basedOn w:val="Normal"/>
    <w:uiPriority w:val="99"/>
    <w:rsid w:val="00C82101"/>
    <w:pPr>
      <w:keepNext/>
      <w:widowControl/>
      <w:spacing w:before="120" w:after="120"/>
    </w:pPr>
    <w:rPr>
      <w:rFonts w:eastAsiaTheme="minorEastAsia"/>
      <w:sz w:val="20"/>
    </w:rPr>
  </w:style>
  <w:style w:type="paragraph" w:customStyle="1" w:styleId="Tablesubtitle">
    <w:name w:val="Table subtitle"/>
    <w:basedOn w:val="Normal"/>
    <w:next w:val="Normal"/>
    <w:uiPriority w:val="99"/>
    <w:rsid w:val="00C82101"/>
    <w:pPr>
      <w:keepNext/>
      <w:widowControl/>
    </w:pPr>
    <w:rPr>
      <w:rFonts w:eastAsiaTheme="minorEastAsia"/>
      <w:sz w:val="18"/>
      <w:szCs w:val="18"/>
    </w:rPr>
  </w:style>
  <w:style w:type="paragraph" w:customStyle="1" w:styleId="NormalRight">
    <w:name w:val="Normal Right"/>
    <w:basedOn w:val="Normal"/>
    <w:next w:val="Normal"/>
    <w:uiPriority w:val="99"/>
    <w:rsid w:val="00C82101"/>
    <w:pPr>
      <w:widowControl/>
      <w:spacing w:before="120" w:after="120"/>
      <w:jc w:val="right"/>
    </w:pPr>
    <w:rPr>
      <w:rFonts w:eastAsiaTheme="minorEastAsia"/>
      <w:szCs w:val="24"/>
    </w:rPr>
  </w:style>
  <w:style w:type="paragraph" w:customStyle="1" w:styleId="ReusedInfo">
    <w:name w:val="ReusedInfo"/>
    <w:next w:val="Normal"/>
    <w:uiPriority w:val="99"/>
    <w:rsid w:val="00C82101"/>
    <w:pPr>
      <w:shd w:val="clear" w:color="auto" w:fill="C0C0C0"/>
      <w:spacing w:before="60" w:after="60"/>
    </w:pPr>
    <w:rPr>
      <w:rFonts w:eastAsiaTheme="minorEastAsia"/>
      <w:lang w:val="pl-PL"/>
    </w:rPr>
  </w:style>
  <w:style w:type="paragraph" w:customStyle="1" w:styleId="Section">
    <w:name w:val="Section"/>
    <w:basedOn w:val="Normal"/>
    <w:next w:val="Normal"/>
    <w:uiPriority w:val="99"/>
    <w:rsid w:val="00C82101"/>
    <w:pPr>
      <w:keepNext/>
      <w:widowControl/>
      <w:spacing w:before="480" w:after="120"/>
    </w:pPr>
    <w:rPr>
      <w:rFonts w:eastAsiaTheme="minorEastAsia"/>
      <w:b/>
      <w:bCs/>
      <w:smallCaps/>
      <w:sz w:val="44"/>
      <w:szCs w:val="44"/>
    </w:rPr>
  </w:style>
  <w:style w:type="paragraph" w:customStyle="1" w:styleId="Part">
    <w:name w:val="Part"/>
    <w:basedOn w:val="Normal"/>
    <w:next w:val="Normal"/>
    <w:uiPriority w:val="99"/>
    <w:rsid w:val="00C82101"/>
    <w:pPr>
      <w:keepNext/>
      <w:widowControl/>
      <w:spacing w:before="480" w:after="120"/>
    </w:pPr>
    <w:rPr>
      <w:rFonts w:eastAsiaTheme="minorEastAsia"/>
      <w:b/>
      <w:bCs/>
      <w:smallCaps/>
      <w:sz w:val="40"/>
      <w:szCs w:val="40"/>
    </w:rPr>
  </w:style>
  <w:style w:type="paragraph" w:customStyle="1" w:styleId="Revenue">
    <w:name w:val="Revenue"/>
    <w:basedOn w:val="Normal"/>
    <w:next w:val="Normal"/>
    <w:uiPriority w:val="99"/>
    <w:rsid w:val="00C82101"/>
    <w:pPr>
      <w:keepNext/>
      <w:widowControl/>
      <w:spacing w:before="480" w:after="120"/>
    </w:pPr>
    <w:rPr>
      <w:rFonts w:eastAsiaTheme="minorEastAsia"/>
      <w:b/>
      <w:bCs/>
      <w:smallCaps/>
      <w:sz w:val="36"/>
      <w:szCs w:val="36"/>
    </w:rPr>
  </w:style>
  <w:style w:type="paragraph" w:customStyle="1" w:styleId="Expenditure">
    <w:name w:val="Expenditure"/>
    <w:basedOn w:val="Normal"/>
    <w:next w:val="Normal"/>
    <w:uiPriority w:val="99"/>
    <w:rsid w:val="00C82101"/>
    <w:pPr>
      <w:keepNext/>
      <w:widowControl/>
      <w:spacing w:before="480" w:after="120"/>
    </w:pPr>
    <w:rPr>
      <w:rFonts w:eastAsiaTheme="minorEastAsia"/>
      <w:b/>
      <w:bCs/>
      <w:smallCaps/>
      <w:sz w:val="36"/>
      <w:szCs w:val="36"/>
    </w:rPr>
  </w:style>
  <w:style w:type="paragraph" w:customStyle="1" w:styleId="title2">
    <w:name w:val="title2"/>
    <w:basedOn w:val="Normal"/>
    <w:next w:val="Normal"/>
    <w:uiPriority w:val="99"/>
    <w:rsid w:val="00C82101"/>
    <w:pPr>
      <w:keepNext/>
      <w:widowControl/>
      <w:spacing w:before="480" w:after="120"/>
    </w:pPr>
    <w:rPr>
      <w:rFonts w:eastAsiaTheme="minorEastAsia"/>
      <w:b/>
      <w:bCs/>
      <w:smallCaps/>
      <w:sz w:val="32"/>
      <w:szCs w:val="32"/>
    </w:rPr>
  </w:style>
  <w:style w:type="paragraph" w:customStyle="1" w:styleId="Chapter">
    <w:name w:val="Chapter"/>
    <w:basedOn w:val="Normal"/>
    <w:next w:val="Normal"/>
    <w:uiPriority w:val="99"/>
    <w:rsid w:val="00C82101"/>
    <w:pPr>
      <w:keepNext/>
      <w:widowControl/>
      <w:spacing w:before="480" w:after="120"/>
    </w:pPr>
    <w:rPr>
      <w:rFonts w:eastAsiaTheme="minorEastAsia"/>
      <w:b/>
      <w:bCs/>
      <w:smallCaps/>
      <w:sz w:val="28"/>
      <w:szCs w:val="28"/>
    </w:rPr>
  </w:style>
  <w:style w:type="paragraph" w:customStyle="1" w:styleId="Article">
    <w:name w:val="Article"/>
    <w:basedOn w:val="Normal"/>
    <w:next w:val="Normal"/>
    <w:uiPriority w:val="99"/>
    <w:rsid w:val="00C82101"/>
    <w:pPr>
      <w:keepNext/>
      <w:widowControl/>
      <w:spacing w:before="480" w:after="120"/>
    </w:pPr>
    <w:rPr>
      <w:rFonts w:eastAsiaTheme="minorEastAsia"/>
      <w:b/>
      <w:bCs/>
      <w:i/>
      <w:iCs/>
      <w:szCs w:val="24"/>
    </w:rPr>
  </w:style>
  <w:style w:type="paragraph" w:customStyle="1" w:styleId="Item">
    <w:name w:val="Item"/>
    <w:basedOn w:val="Normal"/>
    <w:next w:val="Normal"/>
    <w:uiPriority w:val="99"/>
    <w:rsid w:val="00C82101"/>
    <w:pPr>
      <w:keepNext/>
      <w:widowControl/>
      <w:spacing w:before="480" w:after="120"/>
    </w:pPr>
    <w:rPr>
      <w:rFonts w:eastAsiaTheme="minorEastAsia"/>
      <w:sz w:val="22"/>
      <w:szCs w:val="22"/>
    </w:rPr>
  </w:style>
  <w:style w:type="paragraph" w:customStyle="1" w:styleId="SubItem">
    <w:name w:val="SubItem"/>
    <w:basedOn w:val="Normal"/>
    <w:next w:val="Normal"/>
    <w:uiPriority w:val="99"/>
    <w:rsid w:val="00C82101"/>
    <w:pPr>
      <w:keepNext/>
      <w:widowControl/>
      <w:spacing w:before="480" w:after="120"/>
    </w:pPr>
    <w:rPr>
      <w:rFonts w:eastAsiaTheme="minorEastAsia"/>
      <w:sz w:val="20"/>
    </w:rPr>
  </w:style>
  <w:style w:type="paragraph" w:customStyle="1" w:styleId="Annex">
    <w:name w:val="Annex"/>
    <w:basedOn w:val="Normal"/>
    <w:next w:val="Normal"/>
    <w:uiPriority w:val="99"/>
    <w:rsid w:val="00C82101"/>
    <w:pPr>
      <w:keepNext/>
      <w:widowControl/>
      <w:spacing w:before="480" w:after="120"/>
    </w:pPr>
    <w:rPr>
      <w:rFonts w:eastAsiaTheme="minorEastAsia"/>
      <w:b/>
      <w:bCs/>
      <w:sz w:val="32"/>
      <w:szCs w:val="32"/>
    </w:rPr>
  </w:style>
  <w:style w:type="paragraph" w:customStyle="1" w:styleId="EndofAnnex">
    <w:name w:val="End of Annex"/>
    <w:basedOn w:val="Normal"/>
    <w:next w:val="Normal"/>
    <w:uiPriority w:val="99"/>
    <w:rsid w:val="00C82101"/>
    <w:pPr>
      <w:widowControl/>
      <w:spacing w:before="120" w:after="120"/>
    </w:pPr>
    <w:rPr>
      <w:rFonts w:eastAsiaTheme="minorEastAsia"/>
      <w:i/>
      <w:iCs/>
      <w:sz w:val="20"/>
    </w:rPr>
  </w:style>
  <w:style w:type="paragraph" w:customStyle="1" w:styleId="Objective">
    <w:name w:val="Objective"/>
    <w:basedOn w:val="Normal"/>
    <w:next w:val="Normal"/>
    <w:uiPriority w:val="99"/>
    <w:rsid w:val="00C82101"/>
    <w:pPr>
      <w:keepNext/>
      <w:widowControl/>
      <w:spacing w:before="120" w:after="120"/>
    </w:pPr>
    <w:rPr>
      <w:rFonts w:eastAsiaTheme="minorEastAsia"/>
      <w:i/>
      <w:iCs/>
      <w:sz w:val="20"/>
    </w:rPr>
  </w:style>
  <w:style w:type="paragraph" w:customStyle="1" w:styleId="Figures">
    <w:name w:val="Figures"/>
    <w:basedOn w:val="Normal"/>
    <w:next w:val="Normal"/>
    <w:uiPriority w:val="99"/>
    <w:rsid w:val="00C82101"/>
    <w:pPr>
      <w:keepNext/>
      <w:widowControl/>
      <w:spacing w:before="120" w:after="120"/>
    </w:pPr>
    <w:rPr>
      <w:rFonts w:eastAsiaTheme="minorEastAsia"/>
      <w:i/>
      <w:iCs/>
      <w:sz w:val="20"/>
    </w:rPr>
  </w:style>
  <w:style w:type="paragraph" w:customStyle="1" w:styleId="Remarks">
    <w:name w:val="Remarks"/>
    <w:basedOn w:val="Normal"/>
    <w:next w:val="Normal"/>
    <w:uiPriority w:val="99"/>
    <w:rsid w:val="00C82101"/>
    <w:pPr>
      <w:keepNext/>
      <w:widowControl/>
      <w:spacing w:before="120" w:after="120"/>
    </w:pPr>
    <w:rPr>
      <w:rFonts w:eastAsiaTheme="minorEastAsia"/>
      <w:i/>
      <w:iCs/>
      <w:sz w:val="20"/>
    </w:rPr>
  </w:style>
  <w:style w:type="paragraph" w:customStyle="1" w:styleId="ReserveCond">
    <w:name w:val="ReserveCond"/>
    <w:basedOn w:val="Normal"/>
    <w:next w:val="Normal"/>
    <w:uiPriority w:val="99"/>
    <w:rsid w:val="00C82101"/>
    <w:pPr>
      <w:keepNext/>
      <w:widowControl/>
      <w:spacing w:before="120" w:after="120"/>
    </w:pPr>
    <w:rPr>
      <w:rFonts w:eastAsiaTheme="minorEastAsia"/>
      <w:i/>
      <w:iCs/>
      <w:sz w:val="20"/>
    </w:rPr>
  </w:style>
  <w:style w:type="paragraph" w:customStyle="1" w:styleId="Legalbasis">
    <w:name w:val="Legal basis"/>
    <w:basedOn w:val="Normal"/>
    <w:next w:val="Normal"/>
    <w:uiPriority w:val="99"/>
    <w:rsid w:val="00C82101"/>
    <w:pPr>
      <w:keepNext/>
      <w:widowControl/>
      <w:spacing w:before="120" w:after="120"/>
    </w:pPr>
    <w:rPr>
      <w:rFonts w:eastAsiaTheme="minorEastAsia"/>
      <w:i/>
      <w:iCs/>
      <w:sz w:val="20"/>
    </w:rPr>
  </w:style>
  <w:style w:type="paragraph" w:customStyle="1" w:styleId="Reference">
    <w:name w:val="Reference"/>
    <w:basedOn w:val="Normal"/>
    <w:next w:val="Normal"/>
    <w:uiPriority w:val="99"/>
    <w:rsid w:val="00C82101"/>
    <w:pPr>
      <w:keepNext/>
      <w:widowControl/>
      <w:spacing w:before="120" w:after="120"/>
    </w:pPr>
    <w:rPr>
      <w:rFonts w:eastAsiaTheme="minorEastAsia"/>
      <w:i/>
      <w:iCs/>
      <w:sz w:val="20"/>
    </w:rPr>
  </w:style>
  <w:style w:type="character" w:customStyle="1" w:styleId="tw4winExternal">
    <w:name w:val="tw4winExternal"/>
    <w:basedOn w:val="DefaultParagraphFont"/>
    <w:uiPriority w:val="99"/>
    <w:rsid w:val="00C82101"/>
  </w:style>
  <w:style w:type="character" w:customStyle="1" w:styleId="tw4winInternal">
    <w:name w:val="tw4winInternal"/>
    <w:basedOn w:val="DefaultParagraphFont"/>
    <w:uiPriority w:val="99"/>
    <w:rsid w:val="00C82101"/>
    <w:rPr>
      <w:sz w:val="16"/>
      <w:szCs w:val="16"/>
      <w:u w:val="dash"/>
      <w:shd w:val="clear" w:color="auto" w:fill="FFFF00"/>
    </w:rPr>
  </w:style>
  <w:style w:type="character" w:customStyle="1" w:styleId="ReusedInlineInfo">
    <w:name w:val="ReusedInlineInfo"/>
    <w:basedOn w:val="DefaultParagraphFont"/>
    <w:uiPriority w:val="99"/>
    <w:rsid w:val="00C82101"/>
    <w:rPr>
      <w:sz w:val="16"/>
      <w:szCs w:val="16"/>
      <w:u w:val="dash"/>
      <w:shd w:val="clear" w:color="auto" w:fill="FFFF00"/>
    </w:rPr>
  </w:style>
  <w:style w:type="character" w:customStyle="1" w:styleId="Error">
    <w:name w:val="Error"/>
    <w:basedOn w:val="DefaultParagraphFont"/>
    <w:uiPriority w:val="99"/>
    <w:rsid w:val="00C82101"/>
    <w:rPr>
      <w:shd w:val="clear" w:color="auto" w:fill="FF0000"/>
    </w:rPr>
  </w:style>
  <w:style w:type="paragraph" w:styleId="BalloonText">
    <w:name w:val="Balloon Text"/>
    <w:basedOn w:val="Normal"/>
    <w:link w:val="BalloonTextChar"/>
    <w:uiPriority w:val="99"/>
    <w:unhideWhenUsed/>
    <w:rsid w:val="00C82101"/>
    <w:pPr>
      <w:widowControl/>
      <w:jc w:val="both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rsid w:val="00C82101"/>
    <w:rPr>
      <w:rFonts w:ascii="Segoe UI" w:eastAsiaTheme="minorHAnsi" w:hAnsi="Segoe UI" w:cs="Segoe UI"/>
      <w:sz w:val="18"/>
      <w:szCs w:val="18"/>
      <w:lang w:val="pl-PL" w:eastAsia="en-US"/>
    </w:rPr>
  </w:style>
  <w:style w:type="numbering" w:customStyle="1" w:styleId="NoList1">
    <w:name w:val="No List1"/>
    <w:next w:val="NoList"/>
    <w:uiPriority w:val="99"/>
    <w:semiHidden/>
    <w:unhideWhenUsed/>
    <w:rsid w:val="00C82101"/>
  </w:style>
  <w:style w:type="numbering" w:customStyle="1" w:styleId="NoList2">
    <w:name w:val="No List2"/>
    <w:next w:val="NoList"/>
    <w:uiPriority w:val="99"/>
    <w:semiHidden/>
    <w:unhideWhenUsed/>
    <w:rsid w:val="00C82101"/>
  </w:style>
  <w:style w:type="paragraph" w:customStyle="1" w:styleId="RollCallVotes">
    <w:name w:val="RollCallVotes"/>
    <w:basedOn w:val="Normal"/>
    <w:rsid w:val="00C82101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C82101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C82101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C82101"/>
    <w:pPr>
      <w:spacing w:before="120" w:after="120"/>
    </w:pPr>
    <w:rPr>
      <w:snapToGrid w:val="0"/>
      <w:sz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budget/2026/72/oj" TargetMode="External"/><Relationship Id="rId3" Type="http://schemas.openxmlformats.org/officeDocument/2006/relationships/hyperlink" Target="http://data.europa.eu/eli/reg/2022/2496/oj" TargetMode="External"/><Relationship Id="rId7" Type="http://schemas.openxmlformats.org/officeDocument/2006/relationships/hyperlink" Target="http://data.europa.eu/eli/C/2024/6751/oj" TargetMode="External"/><Relationship Id="rId2" Type="http://schemas.openxmlformats.org/officeDocument/2006/relationships/hyperlink" Target="http://data.europa.eu/eli/reg/2020/2093/oj" TargetMode="External"/><Relationship Id="rId1" Type="http://schemas.openxmlformats.org/officeDocument/2006/relationships/hyperlink" Target="http://data.europa.eu/eli/reg/2024/2509/oj" TargetMode="External"/><Relationship Id="rId6" Type="http://schemas.openxmlformats.org/officeDocument/2006/relationships/hyperlink" Target="http://data.europa.eu/eli/C/2024/1195/oj" TargetMode="External"/><Relationship Id="rId5" Type="http://schemas.openxmlformats.org/officeDocument/2006/relationships/hyperlink" Target="http://data.europa.eu/eli/agree_interinstit/2020/1222/oj" TargetMode="External"/><Relationship Id="rId4" Type="http://schemas.openxmlformats.org/officeDocument/2006/relationships/hyperlink" Target="http://data.europa.eu/eli/reg/2024/76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3723</Words>
  <Characters>24485</Characters>
  <Application>Microsoft Office Word</Application>
  <DocSecurity>0</DocSecurity>
  <Lines>204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2026-07-17T12:27:00Z</dcterms:created>
  <dcterms:modified xsi:type="dcterms:W3CDTF">2026-07-17T12:27:00Z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A10-0124/2026</vt:lpwstr>
  </property>
  <property fmtid="{D5CDD505-2E9C-101B-9397-08002B2CF9AE}" pid="4" name="&lt;Type&gt;">
    <vt:lpwstr>RR</vt:lpwstr>
  </property>
</Properties>
</file>