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767B6" w14:paraId="69B8BE0B" w14:textId="77777777" w:rsidTr="0010095E">
        <w:trPr>
          <w:trHeight w:hRule="exact" w:val="1418"/>
        </w:trPr>
        <w:tc>
          <w:tcPr>
            <w:tcW w:w="6804" w:type="dxa"/>
            <w:shd w:val="clear" w:color="auto" w:fill="auto"/>
            <w:vAlign w:val="center"/>
          </w:tcPr>
          <w:p w14:paraId="2B2B033F" w14:textId="77777777" w:rsidR="00751A4A" w:rsidRPr="008767B6" w:rsidRDefault="00987C1C" w:rsidP="0010095E">
            <w:pPr>
              <w:pStyle w:val="EPName"/>
            </w:pPr>
            <w:r w:rsidRPr="008767B6">
              <w:t>Parlamentul European</w:t>
            </w:r>
          </w:p>
          <w:p w14:paraId="2C284FD2" w14:textId="77777777" w:rsidR="00751A4A" w:rsidRPr="008767B6" w:rsidRDefault="005F1B17" w:rsidP="005F1B17">
            <w:pPr>
              <w:pStyle w:val="EPTerm"/>
              <w:rPr>
                <w:rStyle w:val="HideTWBExt"/>
                <w:noProof w:val="0"/>
                <w:vanish w:val="0"/>
                <w:color w:val="auto"/>
              </w:rPr>
            </w:pPr>
            <w:r w:rsidRPr="008767B6">
              <w:t>2024</w:t>
            </w:r>
            <w:r w:rsidR="00817416" w:rsidRPr="008767B6">
              <w:t>-202</w:t>
            </w:r>
            <w:r w:rsidRPr="008767B6">
              <w:t>9</w:t>
            </w:r>
          </w:p>
        </w:tc>
        <w:tc>
          <w:tcPr>
            <w:tcW w:w="2268" w:type="dxa"/>
            <w:shd w:val="clear" w:color="auto" w:fill="auto"/>
          </w:tcPr>
          <w:p w14:paraId="218AED27" w14:textId="77777777" w:rsidR="00751A4A" w:rsidRPr="008767B6" w:rsidRDefault="00187494" w:rsidP="0010095E">
            <w:pPr>
              <w:pStyle w:val="EPLogo"/>
            </w:pPr>
            <w:r w:rsidRPr="008767B6">
              <w:rPr>
                <w:noProof/>
                <w:lang w:eastAsia="ja-JP"/>
              </w:rPr>
              <w:drawing>
                <wp:inline distT="0" distB="0" distL="0" distR="0" wp14:anchorId="475971FD" wp14:editId="4D76CBA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F5F93C5" w14:textId="77777777" w:rsidR="00D058B8" w:rsidRPr="008767B6" w:rsidRDefault="00D058B8" w:rsidP="004C5D52">
      <w:pPr>
        <w:pStyle w:val="LineTop"/>
      </w:pPr>
    </w:p>
    <w:p w14:paraId="40B4DC5C" w14:textId="77777777" w:rsidR="00680577" w:rsidRPr="008767B6" w:rsidRDefault="00987C1C" w:rsidP="00680577">
      <w:pPr>
        <w:pStyle w:val="EPBodyTA1"/>
      </w:pPr>
      <w:r w:rsidRPr="008767B6">
        <w:t>TEXTE ADOPTATE</w:t>
      </w:r>
    </w:p>
    <w:p w14:paraId="75768F8F" w14:textId="77777777" w:rsidR="00D058B8" w:rsidRPr="008767B6" w:rsidRDefault="00D058B8" w:rsidP="00D058B8">
      <w:pPr>
        <w:pStyle w:val="LineBottom"/>
      </w:pPr>
    </w:p>
    <w:p w14:paraId="606E4E7E" w14:textId="5352297E" w:rsidR="00987C1C" w:rsidRPr="008767B6" w:rsidRDefault="00987C1C" w:rsidP="00987C1C">
      <w:pPr>
        <w:pStyle w:val="ATHeading1"/>
      </w:pPr>
      <w:bookmarkStart w:id="0" w:name="TANumber"/>
      <w:r w:rsidRPr="008767B6">
        <w:t>P10_TA(2026)</w:t>
      </w:r>
      <w:bookmarkEnd w:id="0"/>
      <w:r w:rsidR="001E0B68" w:rsidRPr="008767B6">
        <w:t>0155</w:t>
      </w:r>
    </w:p>
    <w:p w14:paraId="02C62732" w14:textId="77777777" w:rsidR="00987C1C" w:rsidRPr="008767B6" w:rsidRDefault="00987C1C" w:rsidP="00987C1C">
      <w:pPr>
        <w:pStyle w:val="ATHeading2"/>
      </w:pPr>
      <w:bookmarkStart w:id="1" w:name="title"/>
      <w:r w:rsidRPr="008767B6">
        <w:t>Estimarea veniturilor și cheltuielilor pentru exercițiul financiar 2027 – Secțiunea I – Parlamentul European</w:t>
      </w:r>
      <w:bookmarkEnd w:id="1"/>
    </w:p>
    <w:p w14:paraId="06DA6077" w14:textId="77777777" w:rsidR="00987C1C" w:rsidRPr="008767B6" w:rsidRDefault="00987C1C" w:rsidP="00987C1C">
      <w:pPr>
        <w:rPr>
          <w:i/>
          <w:vanish/>
        </w:rPr>
      </w:pPr>
      <w:r w:rsidRPr="008767B6">
        <w:rPr>
          <w:i/>
        </w:rPr>
        <w:fldChar w:fldCharType="begin"/>
      </w:r>
      <w:r w:rsidRPr="008767B6">
        <w:rPr>
          <w:i/>
        </w:rPr>
        <w:instrText xml:space="preserve"> TC"(</w:instrText>
      </w:r>
      <w:bookmarkStart w:id="2" w:name="DocNumber"/>
      <w:r w:rsidRPr="008767B6">
        <w:rPr>
          <w:i/>
        </w:rPr>
        <w:instrText>A10-0124/2026</w:instrText>
      </w:r>
      <w:bookmarkEnd w:id="2"/>
      <w:r w:rsidRPr="008767B6">
        <w:rPr>
          <w:i/>
        </w:rPr>
        <w:instrText xml:space="preserve"> - Raportor: Michalis Hadjipantela)"\l3 \n&gt; \* MERGEFORMAT </w:instrText>
      </w:r>
      <w:r w:rsidRPr="008767B6">
        <w:rPr>
          <w:i/>
        </w:rPr>
        <w:fldChar w:fldCharType="end"/>
      </w:r>
    </w:p>
    <w:p w14:paraId="02B36AA9" w14:textId="77777777" w:rsidR="00987C1C" w:rsidRPr="008767B6" w:rsidRDefault="00987C1C" w:rsidP="00987C1C">
      <w:pPr>
        <w:rPr>
          <w:vanish/>
        </w:rPr>
      </w:pPr>
      <w:bookmarkStart w:id="3" w:name="Commission"/>
      <w:r w:rsidRPr="008767B6">
        <w:rPr>
          <w:vanish/>
        </w:rPr>
        <w:t>Comisia pentru bugete</w:t>
      </w:r>
      <w:bookmarkEnd w:id="3"/>
    </w:p>
    <w:p w14:paraId="380F8D0F" w14:textId="77777777" w:rsidR="00987C1C" w:rsidRPr="008767B6" w:rsidRDefault="00987C1C" w:rsidP="00987C1C">
      <w:pPr>
        <w:rPr>
          <w:vanish/>
        </w:rPr>
      </w:pPr>
      <w:bookmarkStart w:id="4" w:name="PE"/>
      <w:r w:rsidRPr="008767B6">
        <w:rPr>
          <w:vanish/>
        </w:rPr>
        <w:t>PE785.303</w:t>
      </w:r>
      <w:bookmarkEnd w:id="4"/>
    </w:p>
    <w:p w14:paraId="47A34176" w14:textId="2A767C62" w:rsidR="00987C1C" w:rsidRPr="008767B6" w:rsidRDefault="00987C1C" w:rsidP="00987C1C">
      <w:pPr>
        <w:pStyle w:val="ATHeading3"/>
      </w:pPr>
      <w:bookmarkStart w:id="5" w:name="Sujet"/>
      <w:r w:rsidRPr="008767B6">
        <w:t xml:space="preserve">Rezoluția Parlamentului European din </w:t>
      </w:r>
      <w:r w:rsidR="0018006F" w:rsidRPr="008767B6">
        <w:t>30 aprilie</w:t>
      </w:r>
      <w:r w:rsidRPr="008767B6">
        <w:t xml:space="preserve"> 2026 referito</w:t>
      </w:r>
      <w:r w:rsidR="0018006F" w:rsidRPr="008767B6">
        <w:t>a</w:t>
      </w:r>
      <w:r w:rsidRPr="008767B6">
        <w:t>r</w:t>
      </w:r>
      <w:r w:rsidR="0018006F" w:rsidRPr="008767B6">
        <w:t>e</w:t>
      </w:r>
      <w:r w:rsidRPr="008767B6">
        <w:t xml:space="preserve"> la estimarea bugetului de venituri și cheltuieli al Parlamentului European pentru exercițiul financiar 2027</w:t>
      </w:r>
      <w:bookmarkEnd w:id="5"/>
      <w:r w:rsidRPr="008767B6">
        <w:t xml:space="preserve"> </w:t>
      </w:r>
      <w:bookmarkStart w:id="6" w:name="References"/>
      <w:r w:rsidRPr="008767B6">
        <w:t>(2025/2247(BUI))</w:t>
      </w:r>
      <w:bookmarkEnd w:id="6"/>
    </w:p>
    <w:p w14:paraId="22B74B7F" w14:textId="77777777" w:rsidR="00E11ABF" w:rsidRPr="008767B6" w:rsidRDefault="00E11ABF" w:rsidP="00E11ABF">
      <w:pPr>
        <w:pStyle w:val="Institutionquiagit"/>
        <w:spacing w:before="480"/>
        <w:rPr>
          <w:i w:val="0"/>
        </w:rPr>
      </w:pPr>
      <w:bookmarkStart w:id="7" w:name="TextBodyBegin"/>
      <w:bookmarkEnd w:id="7"/>
      <w:r w:rsidRPr="008767B6">
        <w:t>Parlamentul European,</w:t>
      </w:r>
    </w:p>
    <w:p w14:paraId="6CD8144F" w14:textId="77777777" w:rsidR="00E11ABF" w:rsidRPr="008767B6" w:rsidRDefault="00E11ABF" w:rsidP="00E11ABF">
      <w:pPr>
        <w:pStyle w:val="Action"/>
        <w:tabs>
          <w:tab w:val="clear" w:pos="357"/>
        </w:tabs>
        <w:spacing w:after="120"/>
        <w:ind w:left="567" w:hanging="567"/>
        <w:outlineLvl w:val="0"/>
      </w:pPr>
      <w:r w:rsidRPr="008767B6">
        <w:t>–</w:t>
      </w:r>
      <w:r w:rsidRPr="008767B6">
        <w:tab/>
        <w:t>având în vedere articolul 314 din Tratatul privind funcționarea Uniunii Europene,</w:t>
      </w:r>
    </w:p>
    <w:p w14:paraId="38901E59" w14:textId="77777777" w:rsidR="00E11ABF" w:rsidRPr="008767B6" w:rsidRDefault="00E11ABF" w:rsidP="00E11ABF">
      <w:pPr>
        <w:spacing w:after="240"/>
        <w:ind w:left="567" w:hanging="567"/>
        <w:rPr>
          <w:color w:val="000000"/>
        </w:rPr>
      </w:pPr>
      <w:r w:rsidRPr="008767B6">
        <w:rPr>
          <w:color w:val="000000"/>
        </w:rPr>
        <w:t>–</w:t>
      </w:r>
      <w:r w:rsidRPr="008767B6">
        <w:rPr>
          <w:color w:val="000000"/>
        </w:rPr>
        <w:tab/>
        <w:t>având în vedere Regulamentul (UE, Euratom) 2024/2509 al Parlamentului European și al Consiliului din 23 septembrie 2024 privind normele financiare aplicabile bugetului general al Uniunii (reformare)</w:t>
      </w:r>
      <w:r w:rsidRPr="008767B6">
        <w:rPr>
          <w:color w:val="000000"/>
          <w:vertAlign w:val="superscript"/>
        </w:rPr>
        <w:footnoteReference w:id="1"/>
      </w:r>
      <w:r w:rsidRPr="008767B6">
        <w:rPr>
          <w:color w:val="000000"/>
        </w:rPr>
        <w:t xml:space="preserve"> (denumit în continuare „Regulamentul financiar”),</w:t>
      </w:r>
    </w:p>
    <w:p w14:paraId="0BE91BB8" w14:textId="77777777" w:rsidR="00E11ABF" w:rsidRPr="008767B6" w:rsidRDefault="00E11ABF" w:rsidP="00E11ABF">
      <w:pPr>
        <w:spacing w:after="240"/>
        <w:ind w:left="567" w:hanging="567"/>
        <w:rPr>
          <w:color w:val="000000"/>
        </w:rPr>
      </w:pPr>
      <w:r w:rsidRPr="008767B6">
        <w:rPr>
          <w:color w:val="000000"/>
        </w:rPr>
        <w:t>–</w:t>
      </w:r>
      <w:r w:rsidRPr="008767B6">
        <w:rPr>
          <w:color w:val="000000"/>
        </w:rPr>
        <w:tab/>
      </w:r>
      <w:r w:rsidRPr="008767B6">
        <w:t xml:space="preserve">având în vedere Regulamentul (UE, Euratom) 2020/2093 al Consiliului din 17 decembrie 2020 de stabilire a </w:t>
      </w:r>
      <w:sdt>
        <w:sdtPr>
          <w:tag w:val="goog_rdk_0"/>
          <w:id w:val="399490220"/>
        </w:sdtPr>
        <w:sdtEndPr/>
        <w:sdtContent/>
      </w:sdt>
      <w:sdt>
        <w:sdtPr>
          <w:tag w:val="goog_rdk_1"/>
          <w:id w:val="-2088213729"/>
        </w:sdtPr>
        <w:sdtEndPr/>
        <w:sdtContent/>
      </w:sdt>
      <w:r w:rsidRPr="008767B6">
        <w:t>cadrului financiar multianual pentru perioada 2021-2027</w:t>
      </w:r>
      <w:r w:rsidRPr="008767B6">
        <w:rPr>
          <w:color w:val="000000"/>
          <w:vertAlign w:val="superscript"/>
        </w:rPr>
        <w:footnoteReference w:id="2"/>
      </w:r>
      <w:r w:rsidRPr="008767B6">
        <w:t xml:space="preserve"> și declarația comună convenită de Parlamentul European, Consiliu și Comisie în acest context</w:t>
      </w:r>
      <w:r w:rsidRPr="008767B6">
        <w:rPr>
          <w:color w:val="000000"/>
          <w:vertAlign w:val="superscript"/>
        </w:rPr>
        <w:footnoteReference w:id="3"/>
      </w:r>
      <w:r w:rsidRPr="008767B6">
        <w:t>, precum și declarațiile unilaterale aferente</w:t>
      </w:r>
      <w:r w:rsidRPr="008767B6">
        <w:rPr>
          <w:color w:val="000000"/>
          <w:vertAlign w:val="superscript"/>
        </w:rPr>
        <w:footnoteReference w:id="4"/>
      </w:r>
      <w:r w:rsidRPr="008767B6">
        <w:t>,</w:t>
      </w:r>
    </w:p>
    <w:p w14:paraId="08D91E17" w14:textId="77777777" w:rsidR="00E11ABF" w:rsidRPr="008767B6" w:rsidRDefault="00E11ABF" w:rsidP="00E11ABF">
      <w:pPr>
        <w:spacing w:after="240"/>
        <w:ind w:left="567" w:hanging="567"/>
        <w:rPr>
          <w:color w:val="000000" w:themeColor="text1"/>
        </w:rPr>
      </w:pPr>
      <w:r w:rsidRPr="008767B6">
        <w:rPr>
          <w:color w:val="000000"/>
        </w:rPr>
        <w:t>–</w:t>
      </w:r>
      <w:r w:rsidRPr="008767B6">
        <w:rPr>
          <w:color w:val="000000"/>
        </w:rPr>
        <w:tab/>
        <w:t>având în vedere Regulamentul (UE, Euratom) 2022/2496 al Consiliului din 15 decembrie 2022 de modificare a Regulamentului (UE, Euratom) 2020/2093 de stabilire a cadrului financiar multianual pentru perioada 2021-2027</w:t>
      </w:r>
      <w:r w:rsidRPr="008767B6">
        <w:rPr>
          <w:color w:val="000000"/>
          <w:vertAlign w:val="superscript"/>
        </w:rPr>
        <w:footnoteReference w:id="5"/>
      </w:r>
      <w:r w:rsidRPr="008767B6">
        <w:rPr>
          <w:color w:val="000000"/>
        </w:rPr>
        <w:t>,</w:t>
      </w:r>
    </w:p>
    <w:p w14:paraId="0C640D55" w14:textId="1C841403" w:rsidR="00E11ABF" w:rsidRPr="008767B6" w:rsidRDefault="00E11ABF" w:rsidP="00E11ABF">
      <w:pPr>
        <w:spacing w:after="240"/>
        <w:ind w:left="567" w:hanging="567"/>
      </w:pPr>
      <w:r w:rsidRPr="008767B6">
        <w:t>–</w:t>
      </w:r>
      <w:r w:rsidRPr="008767B6">
        <w:tab/>
      </w:r>
      <w:r w:rsidRPr="008767B6">
        <w:rPr>
          <w:color w:val="000000"/>
        </w:rPr>
        <w:t>având în vedere Regulamentul (UE, Euratom) 2024/765 al Consiliului de modificare a Regulamentului (UE, Euratom) 2020/2093 de stabilire a cadrului financiar multianual pentru perioada 2021-2027</w:t>
      </w:r>
      <w:r w:rsidRPr="008767B6">
        <w:rPr>
          <w:rStyle w:val="FootnoteReference"/>
          <w:color w:val="000000"/>
        </w:rPr>
        <w:footnoteReference w:id="6"/>
      </w:r>
      <w:r w:rsidRPr="008767B6">
        <w:rPr>
          <w:color w:val="000000"/>
        </w:rPr>
        <w:t xml:space="preserve"> (</w:t>
      </w:r>
      <w:r w:rsidR="009423AB" w:rsidRPr="008767B6">
        <w:rPr>
          <w:color w:val="000000"/>
        </w:rPr>
        <w:t xml:space="preserve">denumit în continuare </w:t>
      </w:r>
      <w:r w:rsidRPr="008767B6">
        <w:rPr>
          <w:color w:val="000000"/>
        </w:rPr>
        <w:t>„Revizuirea CFM”),</w:t>
      </w:r>
    </w:p>
    <w:p w14:paraId="75603976" w14:textId="77777777" w:rsidR="00E11ABF" w:rsidRPr="008767B6" w:rsidRDefault="00E11ABF" w:rsidP="00E11ABF">
      <w:pPr>
        <w:spacing w:after="240"/>
        <w:ind w:left="567" w:hanging="567"/>
        <w:rPr>
          <w:color w:val="000000"/>
        </w:rPr>
      </w:pPr>
      <w:r w:rsidRPr="008767B6">
        <w:rPr>
          <w:color w:val="000000"/>
        </w:rPr>
        <w:t>–</w:t>
      </w:r>
      <w:r w:rsidRPr="008767B6">
        <w:rPr>
          <w:color w:val="000000"/>
        </w:rPr>
        <w:tab/>
        <w:t xml:space="preserve">având în vedere Acordul interinstituțional din 16 decembrie 2020 dintre Parlamentul European, Consiliul Uniunii Europene și Comisia Europeană privind disciplina bugetară, cooperarea în chestiuni bugetare și buna gestiune financiară, precum și privind </w:t>
      </w:r>
      <w:r w:rsidRPr="008767B6">
        <w:rPr>
          <w:color w:val="000000"/>
        </w:rPr>
        <w:lastRenderedPageBreak/>
        <w:t>noile resurse proprii, inclusiv o foaie de parcurs în vederea introducerii de noi resurse proprii</w:t>
      </w:r>
      <w:r w:rsidRPr="008767B6">
        <w:rPr>
          <w:color w:val="000000"/>
          <w:vertAlign w:val="superscript"/>
        </w:rPr>
        <w:footnoteReference w:id="7"/>
      </w:r>
      <w:r w:rsidRPr="008767B6">
        <w:rPr>
          <w:color w:val="000000"/>
        </w:rPr>
        <w:t>,</w:t>
      </w:r>
    </w:p>
    <w:p w14:paraId="07895DEE" w14:textId="77777777" w:rsidR="00E11ABF" w:rsidRPr="008767B6" w:rsidRDefault="00E11ABF" w:rsidP="00E11ABF">
      <w:pPr>
        <w:spacing w:after="240"/>
        <w:ind w:left="567" w:hanging="567"/>
      </w:pPr>
      <w:r w:rsidRPr="008767B6">
        <w:t>–</w:t>
      </w:r>
      <w:r w:rsidRPr="008767B6">
        <w:tab/>
        <w:t>având în vedere rezoluția sa legislativă din 16 decembrie 2020 referitoare la proiectul de regulament al Consiliului de stabilire a cadrului financiar multianual pentru perioada 2021-2027</w:t>
      </w:r>
      <w:r w:rsidRPr="008767B6">
        <w:rPr>
          <w:vertAlign w:val="superscript"/>
        </w:rPr>
        <w:footnoteReference w:id="8"/>
      </w:r>
      <w:r w:rsidRPr="008767B6">
        <w:t>,</w:t>
      </w:r>
    </w:p>
    <w:p w14:paraId="3BE522E4" w14:textId="77777777" w:rsidR="00E11ABF" w:rsidRPr="008767B6" w:rsidRDefault="00E11ABF" w:rsidP="00E11ABF">
      <w:pPr>
        <w:spacing w:after="240"/>
        <w:ind w:left="567" w:hanging="567"/>
        <w:rPr>
          <w:color w:val="000000"/>
        </w:rPr>
      </w:pPr>
      <w:r w:rsidRPr="008767B6">
        <w:rPr>
          <w:color w:val="000000"/>
        </w:rPr>
        <w:t>–</w:t>
      </w:r>
      <w:r w:rsidRPr="008767B6">
        <w:rPr>
          <w:color w:val="000000"/>
        </w:rPr>
        <w:tab/>
        <w:t xml:space="preserve">având în vedere rezoluția sa din 15 decembrie 2022 referitoare la extinderea cadrului financiar multianual 2021-2027: un buget al UE </w:t>
      </w:r>
      <w:proofErr w:type="spellStart"/>
      <w:r w:rsidRPr="008767B6">
        <w:rPr>
          <w:color w:val="000000"/>
        </w:rPr>
        <w:t>rezilient</w:t>
      </w:r>
      <w:proofErr w:type="spellEnd"/>
      <w:r w:rsidRPr="008767B6">
        <w:rPr>
          <w:color w:val="000000"/>
        </w:rPr>
        <w:t>, adaptat noilor provocări</w:t>
      </w:r>
      <w:r w:rsidRPr="008767B6">
        <w:rPr>
          <w:color w:val="000000"/>
          <w:vertAlign w:val="superscript"/>
        </w:rPr>
        <w:footnoteReference w:id="9"/>
      </w:r>
      <w:r w:rsidRPr="008767B6">
        <w:rPr>
          <w:color w:val="000000"/>
        </w:rPr>
        <w:t>,</w:t>
      </w:r>
    </w:p>
    <w:p w14:paraId="60785DD7" w14:textId="77777777" w:rsidR="00E11ABF" w:rsidRPr="008767B6" w:rsidRDefault="00E11ABF" w:rsidP="00E11ABF">
      <w:pPr>
        <w:spacing w:after="240"/>
        <w:ind w:left="567" w:hanging="567"/>
      </w:pPr>
      <w:r w:rsidRPr="008767B6">
        <w:t>–</w:t>
      </w:r>
      <w:r w:rsidRPr="008767B6">
        <w:tab/>
        <w:t>având în vedere rezoluția sa din 3 octombrie 2023 referitoare la revizuirea la jumătatea perioadei a cadrului financiar multianual 2021-2027</w:t>
      </w:r>
      <w:r w:rsidRPr="008767B6">
        <w:rPr>
          <w:vertAlign w:val="superscript"/>
        </w:rPr>
        <w:footnoteReference w:id="10"/>
      </w:r>
      <w:r w:rsidRPr="008767B6">
        <w:t>,</w:t>
      </w:r>
    </w:p>
    <w:p w14:paraId="04B4F938" w14:textId="77777777" w:rsidR="00E11ABF" w:rsidRPr="008767B6" w:rsidRDefault="00E11ABF" w:rsidP="00E11ABF">
      <w:pPr>
        <w:spacing w:after="240"/>
        <w:ind w:left="567" w:hanging="567"/>
        <w:rPr>
          <w:color w:val="000000"/>
        </w:rPr>
      </w:pPr>
      <w:r w:rsidRPr="008767B6">
        <w:rPr>
          <w:color w:val="000000"/>
        </w:rPr>
        <w:t>–</w:t>
      </w:r>
      <w:r w:rsidRPr="008767B6">
        <w:rPr>
          <w:color w:val="000000"/>
        </w:rPr>
        <w:tab/>
        <w:t>având în vedere rezoluția sa din 27 februarie 2024 referitoare la proiectul de regulament al Consiliului de modificare a Regulamentului (UE, Euratom) 2020/2093 de stabilire a cadrului financiar multianual pentru perioada 2021-2027</w:t>
      </w:r>
      <w:r w:rsidRPr="008767B6">
        <w:rPr>
          <w:color w:val="000000"/>
          <w:vertAlign w:val="superscript"/>
        </w:rPr>
        <w:footnoteReference w:id="11"/>
      </w:r>
      <w:r w:rsidRPr="008767B6">
        <w:rPr>
          <w:color w:val="000000"/>
        </w:rPr>
        <w:t>,</w:t>
      </w:r>
    </w:p>
    <w:p w14:paraId="2DC99357" w14:textId="77777777" w:rsidR="00E11ABF" w:rsidRPr="008767B6" w:rsidRDefault="00E11ABF" w:rsidP="00E11ABF">
      <w:pPr>
        <w:spacing w:after="240"/>
        <w:ind w:left="567" w:hanging="567"/>
        <w:rPr>
          <w:color w:val="000000"/>
        </w:rPr>
      </w:pPr>
      <w:r w:rsidRPr="008767B6">
        <w:rPr>
          <w:color w:val="000000"/>
        </w:rPr>
        <w:t>–</w:t>
      </w:r>
      <w:r w:rsidRPr="008767B6">
        <w:rPr>
          <w:color w:val="000000"/>
        </w:rPr>
        <w:tab/>
      </w:r>
      <w:r w:rsidRPr="008767B6">
        <w:t>având în vedere bugetul general al Uniunii Europene aferent exercițiului financiar 2026, astfel cum a fost adoptat definitiv la 26 noiembrie 2025</w:t>
      </w:r>
      <w:r w:rsidRPr="008767B6">
        <w:rPr>
          <w:color w:val="000000"/>
          <w:vertAlign w:val="superscript"/>
        </w:rPr>
        <w:footnoteReference w:id="12"/>
      </w:r>
      <w:r w:rsidRPr="008767B6">
        <w:t>, și declarațiile comune asupra cărora au convenit Parlamentul European, Consiliul și Comisia, anexate la acesta,</w:t>
      </w:r>
    </w:p>
    <w:p w14:paraId="29263AB6" w14:textId="77777777" w:rsidR="00E11ABF" w:rsidRPr="008767B6" w:rsidRDefault="00E11ABF" w:rsidP="00E11ABF">
      <w:pPr>
        <w:pStyle w:val="Action"/>
        <w:tabs>
          <w:tab w:val="clear" w:pos="357"/>
        </w:tabs>
        <w:spacing w:after="120"/>
        <w:ind w:left="567" w:hanging="567"/>
        <w:outlineLvl w:val="0"/>
      </w:pPr>
      <w:r w:rsidRPr="008767B6">
        <w:t>–</w:t>
      </w:r>
      <w:r w:rsidRPr="008767B6">
        <w:tab/>
        <w:t>având în vedere raportul prezentat Biroului de către Secretarul General privind proiectul preliminar de estimare a bugetului Parlamentului pentru exercițiul financiar 2027,</w:t>
      </w:r>
    </w:p>
    <w:p w14:paraId="3AA7243F" w14:textId="77777777" w:rsidR="00E11ABF" w:rsidRPr="008767B6" w:rsidRDefault="00E11ABF" w:rsidP="00E11ABF">
      <w:pPr>
        <w:pStyle w:val="Action"/>
        <w:tabs>
          <w:tab w:val="clear" w:pos="357"/>
        </w:tabs>
        <w:spacing w:after="120"/>
        <w:ind w:left="567" w:hanging="567"/>
        <w:outlineLvl w:val="0"/>
      </w:pPr>
      <w:r w:rsidRPr="008767B6">
        <w:t>–</w:t>
      </w:r>
      <w:r w:rsidRPr="008767B6">
        <w:tab/>
        <w:t>având în vedere proiectul preliminar de estimare a bugetului întocmit de Birou la 9 martie 2026 în conformitate cu articolul 25 alineatul (7) și cu articolul 104 alineatul (1) din Regulamentul de procedură al Parlamentului,</w:t>
      </w:r>
    </w:p>
    <w:p w14:paraId="39264D58" w14:textId="77777777" w:rsidR="00E11ABF" w:rsidRPr="008767B6" w:rsidRDefault="00E11ABF" w:rsidP="00E11ABF">
      <w:pPr>
        <w:pStyle w:val="Action"/>
        <w:tabs>
          <w:tab w:val="clear" w:pos="357"/>
        </w:tabs>
        <w:spacing w:after="120"/>
        <w:ind w:left="567" w:hanging="567"/>
        <w:outlineLvl w:val="0"/>
      </w:pPr>
      <w:r w:rsidRPr="008767B6">
        <w:t>–</w:t>
      </w:r>
      <w:r w:rsidRPr="008767B6">
        <w:tab/>
        <w:t>având în vedere proiectul de estimare a bugetului întocmit de Comisia pentru bugete în conformitate cu articolul 104 alineatul (2) din Regulamentul de procedură al Parlamentului,</w:t>
      </w:r>
    </w:p>
    <w:p w14:paraId="0D71F540" w14:textId="77777777" w:rsidR="00E11ABF" w:rsidRPr="008767B6" w:rsidRDefault="00E11ABF" w:rsidP="00E11ABF">
      <w:pPr>
        <w:pStyle w:val="Action"/>
        <w:tabs>
          <w:tab w:val="clear" w:pos="357"/>
        </w:tabs>
        <w:spacing w:after="120"/>
        <w:ind w:left="567" w:hanging="567"/>
        <w:outlineLvl w:val="0"/>
      </w:pPr>
      <w:r w:rsidRPr="008767B6">
        <w:t>–</w:t>
      </w:r>
      <w:r w:rsidRPr="008767B6">
        <w:tab/>
        <w:t>având în vedere articolul 104 din Regulamentul său de procedură,</w:t>
      </w:r>
    </w:p>
    <w:p w14:paraId="67DA4847" w14:textId="77777777" w:rsidR="00E11ABF" w:rsidRPr="008767B6" w:rsidRDefault="00E11ABF" w:rsidP="00E11ABF">
      <w:pPr>
        <w:pStyle w:val="Action"/>
        <w:tabs>
          <w:tab w:val="clear" w:pos="357"/>
        </w:tabs>
        <w:ind w:left="567" w:hanging="567"/>
        <w:outlineLvl w:val="0"/>
      </w:pPr>
      <w:r w:rsidRPr="008767B6">
        <w:t>–</w:t>
      </w:r>
      <w:r w:rsidRPr="008767B6">
        <w:tab/>
        <w:t>având în vedere raportul Comisiei pentru bugete (A10-0124/2026),</w:t>
      </w:r>
    </w:p>
    <w:p w14:paraId="3C13B631" w14:textId="77777777" w:rsidR="00E11ABF" w:rsidRPr="008767B6" w:rsidRDefault="00E11ABF" w:rsidP="00E11ABF">
      <w:pPr>
        <w:pStyle w:val="Action"/>
        <w:tabs>
          <w:tab w:val="clear" w:pos="357"/>
        </w:tabs>
        <w:spacing w:after="120"/>
        <w:ind w:left="567" w:hanging="567"/>
        <w:outlineLvl w:val="0"/>
      </w:pPr>
      <w:r w:rsidRPr="008767B6">
        <w:t>A.</w:t>
      </w:r>
      <w:r w:rsidRPr="008767B6">
        <w:tab/>
        <w:t>întrucât bugetul propus la 9 februarie 2026 de Secretarul General pentru proiectul preliminar de estimare a bugetului Parlamentului pentru 2027 se ridică la 2 665 474 853 EUR și reprezintă o majorare de 2,33 % sau 60 618 266 EUR față de bugetul pe 2026;</w:t>
      </w:r>
    </w:p>
    <w:p w14:paraId="5B414CF1" w14:textId="77777777" w:rsidR="00E11ABF" w:rsidRPr="008767B6" w:rsidRDefault="00E11ABF" w:rsidP="00E11ABF">
      <w:pPr>
        <w:pStyle w:val="Action"/>
        <w:tabs>
          <w:tab w:val="clear" w:pos="357"/>
        </w:tabs>
        <w:spacing w:after="120"/>
        <w:ind w:left="567" w:hanging="567"/>
        <w:outlineLvl w:val="0"/>
      </w:pPr>
      <w:r w:rsidRPr="008767B6">
        <w:t>B.</w:t>
      </w:r>
      <w:r w:rsidRPr="008767B6">
        <w:tab/>
        <w:t>întrucât creșterea de 2,33 % propusă de Secretarul General se datorează unei creșteri de 2,01 % pentru obligațiile financiare statutare și de 2,89 % pentru cheltuielile nestatutare;</w:t>
      </w:r>
    </w:p>
    <w:p w14:paraId="73319CE7" w14:textId="77777777" w:rsidR="00E11ABF" w:rsidRPr="008767B6" w:rsidRDefault="00E11ABF" w:rsidP="00E11ABF">
      <w:pPr>
        <w:pStyle w:val="Action"/>
        <w:tabs>
          <w:tab w:val="clear" w:pos="357"/>
        </w:tabs>
        <w:ind w:left="567" w:hanging="567"/>
        <w:outlineLvl w:val="0"/>
      </w:pPr>
      <w:r w:rsidRPr="008767B6">
        <w:t>C.</w:t>
      </w:r>
      <w:r w:rsidRPr="008767B6">
        <w:tab/>
        <w:t xml:space="preserve">întrucât, potrivit </w:t>
      </w:r>
      <w:proofErr w:type="spellStart"/>
      <w:r w:rsidRPr="008767B6">
        <w:t>Eurostat</w:t>
      </w:r>
      <w:proofErr w:type="spellEnd"/>
      <w:r w:rsidRPr="008767B6">
        <w:t xml:space="preserve">, inflația anuală la nivelul Uniunii a fost de 2,3 % în decembrie 2025, scăzând de la 2,7 % în decembrie 2024; întrucât nivelul cheltuielilor de la rubrica 7 din cadrul financiar multianual (CFM) 2021-2027 se bazează pe o creștere </w:t>
      </w:r>
      <w:r w:rsidRPr="008767B6">
        <w:lastRenderedPageBreak/>
        <w:t>anuală de 2 %;</w:t>
      </w:r>
    </w:p>
    <w:p w14:paraId="515D4493" w14:textId="77777777" w:rsidR="00E11ABF" w:rsidRPr="008767B6" w:rsidRDefault="00E11ABF" w:rsidP="00E11ABF">
      <w:pPr>
        <w:pStyle w:val="Action"/>
        <w:tabs>
          <w:tab w:val="clear" w:pos="357"/>
        </w:tabs>
        <w:ind w:left="567" w:hanging="567"/>
        <w:outlineLvl w:val="0"/>
      </w:pPr>
      <w:r w:rsidRPr="008767B6">
        <w:t>D.</w:t>
      </w:r>
      <w:r w:rsidRPr="008767B6">
        <w:tab/>
        <w:t>întrucât credibilitatea Parlamentului depinde de capacitatea sa de a desfășura principalele sale activități bugetare, legislative și de control la cel mai înalt nivel, dând totodată un exemplu în raport cu alte instituții ale Uniunii pentru a-și planifica și efectua cheltuielile cu prudență și eficiență și pentru a reflecta realitățile economice predominante,</w:t>
      </w:r>
    </w:p>
    <w:p w14:paraId="021CA295" w14:textId="77777777" w:rsidR="00E11ABF" w:rsidRPr="008767B6" w:rsidRDefault="00E11ABF" w:rsidP="00E11ABF">
      <w:pPr>
        <w:pStyle w:val="NormalHanging12a"/>
        <w:rPr>
          <w:b/>
          <w:i/>
        </w:rPr>
      </w:pPr>
      <w:r w:rsidRPr="008767B6">
        <w:rPr>
          <w:b/>
          <w:i/>
        </w:rPr>
        <w:t>Cadrul general</w:t>
      </w:r>
    </w:p>
    <w:p w14:paraId="1F95E62D" w14:textId="6FD1B882" w:rsidR="00E11ABF" w:rsidRPr="008767B6" w:rsidRDefault="00E11ABF" w:rsidP="00E11ABF">
      <w:pPr>
        <w:spacing w:after="240"/>
        <w:ind w:left="567" w:hanging="567"/>
        <w:rPr>
          <w:color w:val="000000"/>
        </w:rPr>
      </w:pPr>
      <w:r w:rsidRPr="008767B6">
        <w:rPr>
          <w:color w:val="000000"/>
        </w:rPr>
        <w:t>1.</w:t>
      </w:r>
      <w:r w:rsidRPr="008767B6">
        <w:rPr>
          <w:color w:val="000000"/>
        </w:rPr>
        <w:tab/>
        <w:t xml:space="preserve">este preocupat de situația de la rubrica 7 din actualul CFM; reamintește că constrângerile sunt rezultatul reducerilor aplicate de Consiliu propunerii inițiale a Comisiei, deja foarte scăzute, atunci când a convenit asupra CFM 2021-2027, precum și al impactului cumulat al unei inflații mai mari decât se preconizase pe parcursul mai multor ani; regretă </w:t>
      </w:r>
      <w:r w:rsidR="009423AB" w:rsidRPr="008767B6">
        <w:rPr>
          <w:color w:val="000000"/>
        </w:rPr>
        <w:t xml:space="preserve">opoziția </w:t>
      </w:r>
      <w:r w:rsidRPr="008767B6">
        <w:rPr>
          <w:color w:val="000000"/>
        </w:rPr>
        <w:t>Consiliul</w:t>
      </w:r>
      <w:r w:rsidR="009423AB" w:rsidRPr="008767B6">
        <w:rPr>
          <w:color w:val="000000"/>
        </w:rPr>
        <w:t>ui</w:t>
      </w:r>
      <w:r w:rsidRPr="008767B6">
        <w:rPr>
          <w:color w:val="000000"/>
        </w:rPr>
        <w:t xml:space="preserve"> </w:t>
      </w:r>
      <w:r w:rsidR="009423AB" w:rsidRPr="008767B6">
        <w:rPr>
          <w:color w:val="000000"/>
        </w:rPr>
        <w:t>la</w:t>
      </w:r>
      <w:r w:rsidRPr="008767B6">
        <w:rPr>
          <w:color w:val="000000"/>
        </w:rPr>
        <w:t xml:space="preserve"> propuner</w:t>
      </w:r>
      <w:r w:rsidR="009423AB" w:rsidRPr="008767B6">
        <w:rPr>
          <w:color w:val="000000"/>
        </w:rPr>
        <w:t>ea</w:t>
      </w:r>
      <w:r w:rsidRPr="008767B6">
        <w:rPr>
          <w:color w:val="000000"/>
        </w:rPr>
        <w:t xml:space="preserve"> Comisiei de a majora plafonul de la rubrica 7 în cadrul revizuirii CFM începând cu 2024; subliniază că problema plafonului de la rubrica 7 nu a fost abordată în cadrul revizuirii CFM; subliniază că marja negativă preconizată pentru 2027 presupune utilizarea instrumentelor speciale de la rubrica 7 în acest scop; subliniază că recurgerea la instrumente speciale ar trebui să rămână excepțională, justificată în mod corespunzător și limitată la circumstanțe neprevăzute;</w:t>
      </w:r>
    </w:p>
    <w:p w14:paraId="54AC2118" w14:textId="77777777" w:rsidR="00E11ABF" w:rsidRPr="008767B6" w:rsidRDefault="00E11ABF" w:rsidP="00E11ABF">
      <w:pPr>
        <w:spacing w:after="240"/>
        <w:ind w:left="567" w:hanging="567"/>
        <w:rPr>
          <w:color w:val="000000"/>
        </w:rPr>
      </w:pPr>
      <w:r w:rsidRPr="008767B6">
        <w:rPr>
          <w:color w:val="000000"/>
        </w:rPr>
        <w:t>2.</w:t>
      </w:r>
      <w:r w:rsidRPr="008767B6">
        <w:rPr>
          <w:color w:val="000000"/>
        </w:rPr>
        <w:tab/>
        <w:t xml:space="preserve">aprobă acordul la care s-a ajuns în cadrul concilierii dintre Birou și Comisia pentru bugete din 15 aprilie 2026 de a stabili majorarea față de bugetul 2026 la 1,98 %, ceea ce corespunde unui total al estimărilor de 2 656 435 753 EUR pentru 2027, și de a reduce în consecință creditele propuse la următoarele linii bugetare, în valoare totală de 10 554 000 EUR: </w:t>
      </w:r>
    </w:p>
    <w:p w14:paraId="6A7E70E7" w14:textId="77777777" w:rsidR="00E11ABF" w:rsidRPr="008767B6" w:rsidRDefault="00E11ABF" w:rsidP="00E11ABF">
      <w:pPr>
        <w:spacing w:after="240"/>
        <w:ind w:left="567"/>
        <w:rPr>
          <w:color w:val="000000"/>
        </w:rPr>
      </w:pPr>
      <w:bookmarkStart w:id="8" w:name="_Hlk228352789"/>
      <w:r w:rsidRPr="008767B6">
        <w:rPr>
          <w:color w:val="000000"/>
        </w:rPr>
        <w:t xml:space="preserve">1 0 0 6 – Indemnizația pentru cheltuieli generale, 1 4 0 5 01 – Cheltuieli aferente serviciilor de interpretare: interpretare externă, 1 4 2 – Servicii de traducere externe, 1 6 1 2 07 – Învățare și dezvoltare: formare externă pentru DG ITEC, 2 0 0 7 04 — Construcția de clădiri și amenajarea spațiilor: birourile de legătură/Europa </w:t>
      </w:r>
      <w:proofErr w:type="spellStart"/>
      <w:r w:rsidRPr="008767B6">
        <w:rPr>
          <w:color w:val="000000"/>
        </w:rPr>
        <w:t>Experience</w:t>
      </w:r>
      <w:proofErr w:type="spellEnd"/>
      <w:r w:rsidRPr="008767B6">
        <w:rPr>
          <w:color w:val="000000"/>
        </w:rPr>
        <w:t xml:space="preserve">, 2 1 0 0 02 – Guvernanța informatică și securitatea cibernetică – Securitatea, riscurile și conformitatea TIC, 2 1 0 0 03 – Guvernanța informatică și securitatea cibernetică – Tehnologia de frontieră, 2 1 0 1 02 – Gestionarea aplicațiilor corporative – Furnizarea de soluții informatice, 2 1 0 1 13 – Gestionarea aplicațiilor corporative – DG FINS, 2 1 0 2 03 – Gestionarea infrastructurii și a activităților – Telecomunicațiile, 2 1 0 2 04 – Gestionarea infrastructurii și a activităților – Infrastructura corporativă, 2 1 0 2 05 – Gestionarea infrastructurii și a activităților – Software – Infrastructură, 2 1 0 2 07 – Gestionarea infrastructurii și a activităților – Gestionarea tipăririlor, 2 1 0 3 01 – Serviciile și echipamentele aferente unui loc de muncă digital – Echipamentele informatice individuale, 2 1 2 0 01 – Mobilier: achiziționarea, închirierea, reînnoirea, întreținerea și repararea mobilierului, 2 1 6 0 01 – Transportul deputaților, al altor persoane și al bunurilor: transportul deputaților (închiriere și utilizare), 3 0 0 0 02 — Cheltuieli de misiune și de deplasare între cele trei locuri de desfășurare a activității ale personalului: misiuni în afara celor trei locuri de desfășurare a activității, 3 0 0 0 03 — Cheltuieli de misiune și de deplasare între cele trei locuri de desfășurare a activității ale personalului: învățare și dezvoltare, 3 2 1 0 01 — Cheltuieli aferente serviciilor de cercetare parlamentară, inclusiv biblioteca, arhivele istorice, Comitetul pentru viitorul științei și tehnologiei (STOA) și Centrul european pentru mass-media științifică: evaluarea impactului și valoarea adăugată europeană, 3 2 2 0 09 – Cheltuieli de documentare: abonamente și monitorizarea mass-mediei, 3 2 4 2 01 — Cheltuieli de </w:t>
      </w:r>
      <w:r w:rsidRPr="008767B6">
        <w:rPr>
          <w:color w:val="000000"/>
        </w:rPr>
        <w:lastRenderedPageBreak/>
        <w:t xml:space="preserve">publicare, informare și participare la manifestări publice: campanii de informare, 3 2 4 3 01 – Centrele pentru vizitatori ale Parlamentului European: </w:t>
      </w:r>
      <w:proofErr w:type="spellStart"/>
      <w:r w:rsidRPr="008767B6">
        <w:rPr>
          <w:color w:val="000000"/>
        </w:rPr>
        <w:t>Parlamentarium</w:t>
      </w:r>
      <w:proofErr w:type="spellEnd"/>
      <w:r w:rsidRPr="008767B6">
        <w:rPr>
          <w:color w:val="000000"/>
        </w:rPr>
        <w:t xml:space="preserve"> și „Europa </w:t>
      </w:r>
      <w:proofErr w:type="spellStart"/>
      <w:r w:rsidRPr="008767B6">
        <w:rPr>
          <w:color w:val="000000"/>
        </w:rPr>
        <w:t>Experience</w:t>
      </w:r>
      <w:proofErr w:type="spellEnd"/>
      <w:r w:rsidRPr="008767B6">
        <w:rPr>
          <w:color w:val="000000"/>
        </w:rPr>
        <w:t xml:space="preserve">”, 3 2 4 3 02 – Centrele pentru vizitatori ale Parlamentului European: Casa Istoriei Europene, 101 – Rezervă pentru cheltuieli neprevăzute. </w:t>
      </w:r>
    </w:p>
    <w:bookmarkEnd w:id="8"/>
    <w:p w14:paraId="0FBE504C" w14:textId="77777777" w:rsidR="00E11ABF" w:rsidRPr="008767B6" w:rsidRDefault="00E11ABF" w:rsidP="00E11ABF">
      <w:pPr>
        <w:spacing w:after="240"/>
        <w:ind w:left="567"/>
        <w:rPr>
          <w:color w:val="000000"/>
        </w:rPr>
      </w:pPr>
      <w:r w:rsidRPr="008767B6">
        <w:rPr>
          <w:color w:val="000000"/>
        </w:rPr>
        <w:t>În plus, s-a decis creșterea nivelului cheltuielilor din proiectul preliminar de estimare a bugetului aprobat de Birou la 9 martie 2026 cu 1 514 900 EUR și majorarea în consecință a creditelor propuse pentru următoarele linii bugetare:</w:t>
      </w:r>
    </w:p>
    <w:p w14:paraId="131B2930" w14:textId="5BA0377B" w:rsidR="00E11ABF" w:rsidRPr="008767B6" w:rsidRDefault="00E11ABF" w:rsidP="00E11ABF">
      <w:pPr>
        <w:spacing w:after="240"/>
        <w:ind w:left="567"/>
        <w:rPr>
          <w:color w:val="000000"/>
        </w:rPr>
      </w:pPr>
      <w:r w:rsidRPr="008767B6">
        <w:rPr>
          <w:color w:val="000000"/>
        </w:rPr>
        <w:t>4 0 3</w:t>
      </w:r>
      <w:r w:rsidR="000A42A5" w:rsidRPr="008767B6">
        <w:rPr>
          <w:color w:val="000000"/>
        </w:rPr>
        <w:t xml:space="preserve"> — </w:t>
      </w:r>
      <w:r w:rsidRPr="008767B6">
        <w:rPr>
          <w:color w:val="000000"/>
        </w:rPr>
        <w:t xml:space="preserve">Contribuții la fundațiile politice europene și 4 4 0 — Cheltuieli aferente reuniunilor și altor activități ale foștilor deputați. </w:t>
      </w:r>
    </w:p>
    <w:p w14:paraId="1407C50C" w14:textId="77777777" w:rsidR="00E11ABF" w:rsidRPr="008767B6" w:rsidRDefault="00E11ABF" w:rsidP="00E11ABF">
      <w:pPr>
        <w:spacing w:after="240"/>
        <w:ind w:left="567" w:hanging="567"/>
        <w:rPr>
          <w:color w:val="000000"/>
        </w:rPr>
      </w:pPr>
      <w:r w:rsidRPr="008767B6">
        <w:rPr>
          <w:color w:val="000000"/>
        </w:rPr>
        <w:t>3.</w:t>
      </w:r>
      <w:r w:rsidRPr="008767B6">
        <w:rPr>
          <w:color w:val="000000"/>
        </w:rPr>
        <w:tab/>
        <w:t>reamintește că aproape două treimi din buget este stabilit prin obligații statutare; reamintește că, potrivit estimărilor actuale ale Comisiei, indexarea salariilor, în conformitate cu Statutul funcționarilor și cu Statutul deputaților în Parlamentul European, se situează în iulie 2026 la 2,2 % și în iulie 2027 la 2,3 %;</w:t>
      </w:r>
    </w:p>
    <w:p w14:paraId="091F1017" w14:textId="77777777" w:rsidR="00E11ABF" w:rsidRPr="008767B6" w:rsidRDefault="00E11ABF" w:rsidP="00E11ABF">
      <w:pPr>
        <w:spacing w:after="240"/>
        <w:ind w:left="567" w:hanging="567"/>
        <w:rPr>
          <w:color w:val="000000"/>
        </w:rPr>
      </w:pPr>
      <w:r w:rsidRPr="008767B6">
        <w:rPr>
          <w:color w:val="000000"/>
        </w:rPr>
        <w:t>4.</w:t>
      </w:r>
      <w:r w:rsidRPr="008767B6">
        <w:rPr>
          <w:color w:val="000000"/>
        </w:rPr>
        <w:tab/>
        <w:t>constată că, din creșterea cu 51,6 milioane EUR față de bugetul pe 2026, o creștere de 32,6 milioane EUR se datorează obligațiilor financiare statutare, în special actualizărilor salariale ale funcționarilor și agenților temporari (16,2 milioane EUR) și ale agenților contractuali (1,7 milioane EUR); salută prevederea unui ajutor direct excepțional începând cu 2027 pentru fiecare stagiar care își desfășoară activitatea în Luxemburg (până la 500 EUR pe lună de stagiu), pentru a-i ajuta să facă față creșterii costurilor cu locuința; solicită să se asigure accesibilitatea stagiilor pentru tineri în contextul creșterii costului vieții, indiferent de locul de muncă; salută decizia Biroului de a renunța la indexarea indemnizației pentru cheltuieli generale pentru 2026;</w:t>
      </w:r>
    </w:p>
    <w:p w14:paraId="07B8F4B6" w14:textId="77777777" w:rsidR="00E11ABF" w:rsidRPr="008767B6" w:rsidRDefault="00E11ABF" w:rsidP="00E11ABF">
      <w:pPr>
        <w:spacing w:after="240"/>
        <w:ind w:left="567" w:hanging="567"/>
        <w:rPr>
          <w:b/>
          <w:i/>
          <w:color w:val="000000"/>
        </w:rPr>
      </w:pPr>
      <w:r w:rsidRPr="008767B6">
        <w:rPr>
          <w:color w:val="000000"/>
        </w:rPr>
        <w:t>5.</w:t>
      </w:r>
      <w:r w:rsidRPr="008767B6">
        <w:rPr>
          <w:b/>
          <w:i/>
          <w:color w:val="000000"/>
        </w:rPr>
        <w:tab/>
      </w:r>
      <w:r w:rsidRPr="008767B6">
        <w:rPr>
          <w:color w:val="000000"/>
        </w:rPr>
        <w:t>constată că suma prevăzută pentru indemnizația de asistență parlamentară este estimată pe baza tendințelor istorice; subliniază că, în niciun caz, deputații nu pot fi privați de dreptul lor de a utiliza pe deplin această indemnizație, în conformitate cu normele relevante, din cauza indisponibilității acestei linii bugetare; solicită Secretarului General să monitorizeze îndeaproape situația, să informeze Comisia pentru bugete cu privire la execuția liniei bugetare și să ia măsuri relevante atunci când există riscul unor resurse financiare insuficiente;</w:t>
      </w:r>
    </w:p>
    <w:p w14:paraId="5D909FFD" w14:textId="77777777" w:rsidR="00E11ABF" w:rsidRPr="008767B6" w:rsidRDefault="00E11ABF" w:rsidP="00E11ABF">
      <w:pPr>
        <w:spacing w:after="240"/>
        <w:ind w:left="567" w:hanging="567"/>
        <w:rPr>
          <w:color w:val="000000"/>
        </w:rPr>
      </w:pPr>
      <w:r w:rsidRPr="008767B6">
        <w:rPr>
          <w:color w:val="000000"/>
        </w:rPr>
        <w:t>6.</w:t>
      </w:r>
      <w:r w:rsidRPr="008767B6">
        <w:rPr>
          <w:color w:val="000000"/>
        </w:rPr>
        <w:tab/>
        <w:t xml:space="preserve">constată că Parlamentul nu solicită posturi suplimentare pentru 2027, al patrulea an consecutiv; </w:t>
      </w:r>
    </w:p>
    <w:p w14:paraId="10569DC1" w14:textId="5B82C4E6" w:rsidR="00E11ABF" w:rsidRPr="008767B6" w:rsidRDefault="00E11ABF" w:rsidP="00E11ABF">
      <w:pPr>
        <w:spacing w:after="240"/>
        <w:ind w:left="567" w:hanging="567"/>
        <w:rPr>
          <w:color w:val="000000"/>
        </w:rPr>
      </w:pPr>
      <w:r w:rsidRPr="008767B6">
        <w:rPr>
          <w:color w:val="000000"/>
        </w:rPr>
        <w:t>7.</w:t>
      </w:r>
      <w:r w:rsidRPr="008767B6">
        <w:rPr>
          <w:color w:val="000000"/>
        </w:rPr>
        <w:tab/>
        <w:t>constată că</w:t>
      </w:r>
      <w:r w:rsidR="000A42A5" w:rsidRPr="008767B6">
        <w:rPr>
          <w:color w:val="000000"/>
        </w:rPr>
        <w:t>, între 2026 și 2027,</w:t>
      </w:r>
      <w:r w:rsidRPr="008767B6">
        <w:rPr>
          <w:color w:val="000000"/>
        </w:rPr>
        <w:t xml:space="preserve"> cheltuielil</w:t>
      </w:r>
      <w:r w:rsidR="000A42A5" w:rsidRPr="008767B6">
        <w:rPr>
          <w:color w:val="000000"/>
        </w:rPr>
        <w:t>e</w:t>
      </w:r>
      <w:r w:rsidRPr="008767B6">
        <w:rPr>
          <w:color w:val="000000"/>
        </w:rPr>
        <w:t xml:space="preserve"> nestatutare </w:t>
      </w:r>
      <w:r w:rsidR="000A42A5" w:rsidRPr="008767B6">
        <w:rPr>
          <w:color w:val="000000"/>
        </w:rPr>
        <w:t xml:space="preserve">au crescut cu </w:t>
      </w:r>
      <w:r w:rsidRPr="008767B6">
        <w:rPr>
          <w:color w:val="000000"/>
        </w:rPr>
        <w:t xml:space="preserve">2 %; </w:t>
      </w:r>
    </w:p>
    <w:p w14:paraId="65EEBDB8" w14:textId="77777777" w:rsidR="00E11ABF" w:rsidRPr="008767B6" w:rsidRDefault="00E11ABF" w:rsidP="00E11ABF">
      <w:pPr>
        <w:spacing w:after="240"/>
        <w:ind w:left="567" w:hanging="567"/>
        <w:rPr>
          <w:color w:val="000000"/>
        </w:rPr>
      </w:pPr>
      <w:r w:rsidRPr="008767B6">
        <w:rPr>
          <w:color w:val="000000"/>
        </w:rPr>
        <w:t>8.</w:t>
      </w:r>
      <w:r w:rsidRPr="008767B6">
        <w:rPr>
          <w:color w:val="000000"/>
        </w:rPr>
        <w:tab/>
        <w:t xml:space="preserve">apreciază activitatea în curs a Secretarului General în conformitate cu reformele propuse de Președinta </w:t>
      </w:r>
      <w:proofErr w:type="spellStart"/>
      <w:r w:rsidRPr="008767B6">
        <w:rPr>
          <w:color w:val="000000"/>
        </w:rPr>
        <w:t>Metsola</w:t>
      </w:r>
      <w:proofErr w:type="spellEnd"/>
      <w:r w:rsidRPr="008767B6">
        <w:rPr>
          <w:color w:val="000000"/>
        </w:rPr>
        <w:t xml:space="preserve"> la 16 iunie 2025 privind cooperarea administrativă, planificarea și simplificarea care vizează creșterea eficienței, utilizarea eficientă a resurselor și realizarea de economii acolo unde este posibil; solicită consolidarea mecanismelor de raportare pentru a mări transparența și responsabilitatea; solicită Secretarului General să furnizeze periodic Comisiei pentru bugete informații actualizate cu privire la implementarea planului de acțiune privind simplificarea administrativă și la impactul său în ceea ce privește bugetul și personalul;</w:t>
      </w:r>
    </w:p>
    <w:p w14:paraId="12F1160F" w14:textId="77777777" w:rsidR="00E11ABF" w:rsidRPr="008767B6" w:rsidRDefault="00E11ABF" w:rsidP="00E11ABF">
      <w:pPr>
        <w:pStyle w:val="action0"/>
        <w:ind w:left="0" w:firstLine="0"/>
        <w:rPr>
          <w:b/>
          <w:i/>
        </w:rPr>
      </w:pPr>
      <w:r w:rsidRPr="008767B6">
        <w:rPr>
          <w:b/>
          <w:i/>
        </w:rPr>
        <w:t>Consolidarea funcțiilor de bază ale Parlamentului</w:t>
      </w:r>
    </w:p>
    <w:p w14:paraId="45E80B99" w14:textId="77777777" w:rsidR="00E11ABF" w:rsidRPr="008767B6" w:rsidRDefault="00E11ABF" w:rsidP="00E11ABF">
      <w:pPr>
        <w:spacing w:after="240"/>
        <w:ind w:left="567" w:hanging="567"/>
        <w:rPr>
          <w:color w:val="000000"/>
        </w:rPr>
      </w:pPr>
      <w:r w:rsidRPr="008767B6">
        <w:t>9.</w:t>
      </w:r>
      <w:r w:rsidRPr="008767B6">
        <w:tab/>
        <w:t xml:space="preserve">ia act de cele patru noi direcții generale tematice, operaționale din ianuarie 2025 și responsabile de activități legislative, bugetare și de control, pentru a îmbunătăți </w:t>
      </w:r>
      <w:r w:rsidRPr="008767B6">
        <w:lastRenderedPageBreak/>
        <w:t xml:space="preserve">funcționarea Parlamentului în calitate de </w:t>
      </w:r>
      <w:proofErr w:type="spellStart"/>
      <w:r w:rsidRPr="008767B6">
        <w:t>colegiuitor</w:t>
      </w:r>
      <w:proofErr w:type="spellEnd"/>
      <w:r w:rsidRPr="008767B6">
        <w:t>, de componentă a autorității bugetare și de autoritate care acordă descărcarea de gestiune;</w:t>
      </w:r>
    </w:p>
    <w:p w14:paraId="7211D7BA" w14:textId="77777777" w:rsidR="00E11ABF" w:rsidRPr="008767B6" w:rsidRDefault="00E11ABF" w:rsidP="00E11ABF">
      <w:pPr>
        <w:spacing w:after="240"/>
        <w:ind w:left="567" w:hanging="567"/>
        <w:rPr>
          <w:b/>
          <w:i/>
        </w:rPr>
      </w:pPr>
      <w:r w:rsidRPr="008767B6">
        <w:t>10.</w:t>
      </w:r>
      <w:r w:rsidRPr="008767B6">
        <w:tab/>
        <w:t xml:space="preserve">ia act de redistribuirea resurselor interne în ceea ce privește numărul de posturi alocate (+ 15 % între 2024 și 2026), pachetul bugetar pentru personalul extern (postul 1400, de la 3,2 milioane EUR în 2024 la 8 milioane EUR în 2027) și bugetul pentru expertiză externă (postul 3200, de la 3,2 milioane EUR în 2024 la 7,7 milioane EUR în 2027) pentru a consolida expertiza oferită deputaților; subliniază nevoia de a se asigura că aceste majorări rămân justificate, proporționale și aduc o valoare adăugată clară; solicită Secretarului General să furnizeze periodic Comisiei pentru bugete informații actualizate cu privire la evoluția și utilizarea resurselor în aceste patru noi direcții generale; relevă că trebuie să se asigure obiectivul important de consolidare a capacității Parlamentului de a sprijini activitatea deputaților; subliniază, de asemenea, rolul esențial al grupurilor politice </w:t>
      </w:r>
      <w:bookmarkStart w:id="9" w:name="_Hlk227243597"/>
      <w:r w:rsidRPr="008767B6">
        <w:t>în a furniza consiliere specializată și sprijin politic</w:t>
      </w:r>
      <w:bookmarkEnd w:id="9"/>
      <w:r w:rsidRPr="008767B6">
        <w:t xml:space="preserve"> deputaților în activitatea lor legislativă și parlamentară;</w:t>
      </w:r>
      <w:r w:rsidRPr="008767B6">
        <w:rPr>
          <w:b/>
          <w:i/>
        </w:rPr>
        <w:t xml:space="preserve"> </w:t>
      </w:r>
    </w:p>
    <w:p w14:paraId="6238DF03" w14:textId="1177E3B7" w:rsidR="001E0B68" w:rsidRPr="008767B6" w:rsidRDefault="00DB2E22" w:rsidP="00E11ABF">
      <w:pPr>
        <w:spacing w:after="240"/>
        <w:ind w:left="567" w:hanging="567"/>
      </w:pPr>
      <w:r w:rsidRPr="008767B6">
        <w:t>11</w:t>
      </w:r>
      <w:r w:rsidR="001E0B68" w:rsidRPr="008767B6">
        <w:t xml:space="preserve">. </w:t>
      </w:r>
      <w:r w:rsidR="001E0B68" w:rsidRPr="008767B6">
        <w:tab/>
        <w:t>reamintește că datoria de a proteja interesele financiare ale Uniunii se aplică în mod egal tuturor beneficiarilor fondurilor Uniunii, inclusiv grupurilor politice care își desfășoară activitatea în Parlamentul European; constată că anchetele și acțiunile de recuperare privind presupusa utilizare abuzivă a fondurilor Uniunii de către fostul Grup Identitate și Democrație, reconfigurat astăzi ca Grupul „Patrioți pentru Europa”, subliniază importanța unor controale interne solide, a unei verificări ex post eficace și a unor mecanisme rapide de recuperare în cadrul administrației Parlamentului; invită administrația Parlamentului să finalizeze fără întârziere toate procedurile de recuperare restante și să transmită OLAF și EPPO toate dovezile de cheltuieli neconforme cu reglementările; accentuează că credibilitatea arhitecturii antifraudă a Uniunii depinde de aplicarea sa consecventă în cazul tuturor beneficiarilor, inclusiv al celor din Parlament;</w:t>
      </w:r>
    </w:p>
    <w:p w14:paraId="318DF108" w14:textId="77777777" w:rsidR="00E11ABF" w:rsidRPr="008767B6" w:rsidRDefault="00E11ABF" w:rsidP="00E11ABF">
      <w:pPr>
        <w:spacing w:after="240"/>
        <w:rPr>
          <w:b/>
          <w:i/>
          <w:color w:val="000000"/>
        </w:rPr>
      </w:pPr>
      <w:r w:rsidRPr="008767B6">
        <w:rPr>
          <w:b/>
          <w:i/>
          <w:color w:val="000000"/>
        </w:rPr>
        <w:t xml:space="preserve">Tranziția digitală </w:t>
      </w:r>
    </w:p>
    <w:p w14:paraId="2D64A07E" w14:textId="73C2364A" w:rsidR="00E11ABF" w:rsidRPr="008767B6" w:rsidRDefault="00DB2E22" w:rsidP="00E11ABF">
      <w:pPr>
        <w:pStyle w:val="action0"/>
        <w:ind w:left="567" w:hanging="567"/>
      </w:pPr>
      <w:r w:rsidRPr="008767B6">
        <w:t>12</w:t>
      </w:r>
      <w:r w:rsidR="00E11ABF" w:rsidRPr="008767B6">
        <w:t>.</w:t>
      </w:r>
      <w:r w:rsidR="00E11ABF" w:rsidRPr="008767B6">
        <w:tab/>
      </w:r>
      <w:r w:rsidR="00E11ABF" w:rsidRPr="008767B6">
        <w:rPr>
          <w:color w:val="000000"/>
        </w:rPr>
        <w:t>constată că bugetul total pentru IT reprezintă 7,6 % din bugetul total estimat pentru 2027 și se ridică la 202,4 milioane EUR; subliniază importanța unei infrastructuri solide de securitate cibernetică în vremuri tulburi pe plan geopolitic; reamintește majorarea treptată planificată a creditelor financiare pentru securitatea cibernetică la 10 % din bugetul pentru TIC al Parlamentului;</w:t>
      </w:r>
      <w:r w:rsidR="00E11ABF" w:rsidRPr="008767B6">
        <w:t xml:space="preserve"> constată că o astfel de majorare planificată ar trebui pusă în aplicare cât mai curând posibil;</w:t>
      </w:r>
    </w:p>
    <w:p w14:paraId="086DBA6C" w14:textId="7CA9A605" w:rsidR="00E11ABF" w:rsidRPr="008767B6" w:rsidRDefault="00DB2E22" w:rsidP="00E11ABF">
      <w:pPr>
        <w:pStyle w:val="action0"/>
        <w:ind w:left="567" w:hanging="567"/>
      </w:pPr>
      <w:r w:rsidRPr="008767B6">
        <w:t>13</w:t>
      </w:r>
      <w:r w:rsidR="00E11ABF" w:rsidRPr="008767B6">
        <w:t>.</w:t>
      </w:r>
      <w:r w:rsidR="00E11ABF" w:rsidRPr="008767B6">
        <w:tab/>
        <w:t>subliniază că securitatea cibernetică a Parlamentului este o prioritate-cheie într-o perioadă de incertitudine geopolitică; observă că suma totală alocată securității cibernetice este de 16,9 milioane EUR, ceea ce include o creștere cu 54 % față de 2026 a liniei centralizate de securitate cibernetică; reamintește că investițiile în securitatea cibernetică sunt esențiale pentru a proteja vocea democratică a Parlamentului și a Uniunii și pentru a asigura buna funcționare a Parlamentului;</w:t>
      </w:r>
    </w:p>
    <w:p w14:paraId="749580FF" w14:textId="135318D0" w:rsidR="00E11ABF" w:rsidRPr="008767B6" w:rsidRDefault="00DB2E22" w:rsidP="00E11ABF">
      <w:pPr>
        <w:pStyle w:val="action0"/>
        <w:ind w:left="567" w:hanging="567"/>
      </w:pPr>
      <w:r w:rsidRPr="008767B6">
        <w:t>14</w:t>
      </w:r>
      <w:r w:rsidR="00E11ABF" w:rsidRPr="008767B6">
        <w:t>.</w:t>
      </w:r>
      <w:r w:rsidR="00E11ABF" w:rsidRPr="008767B6">
        <w:tab/>
        <w:t xml:space="preserve">subliniază că Parlamentul trebuie să se afle în avangarda adoptării unor metode de lucru mai digitale; salută investițiile în inteligența artificială (IA) în valoare de 1 milion EUR; solicită intensificarea utilizării IA pentru a crește eficiența și a consolida suveranitatea în acest domeniu, ținând seama, în același timp, de riscurile aferente, inclusiv de etică și de protecția datelor; subliniază că la implementarea IA trebuie să se asigure echilibrul între inovare și garanțiile necesare; subliniază potențialul IA de a raționaliza procesele administrative; încurajează elaborarea unor orientări și garanții clare pentru a asigura implementarea responsabilă și transparentă a IA, promovând inovarea, respectând în </w:t>
      </w:r>
      <w:r w:rsidR="00E11ABF" w:rsidRPr="008767B6">
        <w:lastRenderedPageBreak/>
        <w:t>același timp drepturile fundamentale, securitatea și răspunderea; constată că dezvoltarea IA va fi monitorizată îndeaproape, în conformitate cu principiile stabilite de Birou; subliniază că investițiile în IA nu ar trebui să se concentreze numai pe eficiența administrativă, ci și pe creșterea transparenței democratice și a implicării cetățenilor;</w:t>
      </w:r>
    </w:p>
    <w:p w14:paraId="2682A695" w14:textId="75EB94F0" w:rsidR="00E11ABF" w:rsidRPr="008767B6" w:rsidRDefault="00DB2E22" w:rsidP="00E11ABF">
      <w:pPr>
        <w:pStyle w:val="action0"/>
        <w:spacing w:after="0"/>
        <w:ind w:left="567" w:hanging="567"/>
        <w:rPr>
          <w:bCs/>
          <w:iCs/>
        </w:rPr>
      </w:pPr>
      <w:r w:rsidRPr="008767B6">
        <w:t>15</w:t>
      </w:r>
      <w:r w:rsidR="00E11ABF" w:rsidRPr="008767B6">
        <w:t>.</w:t>
      </w:r>
      <w:r w:rsidR="00E11ABF" w:rsidRPr="008767B6">
        <w:tab/>
        <w:t xml:space="preserve">subliniază că, având în vedere contextul geopolitic și investițiile pe care Uniunea Europeană va trebui să le facă pentru autonomia sa strategică, Parlamentul European trebuie să dea un exemplu; ia act de pregătirea unui plan de acțiune consolidat, menit să consolideze poziția Parlamentului cu privire la suveranitatea digitală; așteaptă cu interes să primească periodic informații actualizate cu privire la progresele înregistrate; subliniază că este important să se asigure un nivel ridicat de securitate cibernetică, protecție a datelor și reziliență în infrastructura digitală a Parlamentului; evidențiază necesitatea de a evalua cu atenție riscurile asociate dependenței de furnizori din afara Europei, inclusiv prin evaluări ale riscurilor; reliefează importanța menținerii unor soluții sigure, competitive și fiabile, inclusiv, acolo unde este fezabil, prin </w:t>
      </w:r>
      <w:proofErr w:type="spellStart"/>
      <w:r w:rsidR="00E11ABF" w:rsidRPr="008767B6">
        <w:t>prioritizarea</w:t>
      </w:r>
      <w:proofErr w:type="spellEnd"/>
      <w:r w:rsidR="00E11ABF" w:rsidRPr="008767B6">
        <w:t xml:space="preserve"> furnizorilor europeni; solicită o evaluare periodică a canalelor de comunicare și a instrumentelor digitale ale Parlamentului pe baza securității și a respectării dreptului UE, în mod coordonat cu alte instituții ale UE, pentru a asigura protecția datelor parlamentare și integritatea comunicării sale;</w:t>
      </w:r>
    </w:p>
    <w:p w14:paraId="7D3D63FD" w14:textId="77777777" w:rsidR="00E11ABF" w:rsidRPr="008767B6" w:rsidRDefault="00E11ABF" w:rsidP="00E11ABF">
      <w:pPr>
        <w:pStyle w:val="action0"/>
        <w:spacing w:after="0"/>
        <w:ind w:left="567" w:hanging="567"/>
        <w:rPr>
          <w:b/>
          <w:i/>
        </w:rPr>
      </w:pPr>
    </w:p>
    <w:p w14:paraId="3731D427" w14:textId="77777777" w:rsidR="00E11ABF" w:rsidRPr="008767B6" w:rsidRDefault="00E11ABF" w:rsidP="00E11ABF">
      <w:pPr>
        <w:pStyle w:val="action0"/>
        <w:ind w:left="0" w:firstLine="0"/>
        <w:rPr>
          <w:b/>
          <w:i/>
        </w:rPr>
      </w:pPr>
      <w:r w:rsidRPr="008767B6">
        <w:rPr>
          <w:b/>
          <w:i/>
        </w:rPr>
        <w:t>Infrastructura</w:t>
      </w:r>
    </w:p>
    <w:p w14:paraId="0DA49DBC" w14:textId="69BDAFEC" w:rsidR="00E11ABF" w:rsidRPr="008767B6" w:rsidRDefault="00DB2E22" w:rsidP="00E11ABF">
      <w:pPr>
        <w:pStyle w:val="action0"/>
        <w:ind w:left="567" w:hanging="567"/>
        <w:rPr>
          <w:color w:val="000000"/>
        </w:rPr>
      </w:pPr>
      <w:r w:rsidRPr="008767B6">
        <w:rPr>
          <w:color w:val="000000"/>
        </w:rPr>
        <w:t>16</w:t>
      </w:r>
      <w:r w:rsidR="00E11ABF" w:rsidRPr="008767B6">
        <w:rPr>
          <w:color w:val="000000"/>
        </w:rPr>
        <w:t>.</w:t>
      </w:r>
      <w:r w:rsidR="00E11ABF" w:rsidRPr="008767B6">
        <w:rPr>
          <w:color w:val="000000"/>
        </w:rPr>
        <w:tab/>
        <w:t>ia act de noua abordare referitoare la clădiri, care au intrat într-un domeniu de consolidare mai degrabă decât să se achiziționeze clădiri noi, ținând seama de sustenabilitate, accesibilitate și mobilitatea deputaților și a personalului, precum și a vizitatorilor;</w:t>
      </w:r>
    </w:p>
    <w:p w14:paraId="7F43E64C" w14:textId="2D12F0F0" w:rsidR="00E11ABF" w:rsidRPr="008767B6" w:rsidRDefault="00DB2E22" w:rsidP="00E11ABF">
      <w:pPr>
        <w:pStyle w:val="action0"/>
        <w:ind w:left="567" w:hanging="567"/>
        <w:rPr>
          <w:color w:val="000000"/>
        </w:rPr>
      </w:pPr>
      <w:r w:rsidRPr="008767B6">
        <w:rPr>
          <w:color w:val="000000"/>
        </w:rPr>
        <w:t>17</w:t>
      </w:r>
      <w:r w:rsidR="00E11ABF" w:rsidRPr="008767B6">
        <w:rPr>
          <w:color w:val="000000"/>
        </w:rPr>
        <w:t>.</w:t>
      </w:r>
      <w:r w:rsidR="00E11ABF" w:rsidRPr="008767B6">
        <w:rPr>
          <w:color w:val="000000"/>
        </w:rPr>
        <w:tab/>
        <w:t xml:space="preserve">constată că renovarea clădirii SPAAK va demara în 2027; observă că bugetul total pentru renovare a fost stabilit la 455 de milioane EUR și că pentru 2027 sunt prevăzute 77,67 milioane EUR; subliniază că aceste costuri nu sunt incluse în bugetul 2027; </w:t>
      </w:r>
      <w:bookmarkStart w:id="10" w:name="_Hlk227680019"/>
      <w:r w:rsidR="00E11ABF" w:rsidRPr="008767B6">
        <w:rPr>
          <w:color w:val="000000"/>
        </w:rPr>
        <w:t>subliniază că trebuie să se asigure un control strict al costurilor, transparență și respectarea bugetului planificat;</w:t>
      </w:r>
      <w:r w:rsidR="00E11ABF" w:rsidRPr="008767B6">
        <w:rPr>
          <w:b/>
          <w:i/>
          <w:color w:val="000000"/>
        </w:rPr>
        <w:t xml:space="preserve"> </w:t>
      </w:r>
      <w:bookmarkEnd w:id="10"/>
    </w:p>
    <w:p w14:paraId="6AE6E9DE" w14:textId="4AB1F8DC" w:rsidR="00E11ABF" w:rsidRPr="008767B6" w:rsidRDefault="00DB2E22" w:rsidP="00E11ABF">
      <w:pPr>
        <w:pStyle w:val="action0"/>
        <w:ind w:left="567" w:hanging="567"/>
        <w:rPr>
          <w:color w:val="000000"/>
        </w:rPr>
      </w:pPr>
      <w:r w:rsidRPr="008767B6">
        <w:rPr>
          <w:color w:val="000000"/>
        </w:rPr>
        <w:t>18</w:t>
      </w:r>
      <w:r w:rsidR="00E11ABF" w:rsidRPr="008767B6">
        <w:rPr>
          <w:color w:val="000000"/>
        </w:rPr>
        <w:t>.</w:t>
      </w:r>
      <w:r w:rsidR="00E11ABF" w:rsidRPr="008767B6">
        <w:rPr>
          <w:color w:val="000000"/>
        </w:rPr>
        <w:tab/>
        <w:t xml:space="preserve">constată că Parlamentul intenționează să </w:t>
      </w:r>
      <w:proofErr w:type="spellStart"/>
      <w:r w:rsidR="00E11ABF" w:rsidRPr="008767B6">
        <w:rPr>
          <w:color w:val="000000"/>
        </w:rPr>
        <w:t>contracteze</w:t>
      </w:r>
      <w:proofErr w:type="spellEnd"/>
      <w:r w:rsidR="00E11ABF" w:rsidRPr="008767B6">
        <w:rPr>
          <w:color w:val="000000"/>
        </w:rPr>
        <w:t xml:space="preserve"> împrumuturi, inclusiv la Banca Europeană de Investiții, pentru finanțarea proiectului de renovare a clădirii SPAAK; observă că, în bugetul pentru 2027, sunt înscrise costurile legate de dobânzi (3,17 milioane EUR) și de rambursarea capitalului (0,65 milioane EUR); insistă asupra faptului că, acolo unde este relevant, costurile care nu sunt direct legate de lucrările de renovare ar trebui, de asemenea, să fie enunțate clar și înscrise în buget; invită administrația să informeze îndeaproape Comisia pentru bugete cu privire la ratele dobânzii aplicabile împrumuturilor și la planificarea pe termen lung a rambursării principalului; subliniază necesitatea de a asigura o gestionare prudentă a datoriei;</w:t>
      </w:r>
    </w:p>
    <w:p w14:paraId="37A6D805" w14:textId="28A4E950" w:rsidR="00E11ABF" w:rsidRPr="008767B6" w:rsidRDefault="00DB2E22" w:rsidP="00E11ABF">
      <w:pPr>
        <w:pStyle w:val="action0"/>
        <w:ind w:left="567" w:hanging="567"/>
        <w:rPr>
          <w:b/>
          <w:bCs/>
          <w:i/>
          <w:iCs/>
          <w:color w:val="000000"/>
        </w:rPr>
      </w:pPr>
      <w:r w:rsidRPr="008767B6">
        <w:rPr>
          <w:color w:val="000000"/>
        </w:rPr>
        <w:t>19</w:t>
      </w:r>
      <w:r w:rsidR="00E11ABF" w:rsidRPr="008767B6">
        <w:rPr>
          <w:color w:val="000000"/>
        </w:rPr>
        <w:t>.</w:t>
      </w:r>
      <w:r w:rsidR="00E11ABF" w:rsidRPr="008767B6">
        <w:rPr>
          <w:color w:val="000000"/>
        </w:rPr>
        <w:tab/>
        <w:t xml:space="preserve">regretă întârzierile în instalarea de centre „Europa </w:t>
      </w:r>
      <w:proofErr w:type="spellStart"/>
      <w:r w:rsidR="00E11ABF" w:rsidRPr="008767B6">
        <w:rPr>
          <w:color w:val="000000"/>
        </w:rPr>
        <w:t>Experience</w:t>
      </w:r>
      <w:proofErr w:type="spellEnd"/>
      <w:r w:rsidR="00E11ABF" w:rsidRPr="008767B6">
        <w:rPr>
          <w:color w:val="000000"/>
        </w:rPr>
        <w:t xml:space="preserve">” în toate statele membre; apreciază noul concept, aprobat de Birou la 31 martie 2025, de optimizare a utilizării spațiilor „Europa </w:t>
      </w:r>
      <w:proofErr w:type="spellStart"/>
      <w:r w:rsidR="00E11ABF" w:rsidRPr="008767B6">
        <w:rPr>
          <w:color w:val="000000"/>
        </w:rPr>
        <w:t>Experience</w:t>
      </w:r>
      <w:proofErr w:type="spellEnd"/>
      <w:r w:rsidR="00E11ABF" w:rsidRPr="008767B6">
        <w:rPr>
          <w:color w:val="000000"/>
        </w:rPr>
        <w:t xml:space="preserve">”, ținând seama de diferitele situații din statele membre; subliniază că este important să se asigure că centrele „Europa </w:t>
      </w:r>
      <w:proofErr w:type="spellStart"/>
      <w:r w:rsidR="00E11ABF" w:rsidRPr="008767B6">
        <w:rPr>
          <w:color w:val="000000"/>
        </w:rPr>
        <w:t>Experience</w:t>
      </w:r>
      <w:proofErr w:type="spellEnd"/>
      <w:r w:rsidR="00E11ABF" w:rsidRPr="008767B6">
        <w:rPr>
          <w:color w:val="000000"/>
        </w:rPr>
        <w:t xml:space="preserve">” oferă o experiență interesantă vizitatorilor pentru a atrage cetățenii; solicită să se acorde prioritate creării de centre „Europa </w:t>
      </w:r>
      <w:proofErr w:type="spellStart"/>
      <w:r w:rsidR="00E11ABF" w:rsidRPr="008767B6">
        <w:rPr>
          <w:color w:val="000000"/>
        </w:rPr>
        <w:t>Experience</w:t>
      </w:r>
      <w:proofErr w:type="spellEnd"/>
      <w:r w:rsidR="00E11ABF" w:rsidRPr="008767B6">
        <w:rPr>
          <w:color w:val="000000"/>
        </w:rPr>
        <w:t xml:space="preserve">” în statele membre cele mai îndepărtate de cele trei locuri de desfășurare a activității, asigurându-se, în același timp, că dezvoltarea și funcționarea acestora rămân eficiente din punctul de vedere al costurilor; reamintește că centrele „Europa </w:t>
      </w:r>
      <w:proofErr w:type="spellStart"/>
      <w:r w:rsidR="00E11ABF" w:rsidRPr="008767B6">
        <w:rPr>
          <w:color w:val="000000"/>
        </w:rPr>
        <w:t>Experience</w:t>
      </w:r>
      <w:proofErr w:type="spellEnd"/>
      <w:r w:rsidR="00E11ABF" w:rsidRPr="008767B6">
        <w:rPr>
          <w:color w:val="000000"/>
        </w:rPr>
        <w:t xml:space="preserve">” ar trebui să le permită tuturor cetățenilor să </w:t>
      </w:r>
      <w:r w:rsidR="00E11ABF" w:rsidRPr="008767B6">
        <w:rPr>
          <w:color w:val="000000"/>
        </w:rPr>
        <w:lastRenderedPageBreak/>
        <w:t xml:space="preserve">înțeleagă mai bine funcționarea instituțiilor Uniunii și valorile noastre comune; subliniază necesitatea unei utilizări eficiente a creditelor bugetare alocate acestor centre pentru a se asigura că ele asigură o comunicare cu impact ridicat și informarea, în special a tinerilor și a grupurilor vulnerabile; subliniază că finanțarea ar trebui să acorde prioritate diseminării de informații </w:t>
      </w:r>
      <w:proofErr w:type="spellStart"/>
      <w:r w:rsidR="00E11ABF" w:rsidRPr="008767B6">
        <w:rPr>
          <w:color w:val="000000"/>
        </w:rPr>
        <w:t>factuale</w:t>
      </w:r>
      <w:proofErr w:type="spellEnd"/>
      <w:r w:rsidR="00E11ABF" w:rsidRPr="008767B6">
        <w:rPr>
          <w:color w:val="000000"/>
        </w:rPr>
        <w:t xml:space="preserve"> și accesibile cu privire la impactul local al politicilor UE, reprezentând un instrument eficient din punctul de vedere al costurilor pentru protejarea integrității democratice a Uniunii împotriva dezinformării;</w:t>
      </w:r>
    </w:p>
    <w:p w14:paraId="16BA00B9" w14:textId="59977049" w:rsidR="00E11ABF" w:rsidRPr="008767B6" w:rsidRDefault="00DB2E22" w:rsidP="00E11ABF">
      <w:pPr>
        <w:pStyle w:val="action0"/>
        <w:ind w:left="567" w:hanging="567"/>
        <w:rPr>
          <w:bCs/>
          <w:iCs/>
          <w:color w:val="000000"/>
        </w:rPr>
      </w:pPr>
      <w:r w:rsidRPr="008767B6">
        <w:rPr>
          <w:color w:val="000000"/>
        </w:rPr>
        <w:t>20</w:t>
      </w:r>
      <w:r w:rsidR="00E11ABF" w:rsidRPr="008767B6">
        <w:rPr>
          <w:color w:val="000000"/>
        </w:rPr>
        <w:t>.</w:t>
      </w:r>
      <w:r w:rsidR="00E11ABF" w:rsidRPr="008767B6">
        <w:rPr>
          <w:color w:val="000000"/>
        </w:rPr>
        <w:tab/>
        <w:t xml:space="preserve">reamintește importanța programului „Școli-ambasador” al Parlamentului European pentru promovarea implicării active a tinerilor europeni, precum și a programului de formare pentru tinerii jurnaliști, numit în onoarea lui David </w:t>
      </w:r>
      <w:proofErr w:type="spellStart"/>
      <w:r w:rsidR="00E11ABF" w:rsidRPr="008767B6">
        <w:rPr>
          <w:color w:val="000000"/>
        </w:rPr>
        <w:t>Sassoli</w:t>
      </w:r>
      <w:proofErr w:type="spellEnd"/>
      <w:r w:rsidR="00E11ABF" w:rsidRPr="008767B6">
        <w:rPr>
          <w:color w:val="000000"/>
        </w:rPr>
        <w:t>, pentru îmbunătățirea înțelegerii Uniunii și a funcționării sale în rândul jurnaliștilor, acesta fiind cel mai bun antidot împotriva dezinformării, având în vedere tendințele recente care demonstrează un declin îngrijorător al libertății și independenței mass-mediei în întreaga Uniune;</w:t>
      </w:r>
    </w:p>
    <w:p w14:paraId="78BA88ED" w14:textId="21BB92A3" w:rsidR="00E11ABF" w:rsidRPr="008767B6" w:rsidRDefault="00DB2E22" w:rsidP="00E11ABF">
      <w:pPr>
        <w:pStyle w:val="action0"/>
        <w:ind w:left="567" w:hanging="567"/>
        <w:rPr>
          <w:bCs/>
          <w:iCs/>
          <w:color w:val="000000"/>
        </w:rPr>
      </w:pPr>
      <w:r w:rsidRPr="008767B6">
        <w:rPr>
          <w:color w:val="000000"/>
        </w:rPr>
        <w:t>21</w:t>
      </w:r>
      <w:r w:rsidR="00E11ABF" w:rsidRPr="008767B6">
        <w:rPr>
          <w:color w:val="000000"/>
        </w:rPr>
        <w:t>.</w:t>
      </w:r>
      <w:r w:rsidR="00E11ABF" w:rsidRPr="008767B6">
        <w:rPr>
          <w:color w:val="000000"/>
        </w:rPr>
        <w:tab/>
        <w:t>își reiterează sprijinul pentru construirea unui memorial paneuropean la Bruxelles pentru victimele regimurilor totalitare din secolul XX</w:t>
      </w:r>
      <w:r w:rsidR="007704FB" w:rsidRPr="008767B6">
        <w:rPr>
          <w:color w:val="000000"/>
        </w:rPr>
        <w:t>,</w:t>
      </w:r>
      <w:r w:rsidR="00E11ABF" w:rsidRPr="008767B6">
        <w:rPr>
          <w:color w:val="000000"/>
        </w:rPr>
        <w:t xml:space="preserve"> care să reflecte diversitatea experiențelor istorice; invită Biroul să analizeze această chestiune în vederea adoptării unei decizii, ținând seama în mod corespunzător de constrângerile bugetare din ultimii ani ai actualului CFM și de dificultățile economice cu care se confruntă cetățenii europeni;</w:t>
      </w:r>
    </w:p>
    <w:p w14:paraId="2723F67E" w14:textId="33F54331" w:rsidR="00E11ABF" w:rsidRPr="008767B6" w:rsidRDefault="00DB2E22" w:rsidP="00E11ABF">
      <w:pPr>
        <w:pStyle w:val="action0"/>
        <w:ind w:left="567" w:hanging="567"/>
        <w:rPr>
          <w:bCs/>
          <w:iCs/>
          <w:color w:val="000000"/>
        </w:rPr>
      </w:pPr>
      <w:r w:rsidRPr="008767B6">
        <w:rPr>
          <w:color w:val="000000"/>
        </w:rPr>
        <w:t>22</w:t>
      </w:r>
      <w:r w:rsidR="00E11ABF" w:rsidRPr="008767B6">
        <w:rPr>
          <w:color w:val="000000"/>
        </w:rPr>
        <w:t>.</w:t>
      </w:r>
      <w:r w:rsidR="00E11ABF" w:rsidRPr="008767B6">
        <w:rPr>
          <w:color w:val="000000"/>
        </w:rPr>
        <w:tab/>
        <w:t>subliniază că un sediu unic al Parlamentului ar putea reduce costurile financiare și de mediu; reamintește că, în conformitate cu Tratatul privind Uniunea Europeană, sediul Parlamentului trebuie să fie la Strasbourg; constată că modificările permanente ar necesita o modificare a tratatului, pentru care este nevoie de unanimitate;</w:t>
      </w:r>
    </w:p>
    <w:p w14:paraId="29B40622" w14:textId="77777777" w:rsidR="00E11ABF" w:rsidRPr="008767B6" w:rsidRDefault="00E11ABF" w:rsidP="00E11ABF">
      <w:pPr>
        <w:pStyle w:val="action0"/>
        <w:ind w:left="0" w:firstLine="0"/>
        <w:rPr>
          <w:b/>
          <w:i/>
          <w:color w:val="000000"/>
        </w:rPr>
      </w:pPr>
      <w:r w:rsidRPr="008767B6">
        <w:rPr>
          <w:b/>
          <w:i/>
          <w:color w:val="000000"/>
        </w:rPr>
        <w:t xml:space="preserve">Parlamentul ecologic </w:t>
      </w:r>
    </w:p>
    <w:p w14:paraId="7A5C0F54" w14:textId="631F8FAE" w:rsidR="00E11ABF" w:rsidRPr="008767B6" w:rsidRDefault="00DB2E22" w:rsidP="00E11ABF">
      <w:pPr>
        <w:spacing w:after="240"/>
        <w:ind w:left="567" w:hanging="567"/>
        <w:rPr>
          <w:color w:val="000000"/>
        </w:rPr>
      </w:pPr>
      <w:r w:rsidRPr="008767B6">
        <w:rPr>
          <w:color w:val="000000"/>
        </w:rPr>
        <w:t>23</w:t>
      </w:r>
      <w:r w:rsidR="00E11ABF" w:rsidRPr="008767B6">
        <w:rPr>
          <w:color w:val="000000"/>
        </w:rPr>
        <w:t>.</w:t>
      </w:r>
      <w:r w:rsidR="00E11ABF" w:rsidRPr="008767B6">
        <w:rPr>
          <w:color w:val="000000"/>
        </w:rPr>
        <w:tab/>
        <w:t>salută obiectivele sistemului de management de mediu (EMAS) al Parlamentului pentru perioada 2025-2029; salută investițiile în infrastructură ca parte a acțiunilor planificate în materie de eficiență energetică și renovare ecologică prevăzute pentru perioada 2025-2029, ceea ce reprezintă o metodă bună de a obține un bun raport calitate-preț; ia act de bugetul de 8,97 milioane EUR prevăzut în estimările pentru 2027 pentru investiții în eficiența energetică și mediu cu scopul de a îmbunătăți și mai mult performanța de mediu a clădirilor sale; constată că aceasta reprezintă o creștere de 6,1 % față de bugetul pe 2026; salută faptul că Parlamentul a instalat și continuă să instaleze panouri solare fotovoltaice pentru a crește și mai mult ponderea energiei din surse regenerabile produse la fața locului; subliniază necesitatea de a se asigura că astfel de investiții generează câștiguri măsurabile în materie de eficiență, în special având în vedere contextul geopolitic și pentru a face economii de costuri pe termen lung;</w:t>
      </w:r>
    </w:p>
    <w:p w14:paraId="38C50692" w14:textId="4CD80118" w:rsidR="00E11ABF" w:rsidRPr="008767B6" w:rsidRDefault="00DB2E22" w:rsidP="00E11ABF">
      <w:pPr>
        <w:spacing w:after="240"/>
        <w:ind w:left="567" w:hanging="567"/>
        <w:rPr>
          <w:bCs/>
          <w:iCs/>
          <w:color w:val="000000"/>
        </w:rPr>
      </w:pPr>
      <w:r w:rsidRPr="008767B6">
        <w:rPr>
          <w:color w:val="000000"/>
        </w:rPr>
        <w:t>24</w:t>
      </w:r>
      <w:r w:rsidR="00E11ABF" w:rsidRPr="008767B6">
        <w:rPr>
          <w:color w:val="000000"/>
        </w:rPr>
        <w:t>.</w:t>
      </w:r>
      <w:r w:rsidR="00E11ABF" w:rsidRPr="008767B6">
        <w:rPr>
          <w:color w:val="000000"/>
        </w:rPr>
        <w:tab/>
        <w:t>reamintește că aproape două treimi din amprenta de carbon a Parlamentului provine din transportul de persoane; constată că o parte semnificativă a bugetului Parlamentului (162,1 milioane EUR în 2027) este cheltuită pentru a acoperi cheltuielile de misiune ale deputaților și ale personalului; solicită ca organele Parlamentului să revadă practicile legate de misiuni în afara celor trei locuri de desfășurare a activității și să revizuiască normele și practicile legate de misiuni, cu scopul general de a reduce numărul misiunilor și costurile financiare și de mediu aferente; încurajează deputații să utilizeze alternative de transport cu emisii reduse de dioxid de carbon și opțiunile de zbor cele mai avantajoase din punct de vedere economic;</w:t>
      </w:r>
    </w:p>
    <w:p w14:paraId="7999EF05" w14:textId="15AECB5D" w:rsidR="00E11ABF" w:rsidRPr="008767B6" w:rsidRDefault="00DB2E22" w:rsidP="00E11ABF">
      <w:pPr>
        <w:spacing w:after="240"/>
        <w:ind w:left="567" w:hanging="567"/>
        <w:rPr>
          <w:bCs/>
          <w:iCs/>
          <w:color w:val="000000"/>
        </w:rPr>
      </w:pPr>
      <w:r w:rsidRPr="008767B6">
        <w:rPr>
          <w:color w:val="000000"/>
        </w:rPr>
        <w:lastRenderedPageBreak/>
        <w:t>25</w:t>
      </w:r>
      <w:r w:rsidR="00E11ABF" w:rsidRPr="008767B6">
        <w:rPr>
          <w:color w:val="000000"/>
        </w:rPr>
        <w:t>.</w:t>
      </w:r>
      <w:r w:rsidR="00E11ABF" w:rsidRPr="008767B6">
        <w:rPr>
          <w:color w:val="000000"/>
        </w:rPr>
        <w:tab/>
        <w:t>salută utilizarea sporită a transportului public pentru navetă și, în același timp, ia act de creșterea cererii pentru sistemul de subvenții financiare pentru abonamentele la transportul public, în special la Bruxelles, ceea ce duce la o creștere a creditelor; consideră că Parlamentul trebuie să conducă prin puterea exemplului, încurajând posibile măsuri de asigurare a utilizării eficiente a resurselor prin consolidarea modurilor de transport sustenabile pentru navetă și prin crearea de stimulente suplimentare pentru naveta cu bicicleta;</w:t>
      </w:r>
    </w:p>
    <w:p w14:paraId="217386CF" w14:textId="6DBC79DC" w:rsidR="00E11ABF" w:rsidRPr="008767B6" w:rsidRDefault="00DB2E22" w:rsidP="00E11ABF">
      <w:pPr>
        <w:spacing w:after="240"/>
        <w:ind w:left="567" w:hanging="567"/>
        <w:rPr>
          <w:color w:val="000000"/>
        </w:rPr>
      </w:pPr>
      <w:r w:rsidRPr="008767B6">
        <w:rPr>
          <w:color w:val="000000"/>
        </w:rPr>
        <w:t>26</w:t>
      </w:r>
      <w:r w:rsidR="00E11ABF" w:rsidRPr="008767B6">
        <w:rPr>
          <w:color w:val="000000"/>
        </w:rPr>
        <w:t>.</w:t>
      </w:r>
      <w:r w:rsidR="00E11ABF" w:rsidRPr="008767B6">
        <w:rPr>
          <w:color w:val="000000"/>
        </w:rPr>
        <w:tab/>
        <w:t>ia act de creșterile semnificative ale prețurilor creditelor de carbon, pentru care, la nivelurile actuale de emisii, se estimează că ar fi nevoie de 950 000 EUR pentru 2027; invită administrația să acorde prioritate reducerii emisiilor Parlamentului, inclusiv prin creșterea investițiilor în sisteme curate de încălzire, ventilare și climatizare, în special în instalațiile de pompe de căldură din Bruxelles, precum și prin alte măsuri proporționale și eficiente din punctul de vedere al costurilor pentru a reduce emisiile, acolo unde este rezonabil, în detrimentul achiziționării de credite de carbon; apreciază introducerea unei oferte mai bune de trenuri pentru misiunile de la Strasbourg începând din iunie 2025, ceea ce reprezintă un pas pozitiv către reducerea emisiilor de CO</w:t>
      </w:r>
      <w:r w:rsidR="00E11ABF" w:rsidRPr="008767B6">
        <w:rPr>
          <w:color w:val="000000"/>
          <w:vertAlign w:val="subscript"/>
        </w:rPr>
        <w:t>2</w:t>
      </w:r>
      <w:r w:rsidR="00E11ABF" w:rsidRPr="008767B6">
        <w:rPr>
          <w:color w:val="000000"/>
        </w:rPr>
        <w:t xml:space="preserve">; </w:t>
      </w:r>
    </w:p>
    <w:p w14:paraId="68076D91" w14:textId="77777777" w:rsidR="00E11ABF" w:rsidRPr="008767B6" w:rsidRDefault="00E11ABF" w:rsidP="00E11ABF">
      <w:pPr>
        <w:pStyle w:val="action0"/>
        <w:ind w:left="0" w:firstLine="0"/>
        <w:rPr>
          <w:b/>
          <w:i/>
          <w:color w:val="000000"/>
        </w:rPr>
      </w:pPr>
      <w:r w:rsidRPr="008767B6">
        <w:rPr>
          <w:b/>
          <w:i/>
          <w:color w:val="000000"/>
        </w:rPr>
        <w:t>Altele</w:t>
      </w:r>
    </w:p>
    <w:p w14:paraId="000340A0" w14:textId="729BED45" w:rsidR="00E11ABF" w:rsidRPr="008767B6" w:rsidRDefault="00DB2E22" w:rsidP="00E11ABF">
      <w:pPr>
        <w:pStyle w:val="action0"/>
        <w:ind w:left="567" w:hanging="567"/>
        <w:rPr>
          <w:bCs/>
          <w:iCs/>
          <w:color w:val="000000"/>
        </w:rPr>
      </w:pPr>
      <w:r w:rsidRPr="008767B6">
        <w:rPr>
          <w:color w:val="000000"/>
        </w:rPr>
        <w:t>27</w:t>
      </w:r>
      <w:r w:rsidR="00E11ABF" w:rsidRPr="008767B6">
        <w:rPr>
          <w:color w:val="000000"/>
        </w:rPr>
        <w:t>.</w:t>
      </w:r>
      <w:r w:rsidR="00E11ABF" w:rsidRPr="008767B6">
        <w:rPr>
          <w:color w:val="000000"/>
        </w:rPr>
        <w:tab/>
        <w:t>invită Conferința președinților să adopte fără întârziere o decizie referitoare la articolele relevante din normele sale interne privind participarea APA care îi însoțesc pe deputați la misiuni și delegații oficiale în afara celor trei locuri de desfășurare a activității Parlamentului, în cazul în care niciun membru al personalului grupului lor politic reprezentat în misiune nu a fost notificat oficial Secretariatului Parlamentului;</w:t>
      </w:r>
    </w:p>
    <w:p w14:paraId="17D2F1A6" w14:textId="62EA761C" w:rsidR="00E11ABF" w:rsidRPr="008767B6" w:rsidRDefault="00DB2E22" w:rsidP="00E11ABF">
      <w:pPr>
        <w:spacing w:after="240"/>
        <w:ind w:left="567" w:hanging="567"/>
        <w:rPr>
          <w:b/>
          <w:i/>
          <w:color w:val="000000"/>
        </w:rPr>
      </w:pPr>
      <w:r w:rsidRPr="008767B6">
        <w:rPr>
          <w:color w:val="000000"/>
        </w:rPr>
        <w:t>28</w:t>
      </w:r>
      <w:r w:rsidR="00E11ABF" w:rsidRPr="008767B6">
        <w:rPr>
          <w:color w:val="000000"/>
        </w:rPr>
        <w:t>.</w:t>
      </w:r>
      <w:r w:rsidR="00E11ABF" w:rsidRPr="008767B6">
        <w:rPr>
          <w:color w:val="000000"/>
        </w:rPr>
        <w:tab/>
        <w:t>consideră că Parlamentul ar trebui să dea exemplu în ceea ce privește drepturile persoanelor cu dizabilități, atât în calitate de angajator, cât și în calitate de instituție publică; salută politica Parlamentului care vizează asigurarea unei utilizări pe deplin independente a clădirilor Parlamentului de către persoanele cu dizabilități și sprijină măsurile și adaptările suplimentare necesare în acest sens; constată că bugetul prevede 2,07 milioane EUR în acest scop pentru clădirile sale din Strasbourg; subliniază că accesibilitatea ar trebui să fie un criteriu esențial în renovarea clădirii SPAAK și în dezvoltarea tuturor platformelor digitale;</w:t>
      </w:r>
      <w:r w:rsidR="00E11ABF" w:rsidRPr="008767B6">
        <w:rPr>
          <w:b/>
          <w:i/>
          <w:color w:val="000000"/>
        </w:rPr>
        <w:t xml:space="preserve"> </w:t>
      </w:r>
    </w:p>
    <w:p w14:paraId="6EE2C03E" w14:textId="54379C5F" w:rsidR="00D7490C" w:rsidRPr="008767B6" w:rsidRDefault="00D7490C" w:rsidP="00E11ABF">
      <w:pPr>
        <w:spacing w:after="240"/>
        <w:ind w:left="567" w:hanging="567"/>
        <w:rPr>
          <w:bCs/>
          <w:iCs/>
          <w:color w:val="000000"/>
        </w:rPr>
      </w:pPr>
      <w:r w:rsidRPr="008767B6">
        <w:rPr>
          <w:bCs/>
          <w:iCs/>
          <w:color w:val="000000"/>
        </w:rPr>
        <w:t xml:space="preserve">29. </w:t>
      </w:r>
      <w:r w:rsidRPr="008767B6">
        <w:rPr>
          <w:bCs/>
          <w:iCs/>
          <w:color w:val="000000"/>
        </w:rPr>
        <w:tab/>
        <w:t xml:space="preserve">salută inițiativele recente aprobate de Conferința președinților și de Birou de a permite deputatelor aflate în perioadă </w:t>
      </w:r>
      <w:proofErr w:type="spellStart"/>
      <w:r w:rsidRPr="008767B6">
        <w:rPr>
          <w:bCs/>
          <w:iCs/>
          <w:color w:val="000000"/>
        </w:rPr>
        <w:t>perinatală</w:t>
      </w:r>
      <w:proofErr w:type="spellEnd"/>
      <w:r w:rsidRPr="008767B6">
        <w:rPr>
          <w:bCs/>
          <w:iCs/>
          <w:color w:val="000000"/>
        </w:rPr>
        <w:t xml:space="preserve"> să voteze prin procură, recunoscând că acest lucru reprezintă un pas înainte către o mai mare includere în activitatea parlamentară, și invită toate părțile să pună rapid în aplicare această măsură; insistă însă că această măsură nu răspunde solicitărilor repetate ale Parlamentului de a garanta drepturile de vot nu numai pentru deputatele aflate în perioada </w:t>
      </w:r>
      <w:proofErr w:type="spellStart"/>
      <w:r w:rsidRPr="008767B6">
        <w:rPr>
          <w:bCs/>
          <w:iCs/>
          <w:color w:val="000000"/>
        </w:rPr>
        <w:t>perinatală</w:t>
      </w:r>
      <w:proofErr w:type="spellEnd"/>
      <w:r w:rsidRPr="008767B6">
        <w:rPr>
          <w:bCs/>
          <w:iCs/>
          <w:color w:val="000000"/>
        </w:rPr>
        <w:t>, ci și pentru deputații aflați în concediu pentru creșterea copilului sau în concediu de paternitate sau pentru cei care se confruntă cu boli de lungă durată atestate;</w:t>
      </w:r>
    </w:p>
    <w:p w14:paraId="128D37A3" w14:textId="20DD2EA8" w:rsidR="00E11ABF" w:rsidRPr="008767B6" w:rsidRDefault="00D7490C" w:rsidP="00E11ABF">
      <w:pPr>
        <w:spacing w:after="240"/>
        <w:ind w:left="567" w:hanging="567"/>
        <w:rPr>
          <w:bCs/>
          <w:iCs/>
          <w:color w:val="000000"/>
        </w:rPr>
      </w:pPr>
      <w:r w:rsidRPr="008767B6">
        <w:rPr>
          <w:color w:val="000000"/>
        </w:rPr>
        <w:t>30</w:t>
      </w:r>
      <w:r w:rsidR="00E11ABF" w:rsidRPr="008767B6">
        <w:rPr>
          <w:color w:val="000000"/>
        </w:rPr>
        <w:t>.</w:t>
      </w:r>
      <w:r w:rsidR="00E11ABF" w:rsidRPr="008767B6">
        <w:rPr>
          <w:color w:val="000000"/>
        </w:rPr>
        <w:tab/>
      </w:r>
      <w:r w:rsidR="00764B48" w:rsidRPr="008767B6">
        <w:rPr>
          <w:color w:val="000000"/>
        </w:rPr>
        <w:t xml:space="preserve">își exprimă îngrijorarea cu privire la faptul că calitatea și continuitatea serviciilor furnizate de creșa </w:t>
      </w:r>
      <w:proofErr w:type="spellStart"/>
      <w:r w:rsidR="00764B48" w:rsidRPr="008767B6">
        <w:rPr>
          <w:color w:val="000000"/>
        </w:rPr>
        <w:t>Wayenberg</w:t>
      </w:r>
      <w:proofErr w:type="spellEnd"/>
      <w:r w:rsidR="00764B48" w:rsidRPr="008767B6">
        <w:rPr>
          <w:color w:val="000000"/>
        </w:rPr>
        <w:t xml:space="preserve"> a Parlamentului au fost afectate de schimbările frecvente ale furnizorilor de servicii începând din 2020, alături de provocările legate de deficitul de personal, de absenteismul ridicat al personalului și de rotația personalului la creșă; ia act de atribuirea contractului actual pentru serviciile de îngrijire a copiilor ale Parlamentului de la Bruxelles unei noi societăți înființate la scurt timp după publicarea licitației și care ar fi legată de fostul furnizor, </w:t>
      </w:r>
      <w:proofErr w:type="spellStart"/>
      <w:r w:rsidR="00764B48" w:rsidRPr="008767B6">
        <w:rPr>
          <w:color w:val="000000"/>
        </w:rPr>
        <w:t>Esedra</w:t>
      </w:r>
      <w:proofErr w:type="spellEnd"/>
      <w:r w:rsidR="00764B48" w:rsidRPr="008767B6">
        <w:rPr>
          <w:color w:val="000000"/>
        </w:rPr>
        <w:t xml:space="preserve">; reamintește rezilierea anticipată de către Parlament a contractului cu fostul furnizor al creșei </w:t>
      </w:r>
      <w:proofErr w:type="spellStart"/>
      <w:r w:rsidR="00764B48" w:rsidRPr="008767B6">
        <w:rPr>
          <w:color w:val="000000"/>
        </w:rPr>
        <w:t>Wayenberg</w:t>
      </w:r>
      <w:proofErr w:type="spellEnd"/>
      <w:r w:rsidR="00764B48" w:rsidRPr="008767B6">
        <w:rPr>
          <w:color w:val="000000"/>
        </w:rPr>
        <w:t xml:space="preserve">, </w:t>
      </w:r>
      <w:proofErr w:type="spellStart"/>
      <w:r w:rsidR="00764B48" w:rsidRPr="008767B6">
        <w:rPr>
          <w:color w:val="000000"/>
        </w:rPr>
        <w:t>Esedra</w:t>
      </w:r>
      <w:proofErr w:type="spellEnd"/>
      <w:r w:rsidR="00764B48" w:rsidRPr="008767B6">
        <w:rPr>
          <w:color w:val="000000"/>
        </w:rPr>
        <w:t xml:space="preserve">, în </w:t>
      </w:r>
      <w:r w:rsidR="00764B48" w:rsidRPr="008767B6">
        <w:rPr>
          <w:color w:val="000000"/>
        </w:rPr>
        <w:lastRenderedPageBreak/>
        <w:t xml:space="preserve">urma unei serii de acuzații grave aduse acelui contractant; </w:t>
      </w:r>
      <w:r w:rsidR="00E11ABF" w:rsidRPr="008767B6">
        <w:rPr>
          <w:color w:val="000000"/>
        </w:rPr>
        <w:t xml:space="preserve">; reiterează că condițiile de muncă decente </w:t>
      </w:r>
      <w:r w:rsidR="00764B48" w:rsidRPr="008767B6">
        <w:rPr>
          <w:color w:val="000000"/>
        </w:rPr>
        <w:t>și remunerare</w:t>
      </w:r>
      <w:r w:rsidR="006F7A31" w:rsidRPr="008767B6">
        <w:rPr>
          <w:color w:val="000000"/>
        </w:rPr>
        <w:t>a</w:t>
      </w:r>
      <w:r w:rsidR="00764B48" w:rsidRPr="008767B6">
        <w:rPr>
          <w:color w:val="000000"/>
        </w:rPr>
        <w:t xml:space="preserve"> corespunzătoare </w:t>
      </w:r>
      <w:r w:rsidR="00E11ABF" w:rsidRPr="008767B6">
        <w:rPr>
          <w:color w:val="000000"/>
        </w:rPr>
        <w:t xml:space="preserve">pentru personalul extern, </w:t>
      </w:r>
      <w:r w:rsidR="00764B48" w:rsidRPr="008767B6">
        <w:rPr>
          <w:color w:val="000000"/>
        </w:rPr>
        <w:t xml:space="preserve"> inclusiv </w:t>
      </w:r>
      <w:r w:rsidR="00E11ABF" w:rsidRPr="008767B6">
        <w:rPr>
          <w:color w:val="000000"/>
        </w:rPr>
        <w:t>formarea, dezvoltarea competențelor</w:t>
      </w:r>
      <w:r w:rsidR="00764B48" w:rsidRPr="008767B6">
        <w:rPr>
          <w:color w:val="000000"/>
        </w:rPr>
        <w:t>,</w:t>
      </w:r>
      <w:r w:rsidR="00E11ABF" w:rsidRPr="008767B6">
        <w:rPr>
          <w:color w:val="000000"/>
        </w:rPr>
        <w:t xml:space="preserve"> </w:t>
      </w:r>
      <w:r w:rsidR="00764B48" w:rsidRPr="008767B6">
        <w:rPr>
          <w:color w:val="000000"/>
        </w:rPr>
        <w:t xml:space="preserve">măsuri împotriva violenței și hărțuirii, un dialog social constructiv </w:t>
      </w:r>
      <w:r w:rsidR="00E11ABF" w:rsidRPr="008767B6">
        <w:rPr>
          <w:color w:val="000000"/>
        </w:rPr>
        <w:t>și investițiile în bunăstarea personalului, ar trebui, după caz, să fie o prioritate în achizițiile publice ale Parlamentului, ca și chestiune de principiu;</w:t>
      </w:r>
      <w:r w:rsidR="006F7A31" w:rsidRPr="008767B6">
        <w:rPr>
          <w:color w:val="000000"/>
        </w:rPr>
        <w:t xml:space="preserve"> </w:t>
      </w:r>
      <w:r w:rsidR="006F7A31" w:rsidRPr="008767B6">
        <w:rPr>
          <w:bCs/>
          <w:iCs/>
        </w:rPr>
        <w:t>cere să se facă un audit extern independent al procedurii de licitație și al punerii în aplicare a contractului actual, inclusiv o evaluare externă independentă a condițiilor de muncă și a stării de bine a personalului;</w:t>
      </w:r>
    </w:p>
    <w:p w14:paraId="4E9C30B5" w14:textId="6053A903" w:rsidR="00E11ABF" w:rsidRPr="008767B6" w:rsidRDefault="00DB2E22" w:rsidP="00E11ABF">
      <w:pPr>
        <w:spacing w:after="240"/>
        <w:ind w:left="567" w:hanging="567"/>
        <w:rPr>
          <w:bCs/>
          <w:iCs/>
          <w:color w:val="000000"/>
        </w:rPr>
      </w:pPr>
      <w:r w:rsidRPr="008767B6">
        <w:rPr>
          <w:color w:val="000000"/>
        </w:rPr>
        <w:t>3</w:t>
      </w:r>
      <w:r w:rsidR="006F14BE" w:rsidRPr="008767B6">
        <w:rPr>
          <w:color w:val="000000"/>
        </w:rPr>
        <w:t>1</w:t>
      </w:r>
      <w:r w:rsidR="00E11ABF" w:rsidRPr="008767B6">
        <w:rPr>
          <w:color w:val="000000"/>
        </w:rPr>
        <w:t>.</w:t>
      </w:r>
      <w:r w:rsidR="00E11ABF" w:rsidRPr="008767B6">
        <w:rPr>
          <w:color w:val="000000"/>
        </w:rPr>
        <w:tab/>
        <w:t>salută sala familială de la Strasbourg ca fiind un sprijin valoros pentru deputații și personalul cu copii mici în timpul activităților lor parlamentare; constată, cu toate acestea, că aceasta are o capacitate limitată de a găzdui 30 de copii; observă că vârsta medie a deputaților în Parlamentul European și a personalului parlamentar a scăzut în ultimii ani, ceea ce a dus la un număr mai mare de familii tinere și la creșterea cererii de servicii de îngrijire a copiilor; invită Biroul și Secretarul General să identifice și să pună în aplicare soluții pentru îmbunătățirea în continuare a serviciilor de îngrijire a copiilor la Strasbourg;</w:t>
      </w:r>
    </w:p>
    <w:p w14:paraId="590572B2" w14:textId="0487CAF5" w:rsidR="00E11ABF" w:rsidRPr="008767B6" w:rsidRDefault="00DB2E22" w:rsidP="00E11ABF">
      <w:pPr>
        <w:spacing w:after="240"/>
        <w:ind w:left="567" w:hanging="567"/>
        <w:rPr>
          <w:color w:val="000000"/>
        </w:rPr>
      </w:pPr>
      <w:r w:rsidRPr="008767B6">
        <w:rPr>
          <w:color w:val="000000"/>
        </w:rPr>
        <w:t>3</w:t>
      </w:r>
      <w:r w:rsidR="006F14BE" w:rsidRPr="008767B6">
        <w:rPr>
          <w:color w:val="000000"/>
        </w:rPr>
        <w:t>2</w:t>
      </w:r>
      <w:r w:rsidR="00E11ABF" w:rsidRPr="008767B6">
        <w:rPr>
          <w:color w:val="000000"/>
        </w:rPr>
        <w:t>.</w:t>
      </w:r>
      <w:r w:rsidR="00E11ABF" w:rsidRPr="008767B6">
        <w:rPr>
          <w:color w:val="000000"/>
        </w:rPr>
        <w:tab/>
        <w:t xml:space="preserve">relansează apelul său adresat Secretarului General de a pune accentul pe principiul fundamental conform căruia toate recrutările ar trebui să se bazeze pe competențe, asigurând, în același timp, un echilibru geografic între toate statele membre la fiecare nivel al efectivelor de personal; subliniază că asigurarea unei reprezentări geografice juste la toate nivelurile administrației, luând în considerare totodată vârsta și genul, este esențială pentru promovarea unui serviciu public cu adevărat european; constată că Parlamentul a luat în mod constant măsuri pentru a sprijini acest obiectiv, inclusiv prin organizarea de concursuri specifice pe naționalități; subliniază că procesele concursurilor trebuie accelerate, menținând în același timp o abordare strictă de selecție bazată pe merit; </w:t>
      </w:r>
    </w:p>
    <w:p w14:paraId="410DFE37" w14:textId="6881DDF0" w:rsidR="00E11ABF" w:rsidRPr="008767B6" w:rsidRDefault="00DB2E22" w:rsidP="00E11ABF">
      <w:pPr>
        <w:spacing w:after="240"/>
        <w:ind w:left="567" w:hanging="567"/>
        <w:rPr>
          <w:color w:val="000000"/>
        </w:rPr>
      </w:pPr>
      <w:r w:rsidRPr="008767B6">
        <w:rPr>
          <w:color w:val="000000"/>
        </w:rPr>
        <w:t>3</w:t>
      </w:r>
      <w:r w:rsidR="006F14BE" w:rsidRPr="008767B6">
        <w:rPr>
          <w:color w:val="000000"/>
        </w:rPr>
        <w:t>3</w:t>
      </w:r>
      <w:r w:rsidR="00E11ABF" w:rsidRPr="008767B6">
        <w:rPr>
          <w:color w:val="000000"/>
        </w:rPr>
        <w:t>.</w:t>
      </w:r>
      <w:r w:rsidR="00E11ABF" w:rsidRPr="008767B6">
        <w:rPr>
          <w:color w:val="000000"/>
        </w:rPr>
        <w:tab/>
        <w:t xml:space="preserve">subliniază că multilingvismul este unul dintre principiile fundamentale care stau la baza activității Parlamentului; solicită ca Parlamentul să valorifice, dacă este cazul, evoluțiile tehnologice majore în domeniul serviciilor legate de multilingvism, inclusiv dezvoltarea și utilizarea IA; </w:t>
      </w:r>
    </w:p>
    <w:p w14:paraId="50DE5EDE" w14:textId="592C1E39" w:rsidR="00E11ABF" w:rsidRPr="008767B6" w:rsidRDefault="00DB2E22" w:rsidP="00E11ABF">
      <w:pPr>
        <w:spacing w:after="240"/>
        <w:ind w:left="567" w:hanging="567"/>
        <w:rPr>
          <w:bCs/>
          <w:iCs/>
          <w:color w:val="000000"/>
        </w:rPr>
      </w:pPr>
      <w:r w:rsidRPr="008767B6">
        <w:rPr>
          <w:color w:val="000000"/>
        </w:rPr>
        <w:t>3</w:t>
      </w:r>
      <w:r w:rsidR="006F14BE" w:rsidRPr="008767B6">
        <w:rPr>
          <w:color w:val="000000"/>
        </w:rPr>
        <w:t>4</w:t>
      </w:r>
      <w:r w:rsidR="00E11ABF" w:rsidRPr="008767B6">
        <w:rPr>
          <w:color w:val="000000"/>
        </w:rPr>
        <w:t>.</w:t>
      </w:r>
      <w:r w:rsidR="00E11ABF" w:rsidRPr="008767B6">
        <w:rPr>
          <w:color w:val="000000"/>
        </w:rPr>
        <w:tab/>
        <w:t>ia act de hotărârea din 17 decembrie 2025 a Tribunalului Curții de Justiție a Uniunii Europene care confirmă legalitatea măsurilor adoptate de Birou în 2023 privind Fondul voluntar de pensii al deputaților</w:t>
      </w:r>
      <w:r w:rsidR="00E11ABF" w:rsidRPr="008767B6">
        <w:rPr>
          <w:rStyle w:val="FootnoteReference"/>
          <w:bCs/>
          <w:iCs/>
          <w:color w:val="000000"/>
        </w:rPr>
        <w:footnoteReference w:id="13"/>
      </w:r>
      <w:r w:rsidR="00E11ABF" w:rsidRPr="008767B6">
        <w:rPr>
          <w:color w:val="000000"/>
        </w:rPr>
        <w:t>; subliniază că, deși aceste măsuri au redus obligația privind prestațiile cu 63 %, fondul rămâne într-o situație financiară foarte fragilă; se așteaptă să primească informații actualizate cu privire la evoluțiile viitoare în ceea ce privește regimul voluntar de pensii;</w:t>
      </w:r>
    </w:p>
    <w:p w14:paraId="7DEA5126" w14:textId="0C9048FA" w:rsidR="00E11ABF" w:rsidRPr="008767B6" w:rsidRDefault="00DB2E22" w:rsidP="00E11ABF">
      <w:pPr>
        <w:spacing w:after="240"/>
        <w:ind w:left="567" w:hanging="567"/>
        <w:rPr>
          <w:bCs/>
          <w:iCs/>
          <w:color w:val="000000"/>
        </w:rPr>
      </w:pPr>
      <w:r w:rsidRPr="008767B6">
        <w:rPr>
          <w:color w:val="000000"/>
        </w:rPr>
        <w:t>3</w:t>
      </w:r>
      <w:r w:rsidR="006F14BE" w:rsidRPr="008767B6">
        <w:rPr>
          <w:color w:val="000000"/>
        </w:rPr>
        <w:t>5</w:t>
      </w:r>
      <w:r w:rsidR="00E11ABF" w:rsidRPr="008767B6">
        <w:rPr>
          <w:color w:val="000000"/>
        </w:rPr>
        <w:t>.</w:t>
      </w:r>
      <w:r w:rsidR="00E11ABF" w:rsidRPr="008767B6">
        <w:rPr>
          <w:color w:val="000000"/>
        </w:rPr>
        <w:tab/>
        <w:t xml:space="preserve">evidențiază că cererile votate de plen trebuie </w:t>
      </w:r>
      <w:r w:rsidR="007704FB" w:rsidRPr="008767B6">
        <w:rPr>
          <w:color w:val="000000"/>
        </w:rPr>
        <w:t xml:space="preserve">să fie </w:t>
      </w:r>
      <w:r w:rsidR="00E11ABF" w:rsidRPr="008767B6">
        <w:rPr>
          <w:color w:val="000000"/>
        </w:rPr>
        <w:t>puse în aplicare cu prioritate ridicată;</w:t>
      </w:r>
    </w:p>
    <w:p w14:paraId="21380B3A" w14:textId="164C5140" w:rsidR="00E11ABF" w:rsidRPr="008767B6" w:rsidRDefault="00DB2E22" w:rsidP="00E11ABF">
      <w:pPr>
        <w:spacing w:after="240"/>
        <w:ind w:left="567" w:hanging="567"/>
      </w:pPr>
      <w:r w:rsidRPr="008767B6">
        <w:t>3</w:t>
      </w:r>
      <w:r w:rsidR="006F14BE" w:rsidRPr="008767B6">
        <w:t>6</w:t>
      </w:r>
      <w:r w:rsidR="00E11ABF" w:rsidRPr="008767B6">
        <w:t>.</w:t>
      </w:r>
      <w:r w:rsidR="00E11ABF" w:rsidRPr="008767B6">
        <w:tab/>
        <w:t>adoptă estimarea bugetului pentru exercițiul financiar 2027;</w:t>
      </w:r>
    </w:p>
    <w:p w14:paraId="3B146B6A" w14:textId="08D5C118" w:rsidR="00E11ABF" w:rsidRPr="008767B6" w:rsidRDefault="00DB2E22" w:rsidP="0018006F">
      <w:pPr>
        <w:spacing w:after="240"/>
        <w:ind w:left="567" w:hanging="567"/>
        <w:jc w:val="both"/>
      </w:pPr>
      <w:r w:rsidRPr="008767B6">
        <w:t>3</w:t>
      </w:r>
      <w:r w:rsidR="006F14BE" w:rsidRPr="008767B6">
        <w:t>7</w:t>
      </w:r>
      <w:r w:rsidR="00E11ABF" w:rsidRPr="008767B6">
        <w:t>.</w:t>
      </w:r>
      <w:r w:rsidR="00E11ABF" w:rsidRPr="008767B6">
        <w:tab/>
        <w:t>încredințează Președintei sarcina de a transmite Consiliului și Comisiei prezenta rezoluție și estimarea bugetului.</w:t>
      </w:r>
    </w:p>
    <w:sectPr w:rsidR="00E11ABF" w:rsidRPr="008767B6" w:rsidSect="0018006F">
      <w:footnotePr>
        <w:numRestart w:val="eachSect"/>
      </w:footnotePr>
      <w:endnotePr>
        <w:numFmt w:val="decimal"/>
      </w:endnotePr>
      <w:pgSz w:w="11906" w:h="16838" w:code="9"/>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46607F" w14:textId="77777777" w:rsidR="00987C1C" w:rsidRPr="00D769A5" w:rsidRDefault="00987C1C">
      <w:r w:rsidRPr="00D769A5">
        <w:separator/>
      </w:r>
    </w:p>
  </w:endnote>
  <w:endnote w:type="continuationSeparator" w:id="0">
    <w:p w14:paraId="3FF902EC" w14:textId="77777777" w:rsidR="00987C1C" w:rsidRPr="00D769A5" w:rsidRDefault="00987C1C">
      <w:r w:rsidRPr="00D769A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C81310" w14:textId="77777777" w:rsidR="00987C1C" w:rsidRPr="00D769A5" w:rsidRDefault="00987C1C">
      <w:r w:rsidRPr="00D769A5">
        <w:separator/>
      </w:r>
    </w:p>
  </w:footnote>
  <w:footnote w:type="continuationSeparator" w:id="0">
    <w:p w14:paraId="6198C65B" w14:textId="77777777" w:rsidR="00987C1C" w:rsidRPr="00D769A5" w:rsidRDefault="00987C1C">
      <w:r w:rsidRPr="00D769A5">
        <w:continuationSeparator/>
      </w:r>
    </w:p>
  </w:footnote>
  <w:footnote w:id="1">
    <w:p w14:paraId="3A30F867" w14:textId="0C9287A3" w:rsidR="00E11ABF" w:rsidRPr="00D769A5" w:rsidRDefault="00E11ABF" w:rsidP="00D769A5">
      <w:pPr>
        <w:ind w:left="567" w:hanging="567"/>
        <w:rPr>
          <w:color w:val="000000"/>
        </w:rPr>
      </w:pPr>
      <w:r w:rsidRPr="00D769A5">
        <w:rPr>
          <w:rStyle w:val="FootnoteReference"/>
        </w:rPr>
        <w:footnoteRef/>
      </w:r>
      <w:r w:rsidR="00D769A5" w:rsidRPr="00D769A5">
        <w:rPr>
          <w:color w:val="000000"/>
        </w:rPr>
        <w:t xml:space="preserve"> </w:t>
      </w:r>
      <w:r w:rsidR="00D769A5" w:rsidRPr="00D769A5">
        <w:rPr>
          <w:color w:val="000000"/>
        </w:rPr>
        <w:tab/>
      </w:r>
      <w:r w:rsidRPr="00D769A5">
        <w:rPr>
          <w:color w:val="000000"/>
        </w:rPr>
        <w:t xml:space="preserve">JO L, 2024/2509, 26.9.2024, ELI: </w:t>
      </w:r>
      <w:hyperlink r:id="rId1" w:history="1">
        <w:r w:rsidRPr="00D769A5">
          <w:rPr>
            <w:rStyle w:val="Hyperlink"/>
          </w:rPr>
          <w:t>http://data.europa.eu/eli/reg/2024/2509/oj</w:t>
        </w:r>
      </w:hyperlink>
      <w:r w:rsidRPr="00D769A5">
        <w:rPr>
          <w:color w:val="337AB7"/>
          <w:u w:val="single"/>
        </w:rPr>
        <w:t>.</w:t>
      </w:r>
    </w:p>
  </w:footnote>
  <w:footnote w:id="2">
    <w:p w14:paraId="03B65306" w14:textId="432E938A" w:rsidR="00E11ABF" w:rsidRPr="00D769A5" w:rsidRDefault="00E11ABF" w:rsidP="00D769A5">
      <w:pPr>
        <w:ind w:left="567" w:hanging="567"/>
        <w:rPr>
          <w:color w:val="000000"/>
        </w:rPr>
      </w:pPr>
      <w:r w:rsidRPr="00D769A5">
        <w:rPr>
          <w:rStyle w:val="FootnoteReference"/>
        </w:rPr>
        <w:footnoteRef/>
      </w:r>
      <w:r w:rsidR="00D769A5" w:rsidRPr="00D769A5">
        <w:rPr>
          <w:color w:val="000000"/>
        </w:rPr>
        <w:t xml:space="preserve"> </w:t>
      </w:r>
      <w:r w:rsidR="00D769A5" w:rsidRPr="00D769A5">
        <w:rPr>
          <w:color w:val="000000"/>
        </w:rPr>
        <w:tab/>
      </w:r>
      <w:r w:rsidRPr="00D769A5">
        <w:rPr>
          <w:color w:val="000000"/>
        </w:rPr>
        <w:t xml:space="preserve">JO L 433 I, 22.12.2020, p. 11, ELI: </w:t>
      </w:r>
      <w:hyperlink r:id="rId2" w:history="1">
        <w:r w:rsidRPr="00D769A5">
          <w:rPr>
            <w:rStyle w:val="Hyperlink"/>
          </w:rPr>
          <w:t>http://data.europa.eu/eli/reg/2020/2093/oj</w:t>
        </w:r>
      </w:hyperlink>
      <w:r w:rsidRPr="00D769A5">
        <w:rPr>
          <w:color w:val="000000"/>
        </w:rPr>
        <w:t>.</w:t>
      </w:r>
    </w:p>
  </w:footnote>
  <w:footnote w:id="3">
    <w:p w14:paraId="049BCB39" w14:textId="3CF3359E" w:rsidR="00E11ABF" w:rsidRPr="00D769A5" w:rsidRDefault="00E11ABF" w:rsidP="00D769A5">
      <w:pPr>
        <w:ind w:left="567" w:hanging="567"/>
        <w:rPr>
          <w:color w:val="000000"/>
        </w:rPr>
      </w:pPr>
      <w:r w:rsidRPr="00D769A5">
        <w:rPr>
          <w:rStyle w:val="FootnoteReference"/>
        </w:rPr>
        <w:footnoteRef/>
      </w:r>
      <w:r w:rsidR="00D769A5" w:rsidRPr="00D769A5">
        <w:rPr>
          <w:color w:val="000000"/>
        </w:rPr>
        <w:t xml:space="preserve"> </w:t>
      </w:r>
      <w:r w:rsidR="00D769A5" w:rsidRPr="00D769A5">
        <w:rPr>
          <w:color w:val="000000"/>
        </w:rPr>
        <w:tab/>
      </w:r>
      <w:r w:rsidRPr="00D769A5">
        <w:rPr>
          <w:color w:val="000000"/>
        </w:rPr>
        <w:t>JO C 444 I, 22.12.2020, p. 4.</w:t>
      </w:r>
    </w:p>
  </w:footnote>
  <w:footnote w:id="4">
    <w:p w14:paraId="67D00C77" w14:textId="5483BFF9" w:rsidR="00E11ABF" w:rsidRPr="00D769A5" w:rsidRDefault="00E11ABF" w:rsidP="00D769A5">
      <w:pPr>
        <w:ind w:left="567" w:hanging="567"/>
        <w:rPr>
          <w:color w:val="000000"/>
        </w:rPr>
      </w:pPr>
      <w:r w:rsidRPr="00D769A5">
        <w:rPr>
          <w:rStyle w:val="FootnoteReference"/>
        </w:rPr>
        <w:footnoteRef/>
      </w:r>
      <w:r w:rsidR="00D769A5" w:rsidRPr="00D769A5">
        <w:rPr>
          <w:color w:val="000000"/>
        </w:rPr>
        <w:t xml:space="preserve"> </w:t>
      </w:r>
      <w:r w:rsidR="00D769A5" w:rsidRPr="00D769A5">
        <w:rPr>
          <w:color w:val="000000"/>
        </w:rPr>
        <w:tab/>
      </w:r>
      <w:r w:rsidRPr="00D769A5">
        <w:rPr>
          <w:color w:val="000000"/>
        </w:rPr>
        <w:t>JO C 445, 29.10.2021, p. 252.</w:t>
      </w:r>
    </w:p>
  </w:footnote>
  <w:footnote w:id="5">
    <w:p w14:paraId="337B2B5D" w14:textId="11011744" w:rsidR="00E11ABF" w:rsidRPr="00D769A5" w:rsidRDefault="00E11ABF" w:rsidP="00D769A5">
      <w:pPr>
        <w:ind w:left="567" w:hanging="567"/>
      </w:pPr>
      <w:r w:rsidRPr="00D769A5">
        <w:rPr>
          <w:rStyle w:val="FootnoteReference"/>
          <w:rFonts w:eastAsiaTheme="majorEastAsia"/>
        </w:rPr>
        <w:footnoteRef/>
      </w:r>
      <w:r w:rsidR="00D769A5" w:rsidRPr="00D769A5">
        <w:t xml:space="preserve"> </w:t>
      </w:r>
      <w:r w:rsidR="00D769A5" w:rsidRPr="00D769A5">
        <w:tab/>
      </w:r>
      <w:r w:rsidRPr="00D769A5">
        <w:t xml:space="preserve">JO L 325, 20.12.2022, p. 11, ELI: </w:t>
      </w:r>
      <w:hyperlink r:id="rId3" w:history="1">
        <w:r w:rsidRPr="00D769A5">
          <w:rPr>
            <w:rStyle w:val="Hyperlink"/>
          </w:rPr>
          <w:t>http://data.europa.eu/eli/reg/2022/2496/oj</w:t>
        </w:r>
      </w:hyperlink>
      <w:r w:rsidRPr="00D769A5">
        <w:t>.</w:t>
      </w:r>
    </w:p>
  </w:footnote>
  <w:footnote w:id="6">
    <w:p w14:paraId="173B6B79" w14:textId="284F222E" w:rsidR="00E11ABF" w:rsidRPr="00D769A5" w:rsidRDefault="00E11ABF" w:rsidP="00D769A5">
      <w:pPr>
        <w:ind w:left="567" w:hanging="567"/>
      </w:pPr>
      <w:r w:rsidRPr="00D769A5">
        <w:rPr>
          <w:rStyle w:val="FootnoteReference"/>
        </w:rPr>
        <w:footnoteRef/>
      </w:r>
      <w:r w:rsidR="00D769A5" w:rsidRPr="00D769A5">
        <w:t xml:space="preserve"> </w:t>
      </w:r>
      <w:r w:rsidR="00D769A5" w:rsidRPr="00D769A5">
        <w:tab/>
      </w:r>
      <w:r w:rsidRPr="00D769A5">
        <w:t xml:space="preserve">JO L, 2024/765, 29.2.2024, ELI: </w:t>
      </w:r>
      <w:hyperlink r:id="rId4" w:history="1">
        <w:r w:rsidRPr="00D769A5">
          <w:rPr>
            <w:rStyle w:val="Hyperlink"/>
          </w:rPr>
          <w:t>http://data.europa.eu/eli/reg/2024/765/oj</w:t>
        </w:r>
      </w:hyperlink>
      <w:r w:rsidRPr="00D769A5">
        <w:t>.</w:t>
      </w:r>
    </w:p>
  </w:footnote>
  <w:footnote w:id="7">
    <w:p w14:paraId="5D96CEE2" w14:textId="5BA98885" w:rsidR="00E11ABF" w:rsidRPr="00D769A5" w:rsidRDefault="00E11ABF" w:rsidP="00D769A5">
      <w:pPr>
        <w:ind w:left="567" w:hanging="567"/>
        <w:rPr>
          <w:color w:val="000000"/>
        </w:rPr>
      </w:pPr>
      <w:r w:rsidRPr="00D769A5">
        <w:rPr>
          <w:rStyle w:val="FootnoteReference"/>
        </w:rPr>
        <w:footnoteRef/>
      </w:r>
      <w:r w:rsidR="00D769A5" w:rsidRPr="00D769A5">
        <w:rPr>
          <w:color w:val="000000"/>
        </w:rPr>
        <w:t xml:space="preserve"> </w:t>
      </w:r>
      <w:r w:rsidR="00D769A5" w:rsidRPr="00D769A5">
        <w:rPr>
          <w:color w:val="000000"/>
        </w:rPr>
        <w:tab/>
      </w:r>
      <w:r w:rsidRPr="00D769A5">
        <w:rPr>
          <w:color w:val="000000"/>
        </w:rPr>
        <w:t>JO L 433 I, 22.12.2020, p. 28, ELI:</w:t>
      </w:r>
      <w:r w:rsidR="0018006F">
        <w:rPr>
          <w:color w:val="000000"/>
        </w:rPr>
        <w:t> </w:t>
      </w:r>
      <w:hyperlink r:id="rId5" w:history="1">
        <w:r w:rsidRPr="00D769A5">
          <w:rPr>
            <w:rStyle w:val="Hyperlink"/>
          </w:rPr>
          <w:t>http://data.europa.eu/eli/agree_interinstit/2020/1222/oj</w:t>
        </w:r>
      </w:hyperlink>
      <w:r w:rsidRPr="00D769A5">
        <w:rPr>
          <w:color w:val="000000"/>
        </w:rPr>
        <w:t>.</w:t>
      </w:r>
    </w:p>
  </w:footnote>
  <w:footnote w:id="8">
    <w:p w14:paraId="7D8B8A57" w14:textId="50A2D519" w:rsidR="00E11ABF" w:rsidRPr="00D769A5" w:rsidRDefault="00E11ABF" w:rsidP="00D769A5">
      <w:pPr>
        <w:ind w:left="567" w:hanging="567"/>
        <w:rPr>
          <w:color w:val="000000"/>
        </w:rPr>
      </w:pPr>
      <w:r w:rsidRPr="00D769A5">
        <w:rPr>
          <w:rStyle w:val="FootnoteReference"/>
        </w:rPr>
        <w:footnoteRef/>
      </w:r>
      <w:r w:rsidR="00D769A5" w:rsidRPr="00D769A5">
        <w:rPr>
          <w:color w:val="000000"/>
        </w:rPr>
        <w:t xml:space="preserve"> </w:t>
      </w:r>
      <w:r w:rsidR="00D769A5" w:rsidRPr="00D769A5">
        <w:rPr>
          <w:color w:val="000000"/>
        </w:rPr>
        <w:tab/>
      </w:r>
      <w:r w:rsidRPr="00D769A5">
        <w:rPr>
          <w:color w:val="000000"/>
        </w:rPr>
        <w:t>JO C 445, 29.10.2021, p. 240.</w:t>
      </w:r>
    </w:p>
  </w:footnote>
  <w:footnote w:id="9">
    <w:p w14:paraId="6D472E6E" w14:textId="5B8DC5A0" w:rsidR="00E11ABF" w:rsidRPr="00D769A5" w:rsidRDefault="00E11ABF" w:rsidP="00D769A5">
      <w:pPr>
        <w:ind w:left="567" w:hanging="567"/>
        <w:rPr>
          <w:color w:val="000000"/>
        </w:rPr>
      </w:pPr>
      <w:r w:rsidRPr="00D769A5">
        <w:rPr>
          <w:rStyle w:val="FootnoteReference"/>
        </w:rPr>
        <w:footnoteRef/>
      </w:r>
      <w:r w:rsidR="00D769A5" w:rsidRPr="00D769A5">
        <w:rPr>
          <w:color w:val="000000"/>
        </w:rPr>
        <w:t xml:space="preserve"> </w:t>
      </w:r>
      <w:r w:rsidR="00D769A5" w:rsidRPr="00D769A5">
        <w:rPr>
          <w:color w:val="000000"/>
        </w:rPr>
        <w:tab/>
      </w:r>
      <w:r w:rsidRPr="00D769A5">
        <w:rPr>
          <w:color w:val="000000"/>
        </w:rPr>
        <w:t>JO C 177, 17.5.2023, p. 115.</w:t>
      </w:r>
    </w:p>
  </w:footnote>
  <w:footnote w:id="10">
    <w:p w14:paraId="5ECD117E" w14:textId="7A36DD7B" w:rsidR="00E11ABF" w:rsidRPr="00D769A5" w:rsidRDefault="00E11ABF" w:rsidP="00D769A5">
      <w:pPr>
        <w:ind w:left="567" w:hanging="567"/>
        <w:rPr>
          <w:color w:val="000000"/>
        </w:rPr>
      </w:pPr>
      <w:r w:rsidRPr="00D769A5">
        <w:rPr>
          <w:rStyle w:val="FootnoteReference"/>
        </w:rPr>
        <w:footnoteRef/>
      </w:r>
      <w:r w:rsidR="00D769A5" w:rsidRPr="00D769A5">
        <w:rPr>
          <w:color w:val="000000"/>
        </w:rPr>
        <w:t xml:space="preserve"> </w:t>
      </w:r>
      <w:r w:rsidR="00D769A5" w:rsidRPr="00D769A5">
        <w:rPr>
          <w:color w:val="000000"/>
        </w:rPr>
        <w:tab/>
      </w:r>
      <w:r w:rsidRPr="00D769A5">
        <w:rPr>
          <w:color w:val="000000"/>
        </w:rPr>
        <w:t xml:space="preserve">JO C, C/2024/1195, </w:t>
      </w:r>
      <w:r w:rsidRPr="00D769A5">
        <w:rPr>
          <w:color w:val="000000"/>
        </w:rPr>
        <w:t xml:space="preserve">23.2.2024, ELI: </w:t>
      </w:r>
      <w:hyperlink r:id="rId6" w:history="1">
        <w:r w:rsidRPr="00D769A5">
          <w:rPr>
            <w:rStyle w:val="Hyperlink"/>
          </w:rPr>
          <w:t>http://data.europa.eu/eli/C/2024/1195/oj</w:t>
        </w:r>
      </w:hyperlink>
      <w:r w:rsidRPr="00D769A5">
        <w:rPr>
          <w:color w:val="000000"/>
        </w:rPr>
        <w:t>.</w:t>
      </w:r>
    </w:p>
  </w:footnote>
  <w:footnote w:id="11">
    <w:p w14:paraId="7C24FF63" w14:textId="1D77D84D" w:rsidR="00E11ABF" w:rsidRPr="00D769A5" w:rsidRDefault="00E11ABF" w:rsidP="00D769A5">
      <w:pPr>
        <w:ind w:left="567" w:hanging="567"/>
        <w:rPr>
          <w:color w:val="000000"/>
        </w:rPr>
      </w:pPr>
      <w:r w:rsidRPr="00D769A5">
        <w:rPr>
          <w:rStyle w:val="FootnoteReference"/>
        </w:rPr>
        <w:footnoteRef/>
      </w:r>
      <w:r w:rsidR="00D769A5" w:rsidRPr="00D769A5">
        <w:rPr>
          <w:color w:val="000000"/>
        </w:rPr>
        <w:t xml:space="preserve"> </w:t>
      </w:r>
      <w:r w:rsidR="00D769A5" w:rsidRPr="00D769A5">
        <w:rPr>
          <w:color w:val="000000"/>
        </w:rPr>
        <w:tab/>
      </w:r>
      <w:r w:rsidRPr="00D769A5">
        <w:rPr>
          <w:color w:val="000000"/>
        </w:rPr>
        <w:t xml:space="preserve">JO C, C/2024/6751, 26.11.2024, ELI: </w:t>
      </w:r>
      <w:hyperlink r:id="rId7" w:history="1">
        <w:r w:rsidRPr="00D769A5">
          <w:rPr>
            <w:rStyle w:val="Hyperlink"/>
          </w:rPr>
          <w:t>http://data.europa.eu/eli/C/2024/6751/oj</w:t>
        </w:r>
      </w:hyperlink>
      <w:r w:rsidRPr="00D769A5">
        <w:rPr>
          <w:color w:val="000000"/>
        </w:rPr>
        <w:t>.</w:t>
      </w:r>
    </w:p>
  </w:footnote>
  <w:footnote w:id="12">
    <w:p w14:paraId="32667965" w14:textId="5176AF5B" w:rsidR="00E11ABF" w:rsidRPr="00D769A5" w:rsidRDefault="00E11ABF" w:rsidP="00D769A5">
      <w:pPr>
        <w:ind w:left="567" w:hanging="567"/>
        <w:rPr>
          <w:color w:val="000000"/>
        </w:rPr>
      </w:pPr>
      <w:r w:rsidRPr="00D769A5">
        <w:rPr>
          <w:rStyle w:val="FootnoteReference"/>
        </w:rPr>
        <w:footnoteRef/>
      </w:r>
      <w:r w:rsidR="00D769A5" w:rsidRPr="00D769A5">
        <w:rPr>
          <w:color w:val="000000"/>
        </w:rPr>
        <w:t xml:space="preserve"> </w:t>
      </w:r>
      <w:r w:rsidR="00D769A5" w:rsidRPr="00D769A5">
        <w:rPr>
          <w:color w:val="000000"/>
        </w:rPr>
        <w:tab/>
      </w:r>
      <w:r w:rsidRPr="00D769A5">
        <w:rPr>
          <w:color w:val="000000"/>
        </w:rPr>
        <w:t xml:space="preserve">JO L, 2026/72, 26.2.2026, ELI: </w:t>
      </w:r>
      <w:hyperlink r:id="rId8" w:history="1">
        <w:r w:rsidRPr="00D769A5">
          <w:rPr>
            <w:rStyle w:val="Hyperlink"/>
          </w:rPr>
          <w:t>http://data.europa.eu/eli/budget/2026/72/oj</w:t>
        </w:r>
      </w:hyperlink>
      <w:r w:rsidRPr="00D769A5">
        <w:rPr>
          <w:color w:val="000000"/>
        </w:rPr>
        <w:t xml:space="preserve">. </w:t>
      </w:r>
    </w:p>
  </w:footnote>
  <w:footnote w:id="13">
    <w:p w14:paraId="204BD80F" w14:textId="21142C7A" w:rsidR="00E11ABF" w:rsidRPr="00D769A5" w:rsidRDefault="00E11ABF" w:rsidP="00D769A5">
      <w:pPr>
        <w:pStyle w:val="FootnoteText"/>
        <w:ind w:left="567" w:hanging="567"/>
        <w:rPr>
          <w:sz w:val="24"/>
          <w:lang w:val="ro-RO"/>
        </w:rPr>
      </w:pPr>
      <w:r w:rsidRPr="00D769A5">
        <w:rPr>
          <w:rStyle w:val="FootnoteReference"/>
          <w:sz w:val="24"/>
          <w:lang w:val="ro-RO"/>
        </w:rPr>
        <w:footnoteRef/>
      </w:r>
      <w:r w:rsidR="00D769A5" w:rsidRPr="00D769A5">
        <w:rPr>
          <w:sz w:val="24"/>
          <w:lang w:val="ro-RO"/>
        </w:rPr>
        <w:t xml:space="preserve"> </w:t>
      </w:r>
      <w:r w:rsidR="00D769A5" w:rsidRPr="00D769A5">
        <w:rPr>
          <w:sz w:val="24"/>
          <w:lang w:val="ro-RO"/>
        </w:rPr>
        <w:tab/>
      </w:r>
      <w:r w:rsidRPr="00D769A5">
        <w:rPr>
          <w:sz w:val="24"/>
          <w:lang w:val="ro-RO"/>
        </w:rPr>
        <w:t xml:space="preserve">Hotărârea </w:t>
      </w:r>
      <w:r w:rsidR="00606AD1">
        <w:rPr>
          <w:sz w:val="24"/>
          <w:lang w:val="ro-RO"/>
        </w:rPr>
        <w:t>Tribunalului</w:t>
      </w:r>
      <w:r w:rsidRPr="00D769A5">
        <w:rPr>
          <w:sz w:val="24"/>
          <w:lang w:val="ro-RO"/>
        </w:rPr>
        <w:t xml:space="preserve"> din 17 decembrie 2025, FE/Parlamentul, T</w:t>
      </w:r>
      <w:r w:rsidRPr="00D769A5">
        <w:rPr>
          <w:sz w:val="24"/>
          <w:lang w:val="ro-RO"/>
        </w:rPr>
        <w:noBreakHyphen/>
        <w:t>483/24, ECLI:EU:T:2025:1121.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04744507">
    <w:abstractNumId w:val="9"/>
  </w:num>
  <w:num w:numId="2" w16cid:durableId="301810223">
    <w:abstractNumId w:val="9"/>
  </w:num>
  <w:num w:numId="3" w16cid:durableId="669719076">
    <w:abstractNumId w:val="7"/>
  </w:num>
  <w:num w:numId="4" w16cid:durableId="759564338">
    <w:abstractNumId w:val="7"/>
  </w:num>
  <w:num w:numId="5" w16cid:durableId="644355942">
    <w:abstractNumId w:val="6"/>
  </w:num>
  <w:num w:numId="6" w16cid:durableId="612858995">
    <w:abstractNumId w:val="6"/>
  </w:num>
  <w:num w:numId="7" w16cid:durableId="1574705442">
    <w:abstractNumId w:val="5"/>
  </w:num>
  <w:num w:numId="8" w16cid:durableId="881748616">
    <w:abstractNumId w:val="5"/>
  </w:num>
  <w:num w:numId="9" w16cid:durableId="1460106103">
    <w:abstractNumId w:val="4"/>
  </w:num>
  <w:num w:numId="10" w16cid:durableId="326832319">
    <w:abstractNumId w:val="4"/>
  </w:num>
  <w:num w:numId="11" w16cid:durableId="1978139839">
    <w:abstractNumId w:val="8"/>
  </w:num>
  <w:num w:numId="12" w16cid:durableId="1448043104">
    <w:abstractNumId w:val="8"/>
  </w:num>
  <w:num w:numId="13" w16cid:durableId="561333772">
    <w:abstractNumId w:val="3"/>
  </w:num>
  <w:num w:numId="14" w16cid:durableId="1484155935">
    <w:abstractNumId w:val="3"/>
  </w:num>
  <w:num w:numId="15" w16cid:durableId="803935853">
    <w:abstractNumId w:val="2"/>
  </w:num>
  <w:num w:numId="16" w16cid:durableId="150483959">
    <w:abstractNumId w:val="2"/>
  </w:num>
  <w:num w:numId="17" w16cid:durableId="1783911943">
    <w:abstractNumId w:val="1"/>
  </w:num>
  <w:num w:numId="18" w16cid:durableId="550072992">
    <w:abstractNumId w:val="1"/>
  </w:num>
  <w:num w:numId="19" w16cid:durableId="1643080797">
    <w:abstractNumId w:val="0"/>
  </w:num>
  <w:num w:numId="20" w16cid:durableId="1865167864">
    <w:abstractNumId w:val="0"/>
  </w:num>
  <w:num w:numId="21" w16cid:durableId="494685102">
    <w:abstractNumId w:val="9"/>
  </w:num>
  <w:num w:numId="22" w16cid:durableId="526528566">
    <w:abstractNumId w:val="7"/>
  </w:num>
  <w:num w:numId="23" w16cid:durableId="1201671207">
    <w:abstractNumId w:val="6"/>
  </w:num>
  <w:num w:numId="24" w16cid:durableId="1710640600">
    <w:abstractNumId w:val="5"/>
  </w:num>
  <w:num w:numId="25" w16cid:durableId="2053919574">
    <w:abstractNumId w:val="4"/>
  </w:num>
  <w:num w:numId="26" w16cid:durableId="1621260864">
    <w:abstractNumId w:val="8"/>
  </w:num>
  <w:num w:numId="27" w16cid:durableId="98643127">
    <w:abstractNumId w:val="3"/>
  </w:num>
  <w:num w:numId="28" w16cid:durableId="45497135">
    <w:abstractNumId w:val="2"/>
  </w:num>
  <w:num w:numId="29" w16cid:durableId="1777945924">
    <w:abstractNumId w:val="1"/>
  </w:num>
  <w:num w:numId="30" w16cid:durableId="1610547254">
    <w:abstractNumId w:val="0"/>
  </w:num>
  <w:num w:numId="31" w16cid:durableId="1670786194">
    <w:abstractNumId w:val="9"/>
  </w:num>
  <w:num w:numId="32" w16cid:durableId="291524523">
    <w:abstractNumId w:val="7"/>
  </w:num>
  <w:num w:numId="33" w16cid:durableId="435951703">
    <w:abstractNumId w:val="6"/>
  </w:num>
  <w:num w:numId="34" w16cid:durableId="1590112557">
    <w:abstractNumId w:val="5"/>
  </w:num>
  <w:num w:numId="35" w16cid:durableId="1493568520">
    <w:abstractNumId w:val="4"/>
  </w:num>
  <w:num w:numId="36" w16cid:durableId="1854487048">
    <w:abstractNumId w:val="8"/>
  </w:num>
  <w:num w:numId="37" w16cid:durableId="797534104">
    <w:abstractNumId w:val="3"/>
  </w:num>
  <w:num w:numId="38" w16cid:durableId="1096904302">
    <w:abstractNumId w:val="2"/>
  </w:num>
  <w:num w:numId="39" w16cid:durableId="1503738652">
    <w:abstractNumId w:val="1"/>
  </w:num>
  <w:num w:numId="40" w16cid:durableId="980840322">
    <w:abstractNumId w:val="0"/>
  </w:num>
  <w:num w:numId="41" w16cid:durableId="627779054">
    <w:abstractNumId w:val="10"/>
  </w:num>
  <w:num w:numId="42" w16cid:durableId="1233542978">
    <w:abstractNumId w:val="10"/>
  </w:num>
  <w:num w:numId="43" w16cid:durableId="901602625">
    <w:abstractNumId w:val="10"/>
  </w:num>
  <w:num w:numId="44" w16cid:durableId="3944275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14337"/>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24/2026"/>
    <w:docVar w:name="dvlangue" w:val="RO"/>
    <w:docVar w:name="dvnumam" w:val="0"/>
    <w:docVar w:name="dvpe" w:val="785.303"/>
    <w:docVar w:name="dvrapporteur" w:val="Raportor: "/>
    <w:docVar w:name="dvtitre" w:val="Rezoluția Parlamentului European din ... 2026 referitor la estimarea bugetului de venituri și cheltuieli al Parlamentului European pentru exercițiul financiar 2027(2025/2247(BUI))"/>
  </w:docVars>
  <w:rsids>
    <w:rsidRoot w:val="00987C1C"/>
    <w:rsid w:val="00002272"/>
    <w:rsid w:val="00051974"/>
    <w:rsid w:val="00064002"/>
    <w:rsid w:val="000677B9"/>
    <w:rsid w:val="000831BA"/>
    <w:rsid w:val="000A42A5"/>
    <w:rsid w:val="000A42CC"/>
    <w:rsid w:val="000E7DD9"/>
    <w:rsid w:val="0010095E"/>
    <w:rsid w:val="00125B37"/>
    <w:rsid w:val="0018006F"/>
    <w:rsid w:val="00187494"/>
    <w:rsid w:val="001E0B68"/>
    <w:rsid w:val="001F32AE"/>
    <w:rsid w:val="001F5B91"/>
    <w:rsid w:val="002767FF"/>
    <w:rsid w:val="002B18FE"/>
    <w:rsid w:val="002B5493"/>
    <w:rsid w:val="00343214"/>
    <w:rsid w:val="00361C00"/>
    <w:rsid w:val="003774C2"/>
    <w:rsid w:val="00385884"/>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06AD1"/>
    <w:rsid w:val="006631B6"/>
    <w:rsid w:val="00680577"/>
    <w:rsid w:val="006F14BE"/>
    <w:rsid w:val="006F74FA"/>
    <w:rsid w:val="006F7A31"/>
    <w:rsid w:val="00731ADD"/>
    <w:rsid w:val="00734777"/>
    <w:rsid w:val="00747932"/>
    <w:rsid w:val="00751A4A"/>
    <w:rsid w:val="00756632"/>
    <w:rsid w:val="00762C74"/>
    <w:rsid w:val="00764B48"/>
    <w:rsid w:val="007704FB"/>
    <w:rsid w:val="00786EC0"/>
    <w:rsid w:val="007D1690"/>
    <w:rsid w:val="007E22AD"/>
    <w:rsid w:val="00802481"/>
    <w:rsid w:val="00817416"/>
    <w:rsid w:val="00842779"/>
    <w:rsid w:val="00865F67"/>
    <w:rsid w:val="008767B6"/>
    <w:rsid w:val="00881A7B"/>
    <w:rsid w:val="008840E5"/>
    <w:rsid w:val="00887B3E"/>
    <w:rsid w:val="008C2AC6"/>
    <w:rsid w:val="00930C23"/>
    <w:rsid w:val="0093193B"/>
    <w:rsid w:val="009423AB"/>
    <w:rsid w:val="009509D8"/>
    <w:rsid w:val="00950B64"/>
    <w:rsid w:val="00981893"/>
    <w:rsid w:val="00987C1C"/>
    <w:rsid w:val="00A1687D"/>
    <w:rsid w:val="00A43E52"/>
    <w:rsid w:val="00A4678D"/>
    <w:rsid w:val="00A778C7"/>
    <w:rsid w:val="00AB441E"/>
    <w:rsid w:val="00AB6293"/>
    <w:rsid w:val="00AE0928"/>
    <w:rsid w:val="00AE4E98"/>
    <w:rsid w:val="00AF3B82"/>
    <w:rsid w:val="00B12E95"/>
    <w:rsid w:val="00B22876"/>
    <w:rsid w:val="00B558F0"/>
    <w:rsid w:val="00B85176"/>
    <w:rsid w:val="00BB7026"/>
    <w:rsid w:val="00BD48FE"/>
    <w:rsid w:val="00BD7BD8"/>
    <w:rsid w:val="00BD7D65"/>
    <w:rsid w:val="00BE6ADC"/>
    <w:rsid w:val="00BF27ED"/>
    <w:rsid w:val="00C05BFE"/>
    <w:rsid w:val="00C23CD4"/>
    <w:rsid w:val="00C61C0C"/>
    <w:rsid w:val="00C8421E"/>
    <w:rsid w:val="00C941CB"/>
    <w:rsid w:val="00CC2357"/>
    <w:rsid w:val="00CF071A"/>
    <w:rsid w:val="00D058B8"/>
    <w:rsid w:val="00D56C11"/>
    <w:rsid w:val="00D57F7D"/>
    <w:rsid w:val="00D7490C"/>
    <w:rsid w:val="00D769A5"/>
    <w:rsid w:val="00D834A0"/>
    <w:rsid w:val="00D872DF"/>
    <w:rsid w:val="00D91E21"/>
    <w:rsid w:val="00DA7FCD"/>
    <w:rsid w:val="00DB2E22"/>
    <w:rsid w:val="00E11ABF"/>
    <w:rsid w:val="00E365E1"/>
    <w:rsid w:val="00E820A4"/>
    <w:rsid w:val="00EB006A"/>
    <w:rsid w:val="00EB4772"/>
    <w:rsid w:val="00ED169E"/>
    <w:rsid w:val="00ED4235"/>
    <w:rsid w:val="00EE0502"/>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66C98107"/>
  <w15:chartTrackingRefBased/>
  <w15:docId w15:val="{18E5F4A2-920E-48C9-9260-B333A7B795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9" w:qFormat="1"/>
    <w:lsdException w:name="heading 3" w:uiPriority="99" w:qFormat="1"/>
    <w:lsdException w:name="heading 4" w:uiPriority="99" w:qFormat="1"/>
    <w:lsdException w:name="heading 5" w:uiPriority="99" w:qFormat="1"/>
    <w:lsdException w:name="heading 6" w:uiPriority="99" w:qFormat="1"/>
    <w:lsdException w:name="heading 7" w:uiPriority="99" w:qFormat="1"/>
    <w:lsdException w:name="heading 8" w:uiPriority="99" w:qFormat="1"/>
    <w:lsdException w:name="heading 9" w:uiPriority="99" w:qFormat="1"/>
    <w:lsdException w:name="toc 1" w:uiPriority="39"/>
    <w:lsdException w:name="annotation text" w:uiPriority="99"/>
    <w:lsdException w:name="header" w:uiPriority="99"/>
    <w:lsdException w:name="footer" w:uiPriority="99"/>
    <w:lsdException w:name="caption" w:semiHidden="1" w:unhideWhenUsed="1" w:qFormat="1"/>
    <w:lsdException w:name="annotation reference" w:uiPriority="99"/>
    <w:lsdException w:name="Title" w:uiPriority="10" w:qFormat="1"/>
    <w:lsdException w:name="Subtitle" w:uiPriority="11" w:qFormat="1"/>
    <w:lsdException w:name="Hyperlink" w:uiPriority="99"/>
    <w:lsdException w:name="FollowedHyperlink" w:uiPriority="99"/>
    <w:lsdException w:name="Strong" w:uiPriority="22" w:qFormat="1"/>
    <w:lsdException w:name="Emphasis" w:uiPriority="20"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9"/>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uiPriority w:val="99"/>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uiPriority w:val="99"/>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uiPriority w:val="99"/>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uiPriority w:val="99"/>
    <w:qFormat/>
    <w:pPr>
      <w:spacing w:before="240" w:after="60"/>
      <w:outlineLvl w:val="5"/>
    </w:pPr>
    <w:rPr>
      <w:i/>
      <w:sz w:val="22"/>
    </w:rPr>
  </w:style>
  <w:style w:type="paragraph" w:styleId="Heading7">
    <w:name w:val="heading 7"/>
    <w:basedOn w:val="Normal"/>
    <w:next w:val="Normal"/>
    <w:link w:val="Heading7Char"/>
    <w:uiPriority w:val="99"/>
    <w:qFormat/>
    <w:pPr>
      <w:spacing w:before="240" w:after="60"/>
      <w:outlineLvl w:val="6"/>
    </w:pPr>
    <w:rPr>
      <w:rFonts w:ascii="Arial" w:hAnsi="Arial"/>
    </w:rPr>
  </w:style>
  <w:style w:type="paragraph" w:styleId="Heading8">
    <w:name w:val="heading 8"/>
    <w:basedOn w:val="Normal"/>
    <w:next w:val="Normal"/>
    <w:link w:val="Heading8Char"/>
    <w:uiPriority w:val="99"/>
    <w:qFormat/>
    <w:pPr>
      <w:spacing w:before="240" w:after="60"/>
      <w:outlineLvl w:val="7"/>
    </w:pPr>
    <w:rPr>
      <w:rFonts w:ascii="Arial" w:hAnsi="Arial"/>
      <w:i/>
    </w:rPr>
  </w:style>
  <w:style w:type="paragraph" w:styleId="Heading9">
    <w:name w:val="heading 9"/>
    <w:basedOn w:val="Normal"/>
    <w:next w:val="Normal"/>
    <w:link w:val="Heading9Char"/>
    <w:uiPriority w:val="99"/>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Exposant 3 Point,FR,FR1,FR2,FR3,Footnote,Footnote Reference Number,Footnote number,Footnote reference number,Footnote symbol,Footnotemark,Footnotemark1,Footnotemark2,Footnotemark3,Footnotemark4,Times 10 Point,Voetnootverwijzing,fr,o"/>
    <w:link w:val="FootnoteReference1"/>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E11ABF"/>
    <w:rPr>
      <w:b/>
      <w:kern w:val="28"/>
      <w:sz w:val="28"/>
      <w:lang w:val="fr-FR" w:eastAsia="fr-FR"/>
    </w:rPr>
  </w:style>
  <w:style w:type="character" w:customStyle="1" w:styleId="Heading2Char">
    <w:name w:val="Heading 2 Char"/>
    <w:basedOn w:val="DefaultParagraphFont"/>
    <w:link w:val="Heading2"/>
    <w:uiPriority w:val="99"/>
    <w:rsid w:val="00E11ABF"/>
    <w:rPr>
      <w:sz w:val="24"/>
      <w:lang w:val="fr-FR" w:eastAsia="fr-FR"/>
    </w:rPr>
  </w:style>
  <w:style w:type="character" w:customStyle="1" w:styleId="Heading3Char">
    <w:name w:val="Heading 3 Char"/>
    <w:basedOn w:val="DefaultParagraphFont"/>
    <w:link w:val="Heading3"/>
    <w:uiPriority w:val="99"/>
    <w:rsid w:val="00E11ABF"/>
    <w:rPr>
      <w:rFonts w:ascii="Arial" w:hAnsi="Arial"/>
      <w:sz w:val="24"/>
      <w:lang w:val="fr-FR" w:eastAsia="fr-FR"/>
    </w:rPr>
  </w:style>
  <w:style w:type="character" w:customStyle="1" w:styleId="Heading4Char">
    <w:name w:val="Heading 4 Char"/>
    <w:basedOn w:val="DefaultParagraphFont"/>
    <w:link w:val="Heading4"/>
    <w:uiPriority w:val="99"/>
    <w:rsid w:val="00E11ABF"/>
    <w:rPr>
      <w:sz w:val="24"/>
      <w:lang w:val="en-US" w:eastAsia="fr-FR"/>
    </w:rPr>
  </w:style>
  <w:style w:type="character" w:customStyle="1" w:styleId="Heading5Char">
    <w:name w:val="Heading 5 Char"/>
    <w:basedOn w:val="DefaultParagraphFont"/>
    <w:link w:val="Heading5"/>
    <w:uiPriority w:val="99"/>
    <w:rsid w:val="00E11ABF"/>
    <w:rPr>
      <w:sz w:val="24"/>
      <w:lang w:val="en-US" w:eastAsia="fr-FR"/>
    </w:rPr>
  </w:style>
  <w:style w:type="character" w:customStyle="1" w:styleId="Heading6Char">
    <w:name w:val="Heading 6 Char"/>
    <w:basedOn w:val="DefaultParagraphFont"/>
    <w:link w:val="Heading6"/>
    <w:uiPriority w:val="99"/>
    <w:rsid w:val="00E11ABF"/>
    <w:rPr>
      <w:i/>
      <w:sz w:val="22"/>
      <w:lang w:val="ro-RO"/>
    </w:rPr>
  </w:style>
  <w:style w:type="character" w:customStyle="1" w:styleId="Heading7Char">
    <w:name w:val="Heading 7 Char"/>
    <w:basedOn w:val="DefaultParagraphFont"/>
    <w:link w:val="Heading7"/>
    <w:uiPriority w:val="99"/>
    <w:rsid w:val="00E11ABF"/>
    <w:rPr>
      <w:rFonts w:ascii="Arial" w:hAnsi="Arial"/>
      <w:sz w:val="24"/>
      <w:lang w:val="ro-RO"/>
    </w:rPr>
  </w:style>
  <w:style w:type="character" w:customStyle="1" w:styleId="Heading8Char">
    <w:name w:val="Heading 8 Char"/>
    <w:basedOn w:val="DefaultParagraphFont"/>
    <w:link w:val="Heading8"/>
    <w:uiPriority w:val="99"/>
    <w:rsid w:val="00E11ABF"/>
    <w:rPr>
      <w:rFonts w:ascii="Arial" w:hAnsi="Arial"/>
      <w:i/>
      <w:sz w:val="24"/>
      <w:lang w:val="ro-RO"/>
    </w:rPr>
  </w:style>
  <w:style w:type="character" w:customStyle="1" w:styleId="Heading9Char">
    <w:name w:val="Heading 9 Char"/>
    <w:basedOn w:val="DefaultParagraphFont"/>
    <w:link w:val="Heading9"/>
    <w:uiPriority w:val="99"/>
    <w:rsid w:val="00E11ABF"/>
    <w:rPr>
      <w:rFonts w:ascii="Arial" w:hAnsi="Arial"/>
      <w:b/>
      <w:i/>
      <w:sz w:val="18"/>
      <w:lang w:val="ro-RO"/>
    </w:rPr>
  </w:style>
  <w:style w:type="paragraph" w:styleId="TOCHeading">
    <w:name w:val="TOC Heading"/>
    <w:basedOn w:val="Normal"/>
    <w:next w:val="Normal"/>
    <w:uiPriority w:val="39"/>
    <w:unhideWhenUsed/>
    <w:qFormat/>
    <w:rsid w:val="00E11ABF"/>
    <w:pPr>
      <w:widowControl/>
      <w:spacing w:after="240"/>
    </w:pPr>
    <w:rPr>
      <w:lang w:val="en-GB"/>
    </w:rPr>
  </w:style>
  <w:style w:type="paragraph" w:customStyle="1" w:styleId="EPFooter2">
    <w:name w:val="EPFooter2"/>
    <w:basedOn w:val="Normal"/>
    <w:next w:val="Normal"/>
    <w:rsid w:val="00E11ABF"/>
    <w:pPr>
      <w:widowControl/>
      <w:tabs>
        <w:tab w:val="center" w:pos="4535"/>
        <w:tab w:val="right" w:pos="9921"/>
      </w:tabs>
      <w:ind w:left="-850" w:right="-850"/>
    </w:pPr>
    <w:rPr>
      <w:rFonts w:ascii="Arial" w:hAnsi="Arial" w:cs="Arial"/>
      <w:b/>
      <w:sz w:val="48"/>
    </w:rPr>
  </w:style>
  <w:style w:type="paragraph" w:customStyle="1" w:styleId="EPFooter">
    <w:name w:val="EPFooter"/>
    <w:basedOn w:val="Normal"/>
    <w:rsid w:val="00E11ABF"/>
    <w:pPr>
      <w:widowControl/>
      <w:tabs>
        <w:tab w:val="center" w:pos="4535"/>
        <w:tab w:val="right" w:pos="9071"/>
      </w:tabs>
      <w:spacing w:before="240" w:after="240"/>
    </w:pPr>
    <w:rPr>
      <w:color w:val="010000"/>
      <w:sz w:val="22"/>
    </w:rPr>
  </w:style>
  <w:style w:type="paragraph" w:customStyle="1" w:styleId="EPFooterRC">
    <w:name w:val="EPFooterRC"/>
    <w:basedOn w:val="Normal"/>
    <w:rsid w:val="00E11ABF"/>
    <w:pPr>
      <w:tabs>
        <w:tab w:val="center" w:pos="4535"/>
        <w:tab w:val="left" w:pos="6662"/>
      </w:tabs>
    </w:pPr>
    <w:rPr>
      <w:sz w:val="22"/>
    </w:rPr>
  </w:style>
  <w:style w:type="paragraph" w:customStyle="1" w:styleId="Normal12a">
    <w:name w:val="Normal12a"/>
    <w:basedOn w:val="Normal"/>
    <w:rsid w:val="00E11ABF"/>
    <w:pPr>
      <w:spacing w:after="240"/>
    </w:pPr>
  </w:style>
  <w:style w:type="paragraph" w:customStyle="1" w:styleId="TOCPage">
    <w:name w:val="TOC Page"/>
    <w:basedOn w:val="Normal"/>
    <w:next w:val="TOC1"/>
    <w:rsid w:val="00E11ABF"/>
    <w:pPr>
      <w:keepNext/>
      <w:spacing w:after="240"/>
      <w:jc w:val="right"/>
    </w:pPr>
    <w:rPr>
      <w:rFonts w:ascii="Arial" w:hAnsi="Arial"/>
      <w:b/>
    </w:rPr>
  </w:style>
  <w:style w:type="paragraph" w:customStyle="1" w:styleId="PageHeading">
    <w:name w:val="PageHeading"/>
    <w:basedOn w:val="Normal"/>
    <w:rsid w:val="00E11ABF"/>
    <w:pPr>
      <w:keepNext/>
      <w:spacing w:after="480"/>
      <w:jc w:val="center"/>
    </w:pPr>
    <w:rPr>
      <w:rFonts w:ascii="Arial" w:hAnsi="Arial" w:cs="Arial"/>
      <w:b/>
    </w:rPr>
  </w:style>
  <w:style w:type="paragraph" w:customStyle="1" w:styleId="NormalBold">
    <w:name w:val="NormalBold"/>
    <w:basedOn w:val="Normal"/>
    <w:rsid w:val="00E11ABF"/>
    <w:rPr>
      <w:b/>
    </w:rPr>
  </w:style>
  <w:style w:type="paragraph" w:customStyle="1" w:styleId="NormalHanging12a">
    <w:name w:val="NormalHanging12a"/>
    <w:basedOn w:val="Normal"/>
    <w:rsid w:val="00E11ABF"/>
    <w:pPr>
      <w:spacing w:after="240"/>
      <w:ind w:left="567" w:hanging="567"/>
    </w:pPr>
  </w:style>
  <w:style w:type="paragraph" w:customStyle="1" w:styleId="CoverNormal24a">
    <w:name w:val="CoverNormal24a"/>
    <w:basedOn w:val="Normal"/>
    <w:rsid w:val="00E11ABF"/>
    <w:pPr>
      <w:spacing w:after="480"/>
      <w:ind w:left="1417"/>
    </w:pPr>
  </w:style>
  <w:style w:type="paragraph" w:customStyle="1" w:styleId="CoverNormal">
    <w:name w:val="CoverNormal"/>
    <w:basedOn w:val="Normal"/>
    <w:rsid w:val="00E11ABF"/>
    <w:pPr>
      <w:ind w:left="1418"/>
    </w:pPr>
  </w:style>
  <w:style w:type="paragraph" w:customStyle="1" w:styleId="CoverReference">
    <w:name w:val="CoverReference"/>
    <w:basedOn w:val="Normal"/>
    <w:rsid w:val="00E11ABF"/>
    <w:pPr>
      <w:spacing w:before="1080"/>
      <w:jc w:val="right"/>
    </w:pPr>
    <w:rPr>
      <w:rFonts w:ascii="Arial" w:hAnsi="Arial" w:cs="Arial"/>
      <w:b/>
    </w:rPr>
  </w:style>
  <w:style w:type="paragraph" w:customStyle="1" w:styleId="CoverDocType24a">
    <w:name w:val="CoverDocType24a"/>
    <w:basedOn w:val="Normal"/>
    <w:rsid w:val="00E11ABF"/>
    <w:pPr>
      <w:spacing w:after="480"/>
      <w:ind w:left="1418"/>
    </w:pPr>
    <w:rPr>
      <w:rFonts w:ascii="Arial" w:hAnsi="Arial"/>
      <w:b/>
      <w:sz w:val="48"/>
    </w:rPr>
  </w:style>
  <w:style w:type="paragraph" w:customStyle="1" w:styleId="CoverDate">
    <w:name w:val="CoverDate"/>
    <w:basedOn w:val="Normal"/>
    <w:rsid w:val="00E11ABF"/>
    <w:pPr>
      <w:spacing w:before="240" w:after="1200"/>
    </w:pPr>
  </w:style>
  <w:style w:type="paragraph" w:customStyle="1" w:styleId="EPBody">
    <w:name w:val="EPBody"/>
    <w:basedOn w:val="Normal"/>
    <w:rsid w:val="00E11ABF"/>
    <w:pPr>
      <w:jc w:val="center"/>
    </w:pPr>
    <w:rPr>
      <w:rFonts w:ascii="Arial" w:hAnsi="Arial" w:cs="Arial"/>
      <w:i/>
      <w:sz w:val="22"/>
      <w:szCs w:val="22"/>
    </w:rPr>
  </w:style>
  <w:style w:type="paragraph" w:styleId="Header">
    <w:name w:val="header"/>
    <w:basedOn w:val="Normal"/>
    <w:link w:val="HeaderChar"/>
    <w:uiPriority w:val="99"/>
    <w:rsid w:val="00E11ABF"/>
    <w:pPr>
      <w:tabs>
        <w:tab w:val="center" w:pos="4513"/>
        <w:tab w:val="right" w:pos="9026"/>
      </w:tabs>
    </w:pPr>
  </w:style>
  <w:style w:type="character" w:customStyle="1" w:styleId="HeaderChar">
    <w:name w:val="Header Char"/>
    <w:basedOn w:val="DefaultParagraphFont"/>
    <w:link w:val="Header"/>
    <w:uiPriority w:val="99"/>
    <w:rsid w:val="00E11ABF"/>
    <w:rPr>
      <w:sz w:val="24"/>
      <w:lang w:val="ro-RO"/>
    </w:rPr>
  </w:style>
  <w:style w:type="paragraph" w:customStyle="1" w:styleId="EPComma">
    <w:name w:val="EPComma"/>
    <w:basedOn w:val="Normal"/>
    <w:rsid w:val="00E11ABF"/>
    <w:pPr>
      <w:spacing w:before="480" w:after="240"/>
    </w:pPr>
  </w:style>
  <w:style w:type="character" w:styleId="Hyperlink">
    <w:name w:val="Hyperlink"/>
    <w:basedOn w:val="DefaultParagraphFont"/>
    <w:uiPriority w:val="99"/>
    <w:rsid w:val="00E11ABF"/>
    <w:rPr>
      <w:color w:val="0563C1" w:themeColor="hyperlink"/>
      <w:u w:val="single"/>
    </w:rPr>
  </w:style>
  <w:style w:type="character" w:styleId="UnresolvedMention">
    <w:name w:val="Unresolved Mention"/>
    <w:basedOn w:val="DefaultParagraphFont"/>
    <w:uiPriority w:val="99"/>
    <w:semiHidden/>
    <w:unhideWhenUsed/>
    <w:rsid w:val="00E11ABF"/>
    <w:rPr>
      <w:color w:val="605E5C"/>
      <w:shd w:val="clear" w:color="auto" w:fill="E1DFDD"/>
    </w:rPr>
  </w:style>
  <w:style w:type="paragraph" w:customStyle="1" w:styleId="Action">
    <w:name w:val="Action"/>
    <w:basedOn w:val="Normal"/>
    <w:rsid w:val="00E11ABF"/>
    <w:pPr>
      <w:tabs>
        <w:tab w:val="left" w:pos="357"/>
      </w:tabs>
      <w:spacing w:after="240"/>
      <w:ind w:left="357" w:hanging="357"/>
    </w:pPr>
    <w:rPr>
      <w:lang w:eastAsia="en-US"/>
    </w:rPr>
  </w:style>
  <w:style w:type="paragraph" w:customStyle="1" w:styleId="action0">
    <w:name w:val="action"/>
    <w:basedOn w:val="Normal"/>
    <w:rsid w:val="00E11ABF"/>
    <w:pPr>
      <w:widowControl/>
      <w:spacing w:after="240"/>
      <w:ind w:left="357" w:hanging="357"/>
    </w:pPr>
    <w:rPr>
      <w:rFonts w:eastAsiaTheme="minorHAnsi"/>
      <w:szCs w:val="24"/>
    </w:rPr>
  </w:style>
  <w:style w:type="paragraph" w:customStyle="1" w:styleId="Institutionquiagit">
    <w:name w:val="Institution qui agit"/>
    <w:basedOn w:val="Normal"/>
    <w:next w:val="Normal"/>
    <w:rsid w:val="00E11ABF"/>
    <w:pPr>
      <w:keepNext/>
      <w:snapToGrid w:val="0"/>
      <w:spacing w:after="240"/>
    </w:pPr>
    <w:rPr>
      <w:i/>
      <w:lang w:eastAsia="en-US"/>
    </w:rPr>
  </w:style>
  <w:style w:type="paragraph" w:customStyle="1" w:styleId="FootnoteReference1">
    <w:name w:val="Footnote Reference1"/>
    <w:basedOn w:val="Normal"/>
    <w:link w:val="FootnoteReference"/>
    <w:rsid w:val="00E11ABF"/>
    <w:pPr>
      <w:widowControl/>
      <w:spacing w:after="160" w:line="240" w:lineRule="exact"/>
    </w:pPr>
    <w:rPr>
      <w:sz w:val="20"/>
      <w:vertAlign w:val="superscript"/>
      <w:lang w:val="en-GB"/>
    </w:rPr>
  </w:style>
  <w:style w:type="paragraph" w:styleId="Revision">
    <w:name w:val="Revision"/>
    <w:hidden/>
    <w:uiPriority w:val="99"/>
    <w:semiHidden/>
    <w:rsid w:val="00E11ABF"/>
    <w:rPr>
      <w:sz w:val="24"/>
      <w:lang w:val="ro-RO"/>
    </w:rPr>
  </w:style>
  <w:style w:type="paragraph" w:styleId="Footer">
    <w:name w:val="footer"/>
    <w:basedOn w:val="Normal"/>
    <w:link w:val="FooterChar"/>
    <w:uiPriority w:val="99"/>
    <w:rsid w:val="00E11ABF"/>
    <w:pPr>
      <w:tabs>
        <w:tab w:val="center" w:pos="4513"/>
        <w:tab w:val="right" w:pos="9026"/>
      </w:tabs>
    </w:pPr>
  </w:style>
  <w:style w:type="character" w:customStyle="1" w:styleId="FooterChar">
    <w:name w:val="Footer Char"/>
    <w:basedOn w:val="DefaultParagraphFont"/>
    <w:link w:val="Footer"/>
    <w:uiPriority w:val="99"/>
    <w:rsid w:val="00E11ABF"/>
    <w:rPr>
      <w:sz w:val="24"/>
      <w:lang w:val="ro-RO"/>
    </w:rPr>
  </w:style>
  <w:style w:type="character" w:styleId="CommentReference">
    <w:name w:val="annotation reference"/>
    <w:basedOn w:val="DefaultParagraphFont"/>
    <w:uiPriority w:val="99"/>
    <w:rsid w:val="00E11ABF"/>
    <w:rPr>
      <w:sz w:val="16"/>
      <w:szCs w:val="16"/>
    </w:rPr>
  </w:style>
  <w:style w:type="paragraph" w:styleId="CommentText">
    <w:name w:val="annotation text"/>
    <w:basedOn w:val="Normal"/>
    <w:link w:val="CommentTextChar"/>
    <w:uiPriority w:val="99"/>
    <w:rsid w:val="00E11ABF"/>
    <w:rPr>
      <w:sz w:val="20"/>
    </w:rPr>
  </w:style>
  <w:style w:type="character" w:customStyle="1" w:styleId="CommentTextChar">
    <w:name w:val="Comment Text Char"/>
    <w:basedOn w:val="DefaultParagraphFont"/>
    <w:link w:val="CommentText"/>
    <w:uiPriority w:val="99"/>
    <w:rsid w:val="00E11ABF"/>
    <w:rPr>
      <w:lang w:val="ro-RO"/>
    </w:rPr>
  </w:style>
  <w:style w:type="paragraph" w:styleId="CommentSubject">
    <w:name w:val="annotation subject"/>
    <w:basedOn w:val="CommentText"/>
    <w:next w:val="CommentText"/>
    <w:link w:val="CommentSubjectChar"/>
    <w:uiPriority w:val="99"/>
    <w:unhideWhenUsed/>
    <w:rsid w:val="00E11ABF"/>
    <w:rPr>
      <w:b/>
      <w:bCs/>
    </w:rPr>
  </w:style>
  <w:style w:type="character" w:customStyle="1" w:styleId="CommentSubjectChar">
    <w:name w:val="Comment Subject Char"/>
    <w:basedOn w:val="CommentTextChar"/>
    <w:link w:val="CommentSubject"/>
    <w:uiPriority w:val="99"/>
    <w:rsid w:val="00E11ABF"/>
    <w:rPr>
      <w:b/>
      <w:bCs/>
      <w:lang w:val="ro-RO"/>
    </w:rPr>
  </w:style>
  <w:style w:type="paragraph" w:styleId="ListParagraph">
    <w:name w:val="List Paragraph"/>
    <w:basedOn w:val="Normal"/>
    <w:uiPriority w:val="34"/>
    <w:qFormat/>
    <w:rsid w:val="00E11ABF"/>
    <w:pPr>
      <w:ind w:left="720"/>
      <w:contextualSpacing/>
    </w:pPr>
  </w:style>
  <w:style w:type="paragraph" w:customStyle="1" w:styleId="Normal24a">
    <w:name w:val="Normal24a"/>
    <w:basedOn w:val="Normal"/>
    <w:rsid w:val="00E11ABF"/>
    <w:pPr>
      <w:spacing w:after="480"/>
    </w:pPr>
  </w:style>
  <w:style w:type="paragraph" w:customStyle="1" w:styleId="NormalBoldCenter">
    <w:name w:val="NormalBoldCenter"/>
    <w:basedOn w:val="Normal"/>
    <w:rsid w:val="00E11ABF"/>
    <w:pPr>
      <w:jc w:val="center"/>
    </w:pPr>
    <w:rPr>
      <w:b/>
    </w:rPr>
  </w:style>
  <w:style w:type="paragraph" w:customStyle="1" w:styleId="Footprint12b">
    <w:name w:val="Footprint12b"/>
    <w:basedOn w:val="Normal"/>
    <w:rsid w:val="00E11ABF"/>
    <w:pPr>
      <w:spacing w:before="240"/>
    </w:pPr>
    <w:rPr>
      <w:szCs w:val="24"/>
    </w:rPr>
  </w:style>
  <w:style w:type="paragraph" w:customStyle="1" w:styleId="NormalSingle">
    <w:name w:val="NormalSingle"/>
    <w:basedOn w:val="Normal"/>
    <w:qFormat/>
    <w:rsid w:val="00E11ABF"/>
    <w:rPr>
      <w:szCs w:val="24"/>
    </w:rPr>
  </w:style>
  <w:style w:type="paragraph" w:styleId="Title">
    <w:name w:val="Title"/>
    <w:basedOn w:val="Normal"/>
    <w:next w:val="Normal"/>
    <w:link w:val="TitleChar"/>
    <w:uiPriority w:val="10"/>
    <w:qFormat/>
    <w:rsid w:val="00E11ABF"/>
    <w:pPr>
      <w:widowControl/>
      <w:spacing w:before="240" w:after="60"/>
      <w:jc w:val="center"/>
      <w:outlineLvl w:val="0"/>
    </w:pPr>
    <w:rPr>
      <w:rFonts w:ascii="Arial" w:eastAsiaTheme="majorEastAsia" w:hAnsi="Arial" w:cs="Arial"/>
      <w:b/>
      <w:bCs/>
      <w:kern w:val="28"/>
      <w:sz w:val="32"/>
      <w:szCs w:val="32"/>
      <w:lang w:eastAsia="en-US"/>
    </w:rPr>
  </w:style>
  <w:style w:type="character" w:customStyle="1" w:styleId="TitleChar">
    <w:name w:val="Title Char"/>
    <w:basedOn w:val="DefaultParagraphFont"/>
    <w:link w:val="Title"/>
    <w:uiPriority w:val="10"/>
    <w:rsid w:val="00E11ABF"/>
    <w:rPr>
      <w:rFonts w:ascii="Arial" w:eastAsiaTheme="majorEastAsia" w:hAnsi="Arial" w:cs="Arial"/>
      <w:b/>
      <w:bCs/>
      <w:kern w:val="28"/>
      <w:sz w:val="32"/>
      <w:szCs w:val="32"/>
      <w:lang w:val="ro-RO" w:eastAsia="en-US"/>
    </w:rPr>
  </w:style>
  <w:style w:type="paragraph" w:styleId="Subtitle">
    <w:name w:val="Subtitle"/>
    <w:basedOn w:val="Normal"/>
    <w:next w:val="Normal"/>
    <w:link w:val="SubtitleChar"/>
    <w:uiPriority w:val="11"/>
    <w:qFormat/>
    <w:rsid w:val="00E11ABF"/>
    <w:pPr>
      <w:widowControl/>
      <w:spacing w:after="60"/>
      <w:jc w:val="center"/>
      <w:outlineLvl w:val="1"/>
    </w:pPr>
    <w:rPr>
      <w:rFonts w:ascii="Arial" w:eastAsiaTheme="majorEastAsia" w:hAnsi="Arial" w:cs="Arial"/>
      <w:szCs w:val="24"/>
      <w:lang w:eastAsia="en-US"/>
    </w:rPr>
  </w:style>
  <w:style w:type="character" w:customStyle="1" w:styleId="SubtitleChar">
    <w:name w:val="Subtitle Char"/>
    <w:basedOn w:val="DefaultParagraphFont"/>
    <w:link w:val="Subtitle"/>
    <w:uiPriority w:val="11"/>
    <w:rsid w:val="00E11ABF"/>
    <w:rPr>
      <w:rFonts w:ascii="Arial" w:eastAsiaTheme="majorEastAsia" w:hAnsi="Arial" w:cs="Arial"/>
      <w:sz w:val="24"/>
      <w:szCs w:val="24"/>
      <w:lang w:val="ro-RO" w:eastAsia="en-US"/>
    </w:rPr>
  </w:style>
  <w:style w:type="character" w:styleId="Strong">
    <w:name w:val="Strong"/>
    <w:basedOn w:val="DefaultParagraphFont"/>
    <w:uiPriority w:val="22"/>
    <w:qFormat/>
    <w:rsid w:val="00E11ABF"/>
    <w:rPr>
      <w:b/>
      <w:bCs/>
    </w:rPr>
  </w:style>
  <w:style w:type="character" w:styleId="Emphasis">
    <w:name w:val="Emphasis"/>
    <w:basedOn w:val="DefaultParagraphFont"/>
    <w:uiPriority w:val="20"/>
    <w:qFormat/>
    <w:rsid w:val="00E11ABF"/>
    <w:rPr>
      <w:rFonts w:asciiTheme="minorHAnsi" w:hAnsiTheme="minorHAnsi"/>
      <w:b/>
      <w:i/>
      <w:iCs/>
    </w:rPr>
  </w:style>
  <w:style w:type="paragraph" w:styleId="NoSpacing">
    <w:name w:val="No Spacing"/>
    <w:basedOn w:val="Normal"/>
    <w:uiPriority w:val="1"/>
    <w:qFormat/>
    <w:rsid w:val="00E11ABF"/>
    <w:pPr>
      <w:widowControl/>
      <w:jc w:val="both"/>
    </w:pPr>
    <w:rPr>
      <w:rFonts w:eastAsiaTheme="minorHAnsi"/>
      <w:szCs w:val="32"/>
      <w:lang w:eastAsia="en-US"/>
    </w:rPr>
  </w:style>
  <w:style w:type="paragraph" w:styleId="Quote">
    <w:name w:val="Quote"/>
    <w:basedOn w:val="Normal"/>
    <w:next w:val="Normal"/>
    <w:link w:val="QuoteChar"/>
    <w:uiPriority w:val="29"/>
    <w:qFormat/>
    <w:rsid w:val="00E11ABF"/>
    <w:pPr>
      <w:widowControl/>
      <w:jc w:val="both"/>
    </w:pPr>
    <w:rPr>
      <w:rFonts w:eastAsiaTheme="minorHAnsi"/>
      <w:i/>
      <w:szCs w:val="24"/>
      <w:lang w:eastAsia="en-US"/>
    </w:rPr>
  </w:style>
  <w:style w:type="character" w:customStyle="1" w:styleId="QuoteChar">
    <w:name w:val="Quote Char"/>
    <w:basedOn w:val="DefaultParagraphFont"/>
    <w:link w:val="Quote"/>
    <w:uiPriority w:val="29"/>
    <w:rsid w:val="00E11ABF"/>
    <w:rPr>
      <w:rFonts w:eastAsiaTheme="minorHAnsi"/>
      <w:i/>
      <w:sz w:val="24"/>
      <w:szCs w:val="24"/>
      <w:lang w:val="ro-RO" w:eastAsia="en-US"/>
    </w:rPr>
  </w:style>
  <w:style w:type="paragraph" w:styleId="IntenseQuote">
    <w:name w:val="Intense Quote"/>
    <w:basedOn w:val="Normal"/>
    <w:next w:val="Normal"/>
    <w:link w:val="IntenseQuoteChar"/>
    <w:uiPriority w:val="30"/>
    <w:qFormat/>
    <w:rsid w:val="00E11ABF"/>
    <w:pPr>
      <w:widowControl/>
      <w:ind w:left="720" w:right="720"/>
      <w:jc w:val="both"/>
    </w:pPr>
    <w:rPr>
      <w:rFonts w:eastAsiaTheme="minorHAnsi"/>
      <w:b/>
      <w:i/>
      <w:szCs w:val="22"/>
      <w:lang w:eastAsia="en-US"/>
    </w:rPr>
  </w:style>
  <w:style w:type="character" w:customStyle="1" w:styleId="IntenseQuoteChar">
    <w:name w:val="Intense Quote Char"/>
    <w:basedOn w:val="DefaultParagraphFont"/>
    <w:link w:val="IntenseQuote"/>
    <w:uiPriority w:val="30"/>
    <w:rsid w:val="00E11ABF"/>
    <w:rPr>
      <w:rFonts w:eastAsiaTheme="minorHAnsi"/>
      <w:b/>
      <w:i/>
      <w:sz w:val="24"/>
      <w:szCs w:val="22"/>
      <w:lang w:val="ro-RO" w:eastAsia="en-US"/>
    </w:rPr>
  </w:style>
  <w:style w:type="character" w:styleId="SubtleEmphasis">
    <w:name w:val="Subtle Emphasis"/>
    <w:uiPriority w:val="19"/>
    <w:qFormat/>
    <w:rsid w:val="00E11ABF"/>
    <w:rPr>
      <w:i/>
      <w:color w:val="5A5A5A" w:themeColor="text1" w:themeTint="A5"/>
    </w:rPr>
  </w:style>
  <w:style w:type="character" w:styleId="IntenseEmphasis">
    <w:name w:val="Intense Emphasis"/>
    <w:basedOn w:val="DefaultParagraphFont"/>
    <w:uiPriority w:val="21"/>
    <w:qFormat/>
    <w:rsid w:val="00E11ABF"/>
    <w:rPr>
      <w:b/>
      <w:i/>
      <w:sz w:val="24"/>
      <w:szCs w:val="24"/>
      <w:u w:val="single"/>
    </w:rPr>
  </w:style>
  <w:style w:type="character" w:styleId="SubtleReference">
    <w:name w:val="Subtle Reference"/>
    <w:basedOn w:val="DefaultParagraphFont"/>
    <w:uiPriority w:val="31"/>
    <w:qFormat/>
    <w:rsid w:val="00E11ABF"/>
    <w:rPr>
      <w:sz w:val="24"/>
      <w:szCs w:val="24"/>
      <w:u w:val="single"/>
    </w:rPr>
  </w:style>
  <w:style w:type="character" w:styleId="IntenseReference">
    <w:name w:val="Intense Reference"/>
    <w:basedOn w:val="DefaultParagraphFont"/>
    <w:uiPriority w:val="32"/>
    <w:qFormat/>
    <w:rsid w:val="00E11ABF"/>
    <w:rPr>
      <w:b/>
      <w:sz w:val="24"/>
      <w:u w:val="single"/>
    </w:rPr>
  </w:style>
  <w:style w:type="character" w:styleId="BookTitle">
    <w:name w:val="Book Title"/>
    <w:basedOn w:val="DefaultParagraphFont"/>
    <w:uiPriority w:val="33"/>
    <w:qFormat/>
    <w:rsid w:val="00E11ABF"/>
    <w:rPr>
      <w:rFonts w:asciiTheme="majorHAnsi" w:eastAsiaTheme="majorEastAsia" w:hAnsiTheme="majorHAnsi"/>
      <w:b/>
      <w:i/>
      <w:sz w:val="24"/>
      <w:szCs w:val="24"/>
    </w:rPr>
  </w:style>
  <w:style w:type="paragraph" w:customStyle="1" w:styleId="TableTitle">
    <w:name w:val="Table Title"/>
    <w:basedOn w:val="Normal"/>
    <w:uiPriority w:val="99"/>
    <w:rsid w:val="00E11ABF"/>
    <w:pPr>
      <w:keepNext/>
      <w:widowControl/>
      <w:spacing w:before="120" w:after="120"/>
    </w:pPr>
    <w:rPr>
      <w:rFonts w:eastAsiaTheme="minorEastAsia"/>
      <w:sz w:val="20"/>
    </w:rPr>
  </w:style>
  <w:style w:type="paragraph" w:customStyle="1" w:styleId="Tablesubtitle">
    <w:name w:val="Table subtitle"/>
    <w:basedOn w:val="Normal"/>
    <w:next w:val="Normal"/>
    <w:uiPriority w:val="99"/>
    <w:rsid w:val="00E11ABF"/>
    <w:pPr>
      <w:keepNext/>
      <w:widowControl/>
    </w:pPr>
    <w:rPr>
      <w:rFonts w:eastAsiaTheme="minorEastAsia"/>
      <w:sz w:val="18"/>
      <w:szCs w:val="18"/>
    </w:rPr>
  </w:style>
  <w:style w:type="paragraph" w:customStyle="1" w:styleId="NormalRight">
    <w:name w:val="Normal Right"/>
    <w:basedOn w:val="Normal"/>
    <w:next w:val="Normal"/>
    <w:uiPriority w:val="99"/>
    <w:rsid w:val="00E11ABF"/>
    <w:pPr>
      <w:widowControl/>
      <w:spacing w:before="120" w:after="120"/>
      <w:jc w:val="right"/>
    </w:pPr>
    <w:rPr>
      <w:rFonts w:eastAsiaTheme="minorEastAsia"/>
      <w:szCs w:val="24"/>
    </w:rPr>
  </w:style>
  <w:style w:type="paragraph" w:customStyle="1" w:styleId="ReusedInfo">
    <w:name w:val="ReusedInfo"/>
    <w:next w:val="Normal"/>
    <w:uiPriority w:val="99"/>
    <w:rsid w:val="00E11ABF"/>
    <w:pPr>
      <w:shd w:val="clear" w:color="auto" w:fill="C0C0C0"/>
      <w:spacing w:before="60" w:after="60"/>
    </w:pPr>
    <w:rPr>
      <w:rFonts w:eastAsiaTheme="minorEastAsia"/>
      <w:lang w:val="ro-RO"/>
    </w:rPr>
  </w:style>
  <w:style w:type="paragraph" w:customStyle="1" w:styleId="Section">
    <w:name w:val="Section"/>
    <w:basedOn w:val="Normal"/>
    <w:next w:val="Normal"/>
    <w:uiPriority w:val="99"/>
    <w:rsid w:val="00E11ABF"/>
    <w:pPr>
      <w:keepNext/>
      <w:widowControl/>
      <w:spacing w:before="480" w:after="120"/>
    </w:pPr>
    <w:rPr>
      <w:rFonts w:eastAsiaTheme="minorEastAsia"/>
      <w:b/>
      <w:bCs/>
      <w:smallCaps/>
      <w:sz w:val="44"/>
      <w:szCs w:val="44"/>
    </w:rPr>
  </w:style>
  <w:style w:type="paragraph" w:customStyle="1" w:styleId="Part">
    <w:name w:val="Part"/>
    <w:basedOn w:val="Normal"/>
    <w:next w:val="Normal"/>
    <w:uiPriority w:val="99"/>
    <w:rsid w:val="00E11ABF"/>
    <w:pPr>
      <w:keepNext/>
      <w:widowControl/>
      <w:spacing w:before="480" w:after="120"/>
    </w:pPr>
    <w:rPr>
      <w:rFonts w:eastAsiaTheme="minorEastAsia"/>
      <w:b/>
      <w:bCs/>
      <w:smallCaps/>
      <w:sz w:val="40"/>
      <w:szCs w:val="40"/>
    </w:rPr>
  </w:style>
  <w:style w:type="paragraph" w:customStyle="1" w:styleId="Revenue">
    <w:name w:val="Revenue"/>
    <w:basedOn w:val="Normal"/>
    <w:next w:val="Normal"/>
    <w:uiPriority w:val="99"/>
    <w:rsid w:val="00E11ABF"/>
    <w:pPr>
      <w:keepNext/>
      <w:widowControl/>
      <w:spacing w:before="480" w:after="120"/>
    </w:pPr>
    <w:rPr>
      <w:rFonts w:eastAsiaTheme="minorEastAsia"/>
      <w:b/>
      <w:bCs/>
      <w:smallCaps/>
      <w:sz w:val="36"/>
      <w:szCs w:val="36"/>
    </w:rPr>
  </w:style>
  <w:style w:type="paragraph" w:customStyle="1" w:styleId="Expenditure">
    <w:name w:val="Expenditure"/>
    <w:basedOn w:val="Normal"/>
    <w:next w:val="Normal"/>
    <w:uiPriority w:val="99"/>
    <w:rsid w:val="00E11ABF"/>
    <w:pPr>
      <w:keepNext/>
      <w:widowControl/>
      <w:spacing w:before="480" w:after="120"/>
    </w:pPr>
    <w:rPr>
      <w:rFonts w:eastAsiaTheme="minorEastAsia"/>
      <w:b/>
      <w:bCs/>
      <w:smallCaps/>
      <w:sz w:val="36"/>
      <w:szCs w:val="36"/>
    </w:rPr>
  </w:style>
  <w:style w:type="paragraph" w:customStyle="1" w:styleId="title2">
    <w:name w:val="title2"/>
    <w:basedOn w:val="Normal"/>
    <w:next w:val="Normal"/>
    <w:uiPriority w:val="99"/>
    <w:rsid w:val="00E11ABF"/>
    <w:pPr>
      <w:keepNext/>
      <w:widowControl/>
      <w:spacing w:before="480" w:after="120"/>
    </w:pPr>
    <w:rPr>
      <w:rFonts w:eastAsiaTheme="minorEastAsia"/>
      <w:b/>
      <w:bCs/>
      <w:smallCaps/>
      <w:sz w:val="32"/>
      <w:szCs w:val="32"/>
    </w:rPr>
  </w:style>
  <w:style w:type="paragraph" w:customStyle="1" w:styleId="Chapter">
    <w:name w:val="Chapter"/>
    <w:basedOn w:val="Normal"/>
    <w:next w:val="Normal"/>
    <w:uiPriority w:val="99"/>
    <w:rsid w:val="00E11ABF"/>
    <w:pPr>
      <w:keepNext/>
      <w:widowControl/>
      <w:spacing w:before="480" w:after="120"/>
    </w:pPr>
    <w:rPr>
      <w:rFonts w:eastAsiaTheme="minorEastAsia"/>
      <w:b/>
      <w:bCs/>
      <w:smallCaps/>
      <w:sz w:val="28"/>
      <w:szCs w:val="28"/>
    </w:rPr>
  </w:style>
  <w:style w:type="paragraph" w:customStyle="1" w:styleId="Article">
    <w:name w:val="Article"/>
    <w:basedOn w:val="Normal"/>
    <w:next w:val="Normal"/>
    <w:uiPriority w:val="99"/>
    <w:rsid w:val="00E11ABF"/>
    <w:pPr>
      <w:keepNext/>
      <w:widowControl/>
      <w:spacing w:before="480" w:after="120"/>
    </w:pPr>
    <w:rPr>
      <w:rFonts w:eastAsiaTheme="minorEastAsia"/>
      <w:b/>
      <w:bCs/>
      <w:i/>
      <w:iCs/>
      <w:szCs w:val="24"/>
    </w:rPr>
  </w:style>
  <w:style w:type="paragraph" w:customStyle="1" w:styleId="Item">
    <w:name w:val="Item"/>
    <w:basedOn w:val="Normal"/>
    <w:next w:val="Normal"/>
    <w:uiPriority w:val="99"/>
    <w:rsid w:val="00E11ABF"/>
    <w:pPr>
      <w:keepNext/>
      <w:widowControl/>
      <w:spacing w:before="480" w:after="120"/>
    </w:pPr>
    <w:rPr>
      <w:rFonts w:eastAsiaTheme="minorEastAsia"/>
      <w:sz w:val="22"/>
      <w:szCs w:val="22"/>
    </w:rPr>
  </w:style>
  <w:style w:type="paragraph" w:customStyle="1" w:styleId="SubItem">
    <w:name w:val="SubItem"/>
    <w:basedOn w:val="Normal"/>
    <w:next w:val="Normal"/>
    <w:uiPriority w:val="99"/>
    <w:rsid w:val="00E11ABF"/>
    <w:pPr>
      <w:keepNext/>
      <w:widowControl/>
      <w:spacing w:before="480" w:after="120"/>
    </w:pPr>
    <w:rPr>
      <w:rFonts w:eastAsiaTheme="minorEastAsia"/>
      <w:sz w:val="20"/>
    </w:rPr>
  </w:style>
  <w:style w:type="paragraph" w:customStyle="1" w:styleId="Annex">
    <w:name w:val="Annex"/>
    <w:basedOn w:val="Normal"/>
    <w:next w:val="Normal"/>
    <w:uiPriority w:val="99"/>
    <w:rsid w:val="00E11ABF"/>
    <w:pPr>
      <w:keepNext/>
      <w:widowControl/>
      <w:spacing w:before="480" w:after="120"/>
    </w:pPr>
    <w:rPr>
      <w:rFonts w:eastAsiaTheme="minorEastAsia"/>
      <w:b/>
      <w:bCs/>
      <w:sz w:val="32"/>
      <w:szCs w:val="32"/>
    </w:rPr>
  </w:style>
  <w:style w:type="paragraph" w:customStyle="1" w:styleId="EndofAnnex">
    <w:name w:val="End of Annex"/>
    <w:basedOn w:val="Normal"/>
    <w:next w:val="Normal"/>
    <w:uiPriority w:val="99"/>
    <w:rsid w:val="00E11ABF"/>
    <w:pPr>
      <w:widowControl/>
      <w:spacing w:before="120" w:after="120"/>
    </w:pPr>
    <w:rPr>
      <w:rFonts w:eastAsiaTheme="minorEastAsia"/>
      <w:i/>
      <w:iCs/>
      <w:sz w:val="20"/>
    </w:rPr>
  </w:style>
  <w:style w:type="paragraph" w:customStyle="1" w:styleId="Objective">
    <w:name w:val="Objective"/>
    <w:basedOn w:val="Normal"/>
    <w:next w:val="Normal"/>
    <w:uiPriority w:val="99"/>
    <w:rsid w:val="00E11ABF"/>
    <w:pPr>
      <w:keepNext/>
      <w:widowControl/>
      <w:spacing w:before="120" w:after="120"/>
    </w:pPr>
    <w:rPr>
      <w:rFonts w:eastAsiaTheme="minorEastAsia"/>
      <w:i/>
      <w:iCs/>
      <w:sz w:val="20"/>
    </w:rPr>
  </w:style>
  <w:style w:type="paragraph" w:customStyle="1" w:styleId="Figures">
    <w:name w:val="Figures"/>
    <w:basedOn w:val="Normal"/>
    <w:next w:val="Normal"/>
    <w:uiPriority w:val="99"/>
    <w:rsid w:val="00E11ABF"/>
    <w:pPr>
      <w:keepNext/>
      <w:widowControl/>
      <w:spacing w:before="120" w:after="120"/>
    </w:pPr>
    <w:rPr>
      <w:rFonts w:eastAsiaTheme="minorEastAsia"/>
      <w:i/>
      <w:iCs/>
      <w:sz w:val="20"/>
    </w:rPr>
  </w:style>
  <w:style w:type="paragraph" w:customStyle="1" w:styleId="Remarks">
    <w:name w:val="Remarks"/>
    <w:basedOn w:val="Normal"/>
    <w:next w:val="Normal"/>
    <w:uiPriority w:val="99"/>
    <w:rsid w:val="00E11ABF"/>
    <w:pPr>
      <w:keepNext/>
      <w:widowControl/>
      <w:spacing w:before="120" w:after="120"/>
    </w:pPr>
    <w:rPr>
      <w:rFonts w:eastAsiaTheme="minorEastAsia"/>
      <w:i/>
      <w:iCs/>
      <w:sz w:val="20"/>
    </w:rPr>
  </w:style>
  <w:style w:type="paragraph" w:customStyle="1" w:styleId="ReserveCond">
    <w:name w:val="ReserveCond"/>
    <w:basedOn w:val="Normal"/>
    <w:next w:val="Normal"/>
    <w:uiPriority w:val="99"/>
    <w:rsid w:val="00E11ABF"/>
    <w:pPr>
      <w:keepNext/>
      <w:widowControl/>
      <w:spacing w:before="120" w:after="120"/>
    </w:pPr>
    <w:rPr>
      <w:rFonts w:eastAsiaTheme="minorEastAsia"/>
      <w:i/>
      <w:iCs/>
      <w:sz w:val="20"/>
    </w:rPr>
  </w:style>
  <w:style w:type="paragraph" w:customStyle="1" w:styleId="Legalbasis">
    <w:name w:val="Legal basis"/>
    <w:basedOn w:val="Normal"/>
    <w:next w:val="Normal"/>
    <w:uiPriority w:val="99"/>
    <w:rsid w:val="00E11ABF"/>
    <w:pPr>
      <w:keepNext/>
      <w:widowControl/>
      <w:spacing w:before="120" w:after="120"/>
    </w:pPr>
    <w:rPr>
      <w:rFonts w:eastAsiaTheme="minorEastAsia"/>
      <w:i/>
      <w:iCs/>
      <w:sz w:val="20"/>
    </w:rPr>
  </w:style>
  <w:style w:type="paragraph" w:customStyle="1" w:styleId="Reference">
    <w:name w:val="Reference"/>
    <w:basedOn w:val="Normal"/>
    <w:next w:val="Normal"/>
    <w:uiPriority w:val="99"/>
    <w:rsid w:val="00E11ABF"/>
    <w:pPr>
      <w:keepNext/>
      <w:widowControl/>
      <w:spacing w:before="120" w:after="120"/>
    </w:pPr>
    <w:rPr>
      <w:rFonts w:eastAsiaTheme="minorEastAsia"/>
      <w:i/>
      <w:iCs/>
      <w:sz w:val="20"/>
    </w:rPr>
  </w:style>
  <w:style w:type="character" w:customStyle="1" w:styleId="tw4winExternal">
    <w:name w:val="tw4winExternal"/>
    <w:basedOn w:val="DefaultParagraphFont"/>
    <w:uiPriority w:val="99"/>
    <w:rsid w:val="00E11ABF"/>
  </w:style>
  <w:style w:type="character" w:customStyle="1" w:styleId="tw4winInternal">
    <w:name w:val="tw4winInternal"/>
    <w:basedOn w:val="DefaultParagraphFont"/>
    <w:uiPriority w:val="99"/>
    <w:rsid w:val="00E11ABF"/>
    <w:rPr>
      <w:sz w:val="16"/>
      <w:szCs w:val="16"/>
      <w:u w:val="dash"/>
      <w:shd w:val="clear" w:color="auto" w:fill="FFFF00"/>
    </w:rPr>
  </w:style>
  <w:style w:type="character" w:customStyle="1" w:styleId="ReusedInlineInfo">
    <w:name w:val="ReusedInlineInfo"/>
    <w:basedOn w:val="DefaultParagraphFont"/>
    <w:uiPriority w:val="99"/>
    <w:rsid w:val="00E11ABF"/>
    <w:rPr>
      <w:sz w:val="16"/>
      <w:szCs w:val="16"/>
      <w:u w:val="dash"/>
      <w:shd w:val="clear" w:color="auto" w:fill="FFFF00"/>
    </w:rPr>
  </w:style>
  <w:style w:type="character" w:customStyle="1" w:styleId="Error">
    <w:name w:val="Error"/>
    <w:basedOn w:val="DefaultParagraphFont"/>
    <w:uiPriority w:val="99"/>
    <w:rsid w:val="00E11ABF"/>
    <w:rPr>
      <w:shd w:val="clear" w:color="auto" w:fill="FF0000"/>
    </w:rPr>
  </w:style>
  <w:style w:type="paragraph" w:styleId="BalloonText">
    <w:name w:val="Balloon Text"/>
    <w:basedOn w:val="Normal"/>
    <w:link w:val="BalloonTextChar"/>
    <w:uiPriority w:val="99"/>
    <w:unhideWhenUsed/>
    <w:rsid w:val="00E11ABF"/>
    <w:pPr>
      <w:widowControl/>
      <w:jc w:val="both"/>
    </w:pPr>
    <w:rPr>
      <w:rFonts w:ascii="Segoe UI" w:eastAsiaTheme="minorHAnsi" w:hAnsi="Segoe UI" w:cs="Segoe UI"/>
      <w:sz w:val="18"/>
      <w:szCs w:val="18"/>
      <w:lang w:eastAsia="en-US"/>
    </w:rPr>
  </w:style>
  <w:style w:type="character" w:customStyle="1" w:styleId="BalloonTextChar">
    <w:name w:val="Balloon Text Char"/>
    <w:basedOn w:val="DefaultParagraphFont"/>
    <w:link w:val="BalloonText"/>
    <w:uiPriority w:val="99"/>
    <w:rsid w:val="00E11ABF"/>
    <w:rPr>
      <w:rFonts w:ascii="Segoe UI" w:eastAsiaTheme="minorHAnsi" w:hAnsi="Segoe UI" w:cs="Segoe UI"/>
      <w:sz w:val="18"/>
      <w:szCs w:val="18"/>
      <w:lang w:val="ro-RO" w:eastAsia="en-US"/>
    </w:rPr>
  </w:style>
  <w:style w:type="numbering" w:customStyle="1" w:styleId="NoList1">
    <w:name w:val="No List1"/>
    <w:next w:val="NoList"/>
    <w:uiPriority w:val="99"/>
    <w:semiHidden/>
    <w:unhideWhenUsed/>
    <w:rsid w:val="00E11ABF"/>
  </w:style>
  <w:style w:type="numbering" w:customStyle="1" w:styleId="NoList2">
    <w:name w:val="No List2"/>
    <w:next w:val="NoList"/>
    <w:uiPriority w:val="99"/>
    <w:semiHidden/>
    <w:unhideWhenUsed/>
    <w:rsid w:val="00E11ABF"/>
  </w:style>
  <w:style w:type="paragraph" w:customStyle="1" w:styleId="RollCallVotes">
    <w:name w:val="RollCallVotes"/>
    <w:basedOn w:val="Normal"/>
    <w:rsid w:val="00E11ABF"/>
    <w:pPr>
      <w:spacing w:before="120" w:after="120"/>
      <w:jc w:val="center"/>
    </w:pPr>
    <w:rPr>
      <w:b/>
      <w:bCs/>
      <w:snapToGrid w:val="0"/>
      <w:sz w:val="16"/>
      <w:lang w:eastAsia="en-US"/>
    </w:rPr>
  </w:style>
  <w:style w:type="paragraph" w:customStyle="1" w:styleId="RollCallTabs">
    <w:name w:val="RollCallTabs"/>
    <w:basedOn w:val="Normal"/>
    <w:qFormat/>
    <w:rsid w:val="00E11ABF"/>
    <w:pPr>
      <w:tabs>
        <w:tab w:val="center" w:pos="284"/>
        <w:tab w:val="left" w:pos="426"/>
      </w:tabs>
    </w:pPr>
    <w:rPr>
      <w:snapToGrid w:val="0"/>
      <w:lang w:eastAsia="en-US"/>
    </w:rPr>
  </w:style>
  <w:style w:type="paragraph" w:customStyle="1" w:styleId="RollCallSymbols14pt">
    <w:name w:val="RollCallSymbols14pt"/>
    <w:basedOn w:val="Normal"/>
    <w:rsid w:val="00E11ABF"/>
    <w:pPr>
      <w:spacing w:before="120" w:after="120"/>
      <w:jc w:val="center"/>
    </w:pPr>
    <w:rPr>
      <w:rFonts w:ascii="Arial" w:hAnsi="Arial"/>
      <w:b/>
      <w:bCs/>
      <w:snapToGrid w:val="0"/>
      <w:sz w:val="28"/>
      <w:lang w:eastAsia="en-US"/>
    </w:rPr>
  </w:style>
  <w:style w:type="paragraph" w:customStyle="1" w:styleId="RollCallTable">
    <w:name w:val="RollCallTable"/>
    <w:basedOn w:val="Normal"/>
    <w:rsid w:val="00E11ABF"/>
    <w:pPr>
      <w:spacing w:before="120" w:after="120"/>
    </w:pPr>
    <w:rPr>
      <w:snapToGrid w:val="0"/>
      <w:sz w:val="16"/>
      <w:lang w:eastAsia="en-US"/>
    </w:rPr>
  </w:style>
  <w:style w:type="character" w:styleId="FollowedHyperlink">
    <w:name w:val="FollowedHyperlink"/>
    <w:basedOn w:val="DefaultParagraphFont"/>
    <w:uiPriority w:val="99"/>
    <w:unhideWhenUsed/>
    <w:rsid w:val="00E11AB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budget/2026/72/oj" TargetMode="External"/><Relationship Id="rId3" Type="http://schemas.openxmlformats.org/officeDocument/2006/relationships/hyperlink" Target="http://data.europa.eu/eli/reg/2022/2496/oj" TargetMode="External"/><Relationship Id="rId7" Type="http://schemas.openxmlformats.org/officeDocument/2006/relationships/hyperlink" Target="http://data.europa.eu/eli/C/2024/6751/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24/2509/oj" TargetMode="External"/><Relationship Id="rId6" Type="http://schemas.openxmlformats.org/officeDocument/2006/relationships/hyperlink" Target="http://data.europa.eu/eli/C/2024/1195/oj" TargetMode="External"/><Relationship Id="rId5" Type="http://schemas.openxmlformats.org/officeDocument/2006/relationships/hyperlink" Target="http://data.europa.eu/eli/agree_interinstit/2020/1222/oj" TargetMode="External"/><Relationship Id="rId4" Type="http://schemas.openxmlformats.org/officeDocument/2006/relationships/hyperlink" Target="http://data.europa.eu/eli/reg/2024/76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4258</Words>
  <Characters>25606</Characters>
  <Application>Microsoft Office Word</Application>
  <DocSecurity>0</DocSecurity>
  <Lines>213</Lines>
  <Paragraphs>59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TEODORESCU-ILIE Camelia</dc:creator>
  <cp:keywords/>
  <cp:lastModifiedBy>GHERMAN Laura-Mirona</cp:lastModifiedBy>
  <cp:revision>2</cp:revision>
  <cp:lastPrinted>2004-11-19T15:42:00Z</cp:lastPrinted>
  <dcterms:created xsi:type="dcterms:W3CDTF">2026-07-15T14:03:00Z</dcterms:created>
  <dcterms:modified xsi:type="dcterms:W3CDTF">2026-07-15T14:03:00Z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P10_TA(2026)0155_</vt:lpwstr>
  </property>
  <property fmtid="{D5CDD505-2E9C-101B-9397-08002B2CF9AE}" pid="4" name="&lt;Type&gt;">
    <vt:lpwstr>RR</vt:lpwstr>
  </property>
</Properties>
</file>