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7827" w14:paraId="048037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37ABED" w14:textId="77777777" w:rsidR="00751A4A" w:rsidRPr="008E7827" w:rsidRDefault="0098619E" w:rsidP="0010095E">
            <w:pPr>
              <w:pStyle w:val="EPName"/>
            </w:pPr>
            <w:r w:rsidRPr="008E7827">
              <w:t>Európsky parlament</w:t>
            </w:r>
          </w:p>
          <w:p w14:paraId="49CB7BBD" w14:textId="77777777" w:rsidR="00751A4A" w:rsidRPr="008E78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7827">
              <w:t>2024</w:t>
            </w:r>
            <w:r w:rsidR="00817416" w:rsidRPr="008E7827">
              <w:t>-202</w:t>
            </w:r>
            <w:r w:rsidRPr="008E7827">
              <w:t>9</w:t>
            </w:r>
          </w:p>
        </w:tc>
        <w:tc>
          <w:tcPr>
            <w:tcW w:w="2268" w:type="dxa"/>
            <w:shd w:val="clear" w:color="auto" w:fill="auto"/>
          </w:tcPr>
          <w:p w14:paraId="1E56D6EE" w14:textId="77777777" w:rsidR="00751A4A" w:rsidRPr="008E7827" w:rsidRDefault="00187494" w:rsidP="0010095E">
            <w:pPr>
              <w:pStyle w:val="EPLogo"/>
            </w:pPr>
            <w:r w:rsidRPr="008E7827">
              <w:rPr>
                <w:noProof/>
                <w:lang w:eastAsia="ja-JP"/>
              </w:rPr>
              <w:drawing>
                <wp:inline distT="0" distB="0" distL="0" distR="0" wp14:anchorId="6ED0DDC9" wp14:editId="5DD956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CD290B" w14:textId="77777777" w:rsidR="00D058B8" w:rsidRPr="008E7827" w:rsidRDefault="00D058B8" w:rsidP="004C5D52">
      <w:pPr>
        <w:pStyle w:val="LineTop"/>
      </w:pPr>
    </w:p>
    <w:p w14:paraId="6AAC68BB" w14:textId="77777777" w:rsidR="00680577" w:rsidRPr="008E7827" w:rsidRDefault="0098619E" w:rsidP="00680577">
      <w:pPr>
        <w:pStyle w:val="EPBodyTA1"/>
      </w:pPr>
      <w:r w:rsidRPr="008E7827">
        <w:t>PRIJATÉ TEXTY</w:t>
      </w:r>
    </w:p>
    <w:p w14:paraId="733AB0B0" w14:textId="77777777" w:rsidR="00D058B8" w:rsidRPr="008E7827" w:rsidRDefault="00D058B8" w:rsidP="00D058B8">
      <w:pPr>
        <w:pStyle w:val="LineBottom"/>
      </w:pPr>
    </w:p>
    <w:p w14:paraId="2D993937" w14:textId="0328674A" w:rsidR="0098619E" w:rsidRPr="008E7827" w:rsidRDefault="0098619E" w:rsidP="0098619E">
      <w:pPr>
        <w:pStyle w:val="ATHeading1"/>
      </w:pPr>
      <w:bookmarkStart w:id="0" w:name="TANumber"/>
      <w:r w:rsidRPr="008E7827">
        <w:t>P10_TA(2026)0</w:t>
      </w:r>
      <w:r w:rsidR="008E7827" w:rsidRPr="008E7827">
        <w:t>155</w:t>
      </w:r>
      <w:bookmarkEnd w:id="0"/>
    </w:p>
    <w:p w14:paraId="6A34AE65" w14:textId="77777777" w:rsidR="0098619E" w:rsidRPr="008E7827" w:rsidRDefault="0098619E" w:rsidP="0098619E">
      <w:pPr>
        <w:pStyle w:val="ATHeading2"/>
      </w:pPr>
      <w:bookmarkStart w:id="1" w:name="title"/>
      <w:r w:rsidRPr="008E7827">
        <w:t>Odhady príjmov a výdavkov na rozpočtový rok 2027 – Oddiel I – Európsky parlament</w:t>
      </w:r>
      <w:bookmarkEnd w:id="1"/>
    </w:p>
    <w:p w14:paraId="02135A79" w14:textId="77777777" w:rsidR="0098619E" w:rsidRPr="008E7827" w:rsidRDefault="0098619E" w:rsidP="0098619E">
      <w:pPr>
        <w:rPr>
          <w:i/>
          <w:vanish/>
        </w:rPr>
      </w:pPr>
      <w:r w:rsidRPr="008E7827">
        <w:rPr>
          <w:i/>
        </w:rPr>
        <w:fldChar w:fldCharType="begin"/>
      </w:r>
      <w:r w:rsidRPr="008E7827">
        <w:rPr>
          <w:i/>
        </w:rPr>
        <w:instrText xml:space="preserve"> TC"(</w:instrText>
      </w:r>
      <w:bookmarkStart w:id="2" w:name="DocNumber"/>
      <w:r w:rsidRPr="008E7827">
        <w:rPr>
          <w:i/>
        </w:rPr>
        <w:instrText>A10-0124/2026</w:instrText>
      </w:r>
      <w:bookmarkEnd w:id="2"/>
      <w:r w:rsidRPr="008E7827">
        <w:rPr>
          <w:i/>
        </w:rPr>
        <w:instrText xml:space="preserve"> - Spravodajca: Michalis Hadjipantela)"\l3 \n&gt; \* MERGEFORMAT </w:instrText>
      </w:r>
      <w:r w:rsidRPr="008E7827">
        <w:rPr>
          <w:i/>
        </w:rPr>
        <w:fldChar w:fldCharType="end"/>
      </w:r>
    </w:p>
    <w:p w14:paraId="3B827826" w14:textId="77777777" w:rsidR="0098619E" w:rsidRPr="008E7827" w:rsidRDefault="0098619E" w:rsidP="0098619E">
      <w:pPr>
        <w:rPr>
          <w:vanish/>
        </w:rPr>
      </w:pPr>
      <w:bookmarkStart w:id="3" w:name="Commission"/>
      <w:r w:rsidRPr="008E7827">
        <w:rPr>
          <w:vanish/>
        </w:rPr>
        <w:t>Výbor pre rozpočet</w:t>
      </w:r>
      <w:bookmarkEnd w:id="3"/>
    </w:p>
    <w:p w14:paraId="17481962" w14:textId="77777777" w:rsidR="0098619E" w:rsidRPr="008E7827" w:rsidRDefault="0098619E" w:rsidP="0098619E">
      <w:pPr>
        <w:rPr>
          <w:vanish/>
        </w:rPr>
      </w:pPr>
      <w:bookmarkStart w:id="4" w:name="PE"/>
      <w:r w:rsidRPr="008E7827">
        <w:rPr>
          <w:vanish/>
        </w:rPr>
        <w:t>PE785.303</w:t>
      </w:r>
      <w:bookmarkEnd w:id="4"/>
    </w:p>
    <w:p w14:paraId="44028B55" w14:textId="1E8D5EDA" w:rsidR="0098619E" w:rsidRPr="008E7827" w:rsidRDefault="0098619E" w:rsidP="0098619E">
      <w:pPr>
        <w:pStyle w:val="ATHeading3"/>
      </w:pPr>
      <w:bookmarkStart w:id="5" w:name="Sujet"/>
      <w:r w:rsidRPr="008E7827">
        <w:t xml:space="preserve">Uznesenie Európskeho parlamentu z </w:t>
      </w:r>
      <w:r w:rsidR="000556D9" w:rsidRPr="008E7827">
        <w:t>30</w:t>
      </w:r>
      <w:r w:rsidRPr="008E7827">
        <w:t xml:space="preserve">. </w:t>
      </w:r>
      <w:r w:rsidR="000556D9" w:rsidRPr="008E7827">
        <w:t xml:space="preserve">apríla </w:t>
      </w:r>
      <w:r w:rsidRPr="008E7827">
        <w:t>2026 o odhade príjmov a výdavkov Európskeho parlamentu na rozpočtový rok 2027</w:t>
      </w:r>
      <w:bookmarkEnd w:id="5"/>
      <w:r w:rsidRPr="008E7827">
        <w:t xml:space="preserve"> </w:t>
      </w:r>
      <w:bookmarkStart w:id="6" w:name="References"/>
      <w:r w:rsidRPr="008E7827">
        <w:t>(2025/2247(BUI))</w:t>
      </w:r>
      <w:bookmarkEnd w:id="6"/>
    </w:p>
    <w:p w14:paraId="3BF4842C" w14:textId="77777777" w:rsidR="0067692E" w:rsidRPr="008E7827" w:rsidRDefault="0067692E" w:rsidP="0067692E">
      <w:pPr>
        <w:pStyle w:val="Institutionquiagit"/>
        <w:spacing w:before="480"/>
        <w:rPr>
          <w:i w:val="0"/>
        </w:rPr>
      </w:pPr>
      <w:bookmarkStart w:id="7" w:name="TextBodyBegin"/>
      <w:bookmarkEnd w:id="7"/>
      <w:r w:rsidRPr="008E7827">
        <w:t>Európsky parlament,</w:t>
      </w:r>
    </w:p>
    <w:p w14:paraId="2E7F4F6C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–</w:t>
      </w:r>
      <w:r w:rsidRPr="008E7827">
        <w:tab/>
        <w:t>so zreteľom na článok 314 Zmluvy o fungovaní Európskej únie,</w:t>
      </w:r>
    </w:p>
    <w:p w14:paraId="6516A7FE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  <w:t xml:space="preserve">so zreteľom na nariadenie Európskeho parlamentu a Rady (EÚ, </w:t>
      </w:r>
      <w:proofErr w:type="spellStart"/>
      <w:r w:rsidRPr="008E7827">
        <w:rPr>
          <w:color w:val="000000"/>
        </w:rPr>
        <w:t>Euratom</w:t>
      </w:r>
      <w:proofErr w:type="spellEnd"/>
      <w:r w:rsidRPr="008E7827">
        <w:rPr>
          <w:color w:val="000000"/>
        </w:rPr>
        <w:t>) 2024/2509 z 23. septembra 2024 o rozpočtových pravidlách, ktoré sa vzťahujú na všeobecný rozpočet Únie (prepracované znenie)</w:t>
      </w:r>
      <w:r w:rsidRPr="008E7827">
        <w:rPr>
          <w:color w:val="000000"/>
          <w:vertAlign w:val="superscript"/>
        </w:rPr>
        <w:footnoteReference w:id="1"/>
      </w:r>
      <w:r w:rsidRPr="008E7827">
        <w:rPr>
          <w:color w:val="000000"/>
        </w:rPr>
        <w:t xml:space="preserve"> (ďalej len „nariadenie o rozpočtových pravidlách“),</w:t>
      </w:r>
    </w:p>
    <w:p w14:paraId="3137993C" w14:textId="77777777" w:rsidR="0067692E" w:rsidRPr="008E7827" w:rsidRDefault="0067692E" w:rsidP="0067692E">
      <w:pPr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</w:r>
      <w:r w:rsidRPr="008E7827">
        <w:t xml:space="preserve">so zreteľom na nariadenie Rady (EÚ, </w:t>
      </w:r>
      <w:proofErr w:type="spellStart"/>
      <w:r w:rsidRPr="008E7827">
        <w:t>Euratom</w:t>
      </w:r>
      <w:proofErr w:type="spellEnd"/>
      <w:r w:rsidRPr="008E7827">
        <w:t xml:space="preserve">) 2020/2093 zo 17. decembra 2020, ktorým sa stanovuje </w:t>
      </w:r>
      <w:sdt>
        <w:sdtPr>
          <w:tag w:val="goog_rdk_0"/>
          <w:id w:val="399490220"/>
        </w:sdtPr>
        <w:sdtEndPr/>
        <w:sdtContent/>
      </w:sdt>
      <w:sdt>
        <w:sdtPr>
          <w:tag w:val="goog_rdk_1"/>
          <w:id w:val="-2088213729"/>
        </w:sdtPr>
        <w:sdtEndPr/>
        <w:sdtContent/>
      </w:sdt>
      <w:r w:rsidRPr="008E7827">
        <w:t>viacročný finančný rámec na roky 2021 až 2027</w:t>
      </w:r>
      <w:r w:rsidRPr="008E7827">
        <w:rPr>
          <w:color w:val="000000"/>
          <w:vertAlign w:val="superscript"/>
        </w:rPr>
        <w:footnoteReference w:id="2"/>
      </w:r>
      <w:r w:rsidRPr="008E7827">
        <w:t>, a na spoločné vyhlásenia, na ktorých sa v tejto súvislosti dohodli Európsky parlament, Rada a Komisia</w:t>
      </w:r>
      <w:r w:rsidRPr="008E7827">
        <w:rPr>
          <w:color w:val="000000"/>
          <w:vertAlign w:val="superscript"/>
        </w:rPr>
        <w:footnoteReference w:id="3"/>
      </w:r>
      <w:r w:rsidRPr="008E7827">
        <w:t>, ako aj na súvisiace jednostranné vyhlásenia</w:t>
      </w:r>
      <w:r w:rsidRPr="008E7827">
        <w:rPr>
          <w:color w:val="000000"/>
          <w:vertAlign w:val="superscript"/>
        </w:rPr>
        <w:footnoteReference w:id="4"/>
      </w:r>
      <w:r w:rsidRPr="008E7827">
        <w:t>,</w:t>
      </w:r>
    </w:p>
    <w:p w14:paraId="3CFE6418" w14:textId="77777777" w:rsidR="0067692E" w:rsidRPr="008E7827" w:rsidRDefault="0067692E" w:rsidP="0067692E">
      <w:pPr>
        <w:spacing w:after="240"/>
        <w:ind w:left="567" w:hanging="567"/>
        <w:rPr>
          <w:color w:val="000000" w:themeColor="text1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  <w:t xml:space="preserve">so zreteľom na nariadenie Rady (EÚ, </w:t>
      </w:r>
      <w:proofErr w:type="spellStart"/>
      <w:r w:rsidRPr="008E7827">
        <w:rPr>
          <w:color w:val="000000"/>
        </w:rPr>
        <w:t>Euratom</w:t>
      </w:r>
      <w:proofErr w:type="spellEnd"/>
      <w:r w:rsidRPr="008E7827">
        <w:rPr>
          <w:color w:val="000000"/>
        </w:rPr>
        <w:t xml:space="preserve">) 2022/2496 z 15. decembra 2022, ktorým sa mení nariadenie (EÚ, </w:t>
      </w:r>
      <w:proofErr w:type="spellStart"/>
      <w:r w:rsidRPr="008E7827">
        <w:rPr>
          <w:color w:val="000000"/>
        </w:rPr>
        <w:t>Euratom</w:t>
      </w:r>
      <w:proofErr w:type="spellEnd"/>
      <w:r w:rsidRPr="008E7827">
        <w:rPr>
          <w:color w:val="000000"/>
        </w:rPr>
        <w:t>) 2020/2093, ktorým sa stanovuje viacročný finančný rámec na roky 2021 až 2027</w:t>
      </w:r>
      <w:r w:rsidRPr="008E7827">
        <w:rPr>
          <w:color w:val="000000"/>
          <w:vertAlign w:val="superscript"/>
        </w:rPr>
        <w:footnoteReference w:id="5"/>
      </w:r>
      <w:r w:rsidRPr="008E7827">
        <w:rPr>
          <w:color w:val="000000"/>
        </w:rPr>
        <w:t>,</w:t>
      </w:r>
    </w:p>
    <w:p w14:paraId="0652C9A2" w14:textId="1C830A48" w:rsidR="0067692E" w:rsidRPr="008E7827" w:rsidRDefault="0067692E" w:rsidP="0067692E">
      <w:pPr>
        <w:spacing w:after="240"/>
        <w:ind w:left="567" w:hanging="567"/>
      </w:pPr>
      <w:r w:rsidRPr="008E7827">
        <w:t>–</w:t>
      </w:r>
      <w:r w:rsidRPr="008E7827">
        <w:tab/>
      </w:r>
      <w:r w:rsidRPr="008E7827">
        <w:rPr>
          <w:color w:val="000000"/>
        </w:rPr>
        <w:t xml:space="preserve">so zreteľom na nariadenie Rady (EÚ, </w:t>
      </w:r>
      <w:proofErr w:type="spellStart"/>
      <w:r w:rsidRPr="008E7827">
        <w:rPr>
          <w:color w:val="000000"/>
        </w:rPr>
        <w:t>Euratom</w:t>
      </w:r>
      <w:proofErr w:type="spellEnd"/>
      <w:r w:rsidRPr="008E7827">
        <w:rPr>
          <w:color w:val="000000"/>
        </w:rPr>
        <w:t xml:space="preserve">) 2024/765, ktorým sa mení nariadenie (EÚ, </w:t>
      </w:r>
      <w:proofErr w:type="spellStart"/>
      <w:r w:rsidRPr="008E7827">
        <w:rPr>
          <w:color w:val="000000"/>
        </w:rPr>
        <w:t>Euratom</w:t>
      </w:r>
      <w:proofErr w:type="spellEnd"/>
      <w:r w:rsidRPr="008E7827">
        <w:rPr>
          <w:color w:val="000000"/>
        </w:rPr>
        <w:t>) 2020/2093, ktorým sa stanovuje viacročný finančný rámec na roky 2021 až 2027</w:t>
      </w:r>
      <w:r w:rsidRPr="008E7827">
        <w:rPr>
          <w:rStyle w:val="FootnoteReference"/>
          <w:color w:val="000000"/>
        </w:rPr>
        <w:footnoteReference w:id="6"/>
      </w:r>
      <w:r w:rsidRPr="008E7827">
        <w:rPr>
          <w:color w:val="000000"/>
        </w:rPr>
        <w:t xml:space="preserve"> (</w:t>
      </w:r>
      <w:r w:rsidR="0041524B" w:rsidRPr="008E7827">
        <w:rPr>
          <w:color w:val="000000"/>
        </w:rPr>
        <w:t>ďalej len „</w:t>
      </w:r>
      <w:r w:rsidRPr="008E7827">
        <w:rPr>
          <w:color w:val="000000"/>
        </w:rPr>
        <w:t xml:space="preserve">revízia </w:t>
      </w:r>
      <w:r w:rsidR="0041524B" w:rsidRPr="008E7827">
        <w:rPr>
          <w:color w:val="000000"/>
        </w:rPr>
        <w:t>VFR“</w:t>
      </w:r>
      <w:r w:rsidRPr="008E7827">
        <w:rPr>
          <w:color w:val="000000"/>
        </w:rPr>
        <w:t>),</w:t>
      </w:r>
    </w:p>
    <w:p w14:paraId="310E0852" w14:textId="77777777" w:rsidR="0067692E" w:rsidRPr="008E7827" w:rsidRDefault="0067692E" w:rsidP="0067692E">
      <w:pPr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  <w:t xml:space="preserve">so zreteľom na </w:t>
      </w:r>
      <w:proofErr w:type="spellStart"/>
      <w:r w:rsidRPr="008E7827">
        <w:rPr>
          <w:color w:val="000000"/>
        </w:rPr>
        <w:t>Medziinštitucionálnu</w:t>
      </w:r>
      <w:proofErr w:type="spellEnd"/>
      <w:r w:rsidRPr="008E7827">
        <w:rPr>
          <w:color w:val="000000"/>
        </w:rPr>
        <w:t xml:space="preserve"> dohodu zo 16. decembra 2020 medzi Európskym parlamentom, Radou Európskej únie a Európskou komisiou o rozpočtovej disciplíne, </w:t>
      </w:r>
      <w:r w:rsidRPr="008E7827">
        <w:rPr>
          <w:color w:val="000000"/>
        </w:rPr>
        <w:lastRenderedPageBreak/>
        <w:t>spolupráci v rozpočtových záležitostiach a správnom finančnom riadení, ako aj o nových vlastných zdrojoch vrátane plánu na zavedenie nových vlastných zdrojov</w:t>
      </w:r>
      <w:r w:rsidRPr="008E7827">
        <w:rPr>
          <w:color w:val="000000"/>
          <w:vertAlign w:val="superscript"/>
        </w:rPr>
        <w:footnoteReference w:id="7"/>
      </w:r>
      <w:r w:rsidRPr="008E7827">
        <w:rPr>
          <w:color w:val="000000"/>
        </w:rPr>
        <w:t>,</w:t>
      </w:r>
    </w:p>
    <w:p w14:paraId="0261FBAC" w14:textId="5311EECF" w:rsidR="0067692E" w:rsidRPr="008E7827" w:rsidRDefault="0067692E" w:rsidP="0067692E">
      <w:pPr>
        <w:spacing w:after="240"/>
        <w:ind w:left="567" w:hanging="567"/>
      </w:pPr>
      <w:r w:rsidRPr="008E7827">
        <w:t>–</w:t>
      </w:r>
      <w:r w:rsidRPr="008E7827">
        <w:tab/>
        <w:t>so zreteľom na svoje legislatívne uznesenie zo 16. decembra 2020 o návrhu nariadenia Rady, ktorým sa stanovuje viacročný finančný rámec na roky 2021 – 2027</w:t>
      </w:r>
      <w:r w:rsidRPr="008E7827">
        <w:rPr>
          <w:vertAlign w:val="superscript"/>
        </w:rPr>
        <w:footnoteReference w:id="8"/>
      </w:r>
      <w:r w:rsidRPr="008E7827">
        <w:t>,</w:t>
      </w:r>
    </w:p>
    <w:p w14:paraId="0400ACB6" w14:textId="77777777" w:rsidR="0067692E" w:rsidRPr="008E7827" w:rsidRDefault="0067692E" w:rsidP="0067692E">
      <w:pPr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  <w:t>so zreteľom na svoje uznesenie z 15. decembra 2022 o zvýšení viacročného finančného rámca na roky 2021 – 2027: odolný rozpočet EÚ pripravený na nové výzvy</w:t>
      </w:r>
      <w:r w:rsidRPr="008E7827">
        <w:rPr>
          <w:color w:val="000000"/>
          <w:vertAlign w:val="superscript"/>
        </w:rPr>
        <w:footnoteReference w:id="9"/>
      </w:r>
      <w:r w:rsidRPr="008E7827">
        <w:rPr>
          <w:color w:val="000000"/>
        </w:rPr>
        <w:t>,</w:t>
      </w:r>
    </w:p>
    <w:p w14:paraId="28EE7094" w14:textId="77777777" w:rsidR="0067692E" w:rsidRPr="008E7827" w:rsidRDefault="0067692E" w:rsidP="0067692E">
      <w:pPr>
        <w:spacing w:after="240"/>
        <w:ind w:left="567" w:hanging="567"/>
      </w:pPr>
      <w:r w:rsidRPr="008E7827">
        <w:t>–</w:t>
      </w:r>
      <w:r w:rsidRPr="008E7827">
        <w:tab/>
        <w:t>so zreteľom na svoje uznesenie z 3. októbra 2023 o návrhu revízie viacročného finančného rámca na roky 2021 – 2027 v polovici trvania</w:t>
      </w:r>
      <w:r w:rsidRPr="008E7827">
        <w:rPr>
          <w:vertAlign w:val="superscript"/>
        </w:rPr>
        <w:footnoteReference w:id="10"/>
      </w:r>
      <w:r w:rsidRPr="008E7827">
        <w:t>,</w:t>
      </w:r>
    </w:p>
    <w:p w14:paraId="5E61998C" w14:textId="77777777" w:rsidR="0067692E" w:rsidRPr="008E7827" w:rsidRDefault="0067692E" w:rsidP="0067692E">
      <w:pPr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  <w:t xml:space="preserve">so zreteľom na svoje uznesenie z 27. februára 2024 o návrhu nariadenia Rady, ktorým sa mení nariadenie (EÚ, </w:t>
      </w:r>
      <w:proofErr w:type="spellStart"/>
      <w:r w:rsidRPr="008E7827">
        <w:rPr>
          <w:color w:val="000000"/>
        </w:rPr>
        <w:t>Euratom</w:t>
      </w:r>
      <w:proofErr w:type="spellEnd"/>
      <w:r w:rsidRPr="008E7827">
        <w:rPr>
          <w:color w:val="000000"/>
        </w:rPr>
        <w:t>) 2020/2093, ktorým sa stanovuje viacročný finančný rámec na roky 2021 – 2027</w:t>
      </w:r>
      <w:r w:rsidRPr="008E7827">
        <w:rPr>
          <w:color w:val="000000"/>
          <w:vertAlign w:val="superscript"/>
        </w:rPr>
        <w:footnoteReference w:id="11"/>
      </w:r>
      <w:r w:rsidRPr="008E7827">
        <w:rPr>
          <w:color w:val="000000"/>
        </w:rPr>
        <w:t>,</w:t>
      </w:r>
    </w:p>
    <w:p w14:paraId="614C7EDD" w14:textId="77777777" w:rsidR="0067692E" w:rsidRPr="008E7827" w:rsidRDefault="0067692E" w:rsidP="0067692E">
      <w:pPr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–</w:t>
      </w:r>
      <w:r w:rsidRPr="008E7827">
        <w:rPr>
          <w:color w:val="000000"/>
        </w:rPr>
        <w:tab/>
      </w:r>
      <w:r w:rsidRPr="008E7827">
        <w:t>so zreteľom na všeobecný rozpočet Európskej únie na rozpočtový rok 2026 prijatý s konečnou platnosťou 26. novembra 2025</w:t>
      </w:r>
      <w:r w:rsidRPr="008E7827">
        <w:rPr>
          <w:color w:val="000000"/>
          <w:vertAlign w:val="superscript"/>
        </w:rPr>
        <w:footnoteReference w:id="12"/>
      </w:r>
      <w:r w:rsidRPr="008E7827">
        <w:t xml:space="preserve"> a na spoločné vyhlásenia, na ktorých sa dohodol Európsky parlament, Rada a Komisia a ktoré sú k nemu pripojené,</w:t>
      </w:r>
    </w:p>
    <w:p w14:paraId="4EABD520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–</w:t>
      </w:r>
      <w:r w:rsidRPr="008E7827">
        <w:tab/>
        <w:t>so zreteľom na správu generálneho tajomníka pre Predsedníctvo v súvislosti s vypracovaním predbežného návrhu odhadu rozpočtu Európskeho parlamentu na rozpočtový rok 2027,</w:t>
      </w:r>
    </w:p>
    <w:p w14:paraId="311C1B98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–</w:t>
      </w:r>
      <w:r w:rsidRPr="008E7827">
        <w:tab/>
        <w:t>so zreteľom na predbežný návrh odhadu rozpočtu, ktorý vypracovalo Predsedníctvo 9. marca 2026 v súlade s článkom 25 ods. 7 a článkom 104 ods. 1 rokovacieho poriadku,</w:t>
      </w:r>
    </w:p>
    <w:p w14:paraId="1E5B706F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–</w:t>
      </w:r>
      <w:r w:rsidRPr="008E7827">
        <w:tab/>
        <w:t>so zreteľom na návrh odhadu rozpočtu, ktorý vypracoval Výbor pre rozpočet v súlade s článkom 104 ods. 2 rokovacieho poriadku,</w:t>
      </w:r>
    </w:p>
    <w:p w14:paraId="34F5207A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–</w:t>
      </w:r>
      <w:r w:rsidRPr="008E7827">
        <w:tab/>
        <w:t>so zreteľom na článok 104 rokovacieho poriadku,</w:t>
      </w:r>
    </w:p>
    <w:p w14:paraId="3AEBAD1B" w14:textId="77777777" w:rsidR="0067692E" w:rsidRPr="008E7827" w:rsidRDefault="0067692E" w:rsidP="0067692E">
      <w:pPr>
        <w:pStyle w:val="Action"/>
        <w:tabs>
          <w:tab w:val="clear" w:pos="357"/>
        </w:tabs>
        <w:ind w:left="567" w:hanging="567"/>
        <w:outlineLvl w:val="0"/>
      </w:pPr>
      <w:r w:rsidRPr="008E7827">
        <w:t>–</w:t>
      </w:r>
      <w:r w:rsidRPr="008E7827">
        <w:tab/>
        <w:t>so zreteľom na správu Výboru pre rozpočet (A10-0124/2026),</w:t>
      </w:r>
    </w:p>
    <w:p w14:paraId="7E5CB4E7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A.</w:t>
      </w:r>
      <w:r w:rsidRPr="008E7827">
        <w:tab/>
        <w:t>keďže rozpočet, ktorý 9. februára 2026 navrhol generálny tajomník na účely predbežného návrhu odhadu rozpočtu Európskeho parlamentu na rok 2027, predstavuje 2 665 474 853 EUR a v porovnaní s rozpočtom na rok 2026 je vyšší o 2,33 % alebo 60 618 266 EUR;</w:t>
      </w:r>
    </w:p>
    <w:p w14:paraId="459508CA" w14:textId="77777777" w:rsidR="0067692E" w:rsidRPr="008E7827" w:rsidRDefault="0067692E" w:rsidP="0067692E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8E7827">
        <w:t>B.</w:t>
      </w:r>
      <w:r w:rsidRPr="008E7827">
        <w:tab/>
        <w:t>keďže zvýšenie o 2,33 %, ako ho navrhuje generálny tajomník, je spôsobené zvýšením o 2,01 % v prípade štatutárnych finančných záväzkov a o 2,89 % v prípade neštatutárnych výdavkov;</w:t>
      </w:r>
    </w:p>
    <w:p w14:paraId="017F056D" w14:textId="77777777" w:rsidR="0067692E" w:rsidRPr="008E7827" w:rsidRDefault="0067692E" w:rsidP="0067692E">
      <w:pPr>
        <w:pStyle w:val="Action"/>
        <w:tabs>
          <w:tab w:val="clear" w:pos="357"/>
        </w:tabs>
        <w:ind w:left="567" w:hanging="567"/>
        <w:outlineLvl w:val="0"/>
      </w:pPr>
      <w:r w:rsidRPr="008E7827">
        <w:t>C.</w:t>
      </w:r>
      <w:r w:rsidRPr="008E7827">
        <w:tab/>
        <w:t xml:space="preserve">keďže ročná inflácia v Únii podľa </w:t>
      </w:r>
      <w:proofErr w:type="spellStart"/>
      <w:r w:rsidRPr="008E7827">
        <w:t>Eurostatu</w:t>
      </w:r>
      <w:proofErr w:type="spellEnd"/>
      <w:r w:rsidRPr="008E7827">
        <w:t xml:space="preserve"> bola v decembri 2025 na úrovni 2,3 %, čo je zníženie z 2,7 % v decembri 2024; keďže úroveň výdavkov v okruhu 7 viacročného finančného rámca na roky 2021 – 2027 je založená na 2 % ročnom zvýšení;</w:t>
      </w:r>
    </w:p>
    <w:p w14:paraId="00FFEA7D" w14:textId="72035EDA" w:rsidR="0067692E" w:rsidRPr="008E7827" w:rsidRDefault="0067692E" w:rsidP="0067692E">
      <w:pPr>
        <w:pStyle w:val="Action"/>
        <w:tabs>
          <w:tab w:val="clear" w:pos="357"/>
        </w:tabs>
        <w:ind w:left="567" w:hanging="567"/>
        <w:outlineLvl w:val="0"/>
      </w:pPr>
      <w:r w:rsidRPr="008E7827">
        <w:lastRenderedPageBreak/>
        <w:t>D.</w:t>
      </w:r>
      <w:r w:rsidRPr="008E7827">
        <w:tab/>
        <w:t xml:space="preserve">keďže dôveryhodnosť </w:t>
      </w:r>
      <w:r w:rsidR="00A018F9" w:rsidRPr="008E7827">
        <w:t>Európskeho p</w:t>
      </w:r>
      <w:r w:rsidRPr="008E7827">
        <w:t>arlamentu závisí od jeho schopnosti plniť si svoju hlavnú rozpočtovú, legislatívnu a kontrolnú prácu na najvyššej úrovni a zároveň slúžiť ako príklad pre ostatné inštitúcie Únie, aby plánovali a vynakladali svoje výdavky obozretne a efektívne a aby zohľadňovali aktuálnu hospodársku realitu;</w:t>
      </w:r>
    </w:p>
    <w:p w14:paraId="74D36040" w14:textId="77777777" w:rsidR="0067692E" w:rsidRPr="008E7827" w:rsidRDefault="0067692E" w:rsidP="0067692E">
      <w:pPr>
        <w:pStyle w:val="NormalHanging12a"/>
        <w:rPr>
          <w:b/>
          <w:i/>
        </w:rPr>
      </w:pPr>
      <w:r w:rsidRPr="008E7827">
        <w:rPr>
          <w:b/>
          <w:i/>
        </w:rPr>
        <w:t>Všeobecný rámec</w:t>
      </w:r>
    </w:p>
    <w:p w14:paraId="6C206E58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1.</w:t>
      </w:r>
      <w:r w:rsidRPr="008E7827">
        <w:rPr>
          <w:color w:val="000000"/>
        </w:rPr>
        <w:tab/>
        <w:t>vyjadruje znepokojenie nad situáciou týkajúcou sa okruhu 7 v súčasnom VFR; pripomína, že obmedzenia sú výsledkom škrtov, ktoré Rada uplatnila na už aj tak veľmi nízky pôvodný návrh Komisie pri schvaľovaní VFR na roky 2021 – 2027, ako aj kumulovaného vplyvu vyššej inflácie, než sa očakávalo, počas niekoľkých rokov; vyjadruje poľutovanie nad nesúhlasom Rady s návrhom Komisie zvýšiť strop okruhu 7 v revízii VFR od roku 2024; upozorňuje, že v revízii VFR sa nevyriešila otázka stropu okruhu 7; zdôrazňuje, že predpokladaná záporná rezerva na rok 2027 znamená, že sa na tento účel použijú osobitné nástroje v okruhu 7; zdôrazňuje, že využívanie osobitných nástrojov by malo zostať výnimočné, riadne odôvodnené a obmedzené na nepredvídané okolnosti;</w:t>
      </w:r>
    </w:p>
    <w:p w14:paraId="333617A3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2.</w:t>
      </w:r>
      <w:r w:rsidRPr="008E7827">
        <w:rPr>
          <w:color w:val="000000"/>
        </w:rPr>
        <w:tab/>
        <w:t xml:space="preserve">schvaľuje dohodu dosiahnutú v zmierovacom postupe medzi Predsedníctvom a Výborom pre rozpočet 15. apríla 2026 o stanovení zvýšenia oproti rozpočtu na rok 2026 na 1,98 %, čo zodpovedá celkovej úrovni odhadu rozpočtu vo výške 2 656 435 753 EUR na rok 2027, a o zodpovedajúcom znížení navrhovaných rozpočtových prostriedkov o celkovú sumu 10 554 000 EUR v týchto rozpočtových riadkoch: </w:t>
      </w:r>
    </w:p>
    <w:p w14:paraId="3D3590D2" w14:textId="77777777" w:rsidR="0067692E" w:rsidRPr="008E7827" w:rsidRDefault="0067692E" w:rsidP="0067692E">
      <w:pPr>
        <w:widowControl/>
        <w:spacing w:after="240"/>
        <w:ind w:left="567"/>
        <w:rPr>
          <w:color w:val="000000"/>
        </w:rPr>
      </w:pPr>
      <w:r w:rsidRPr="008E7827">
        <w:rPr>
          <w:color w:val="000000"/>
        </w:rPr>
        <w:t>1 0 0 6 – Príspevok na všeobecné výdavky, 1 4 0 5 01 – Výdavky na tlmočenie: externé tlmočenie, 1 4 2 — Služby externého prekladu, 1 6 1 2 07 — Vzdelávanie a rozvoj: externé školenia pre GR ITEC, 2 0 0 7 04 — Výstavba budov a úprava priestorov: styčné kancelárie/</w:t>
      </w:r>
      <w:proofErr w:type="spellStart"/>
      <w:r w:rsidRPr="008E7827">
        <w:rPr>
          <w:color w:val="000000"/>
        </w:rPr>
        <w:t>Europa</w:t>
      </w:r>
      <w:proofErr w:type="spellEnd"/>
      <w:r w:rsidRPr="008E7827">
        <w:rPr>
          <w:color w:val="000000"/>
        </w:rPr>
        <w:t xml:space="preserve"> </w:t>
      </w:r>
      <w:proofErr w:type="spellStart"/>
      <w:r w:rsidRPr="008E7827">
        <w:rPr>
          <w:color w:val="000000"/>
        </w:rPr>
        <w:t>Experience</w:t>
      </w:r>
      <w:proofErr w:type="spellEnd"/>
      <w:r w:rsidRPr="008E7827">
        <w:rPr>
          <w:color w:val="000000"/>
        </w:rPr>
        <w:t xml:space="preserve">, 2 1 0 0 02 — Riadenie IT a kybernetická bezpečnosť – Bezpečnosť IKT, riziká a dodržiavanie predpisov, 2 1 0 0 03 — Riadenie IT a kybernetická bezpečnosť – Vznikajúce technológie, 2 1 0 1 02 — Správa obchodných aplikácií – Poskytovanie IT riešení, 2 1 0 1 13 — Správa obchodných aplikácií – GR FINS, 2 1 0 2 03 — Riadenie infraštruktúry a prevádzky – Telekomunikácie, 2 1 0 2 04 — Riadenie infraštruktúry a prevádzky – Podniková infraštruktúra, 2 1 0 2 05 — Riadenie infraštruktúry a prevádzky – Softvér – Infraštruktúra, 2 1 0 2 07 — Riadenie infraštruktúry a prevádzky – Riadenie tlače, 2 1 0 3 01 — Služby digitálneho pracoviska a vybavenie – Individuálne IT vybavenie, 2 1 2 0 01 — Nábytok: nákup, nájom, obnova, údržba a oprava nábytku, 2 1 6 0 01 — Preprava poslancov, iných osôb a tovaru: preprava poslancov (nájom a použitie), 3 0 0 0 02 — Náklady na služobné cesty zamestnancov medzi tromi pracoviskami: služobné cesty mimo troch pracovísk, 3 0 0 0 03 — Náklady na služobné cesty zamestnancov medzi tromi pracoviskami: vzdelávanie a rozvoj, 3 2 1 0 01 — Výdavky na parlamentné výskumné služby vrátane knižnice, historických archívov, vyhodnocovania vedeckých a technologických alternatív (STOA) a európskeho vedeckého mediálneho centra: posúdenie vplyvu a európska pridaná hodnota, 3 2 2 0 09 — Výdavky na dokumentáciu: predplatné a monitorovanie médií, 3 2 4 2 01 –– Výdavky na publikovanie, informovanie verejnosti a účasť na verejných podujatiach: informačné kampane, 3 2 4 3 01 — Návštevnícke centrá Európskeho parlamentu: </w:t>
      </w:r>
      <w:proofErr w:type="spellStart"/>
      <w:r w:rsidRPr="008E7827">
        <w:rPr>
          <w:color w:val="000000"/>
        </w:rPr>
        <w:t>Parlamentárium</w:t>
      </w:r>
      <w:proofErr w:type="spellEnd"/>
      <w:r w:rsidRPr="008E7827">
        <w:rPr>
          <w:color w:val="000000"/>
        </w:rPr>
        <w:t xml:space="preserve"> a centrá „</w:t>
      </w:r>
      <w:proofErr w:type="spellStart"/>
      <w:r w:rsidRPr="008E7827">
        <w:rPr>
          <w:color w:val="000000"/>
        </w:rPr>
        <w:t>Europa</w:t>
      </w:r>
      <w:proofErr w:type="spellEnd"/>
      <w:r w:rsidRPr="008E7827">
        <w:rPr>
          <w:color w:val="000000"/>
        </w:rPr>
        <w:t xml:space="preserve"> </w:t>
      </w:r>
      <w:proofErr w:type="spellStart"/>
      <w:r w:rsidRPr="008E7827">
        <w:rPr>
          <w:color w:val="000000"/>
        </w:rPr>
        <w:t>Experience</w:t>
      </w:r>
      <w:proofErr w:type="spellEnd"/>
      <w:r w:rsidRPr="008E7827">
        <w:rPr>
          <w:color w:val="000000"/>
        </w:rPr>
        <w:t xml:space="preserve">“, 3 2 4 3 02 — Návštevnícke centrá Európskeho parlamentu: Dom európskej histórie, 10 1 — Rezerva na nepredvídané výdavky. </w:t>
      </w:r>
    </w:p>
    <w:p w14:paraId="4B01A281" w14:textId="77777777" w:rsidR="0067692E" w:rsidRPr="008E7827" w:rsidRDefault="0067692E" w:rsidP="0067692E">
      <w:pPr>
        <w:widowControl/>
        <w:spacing w:after="240"/>
        <w:ind w:left="567"/>
        <w:rPr>
          <w:color w:val="000000"/>
        </w:rPr>
      </w:pPr>
      <w:r w:rsidRPr="008E7827">
        <w:rPr>
          <w:color w:val="000000"/>
        </w:rPr>
        <w:lastRenderedPageBreak/>
        <w:t>Okrem toho bolo prijaté rozhodnutie, že úroveň výdavkov predbežného návrhu odhadu rozpočtu, ktorý schválilo Predsedníctvo 9. marca 2026, sa zvýši o 1 514 900 EUR a zodpovedajúcim spôsobom sa zvýšia navrhované rozpočtové prostriedky v týchto rozpočtových riadkoch:</w:t>
      </w:r>
    </w:p>
    <w:p w14:paraId="18C3FD04" w14:textId="77777777" w:rsidR="0067692E" w:rsidRPr="008E7827" w:rsidRDefault="0067692E" w:rsidP="0067692E">
      <w:pPr>
        <w:widowControl/>
        <w:spacing w:after="240"/>
        <w:ind w:left="567"/>
        <w:rPr>
          <w:color w:val="000000"/>
        </w:rPr>
      </w:pPr>
      <w:r w:rsidRPr="008E7827">
        <w:rPr>
          <w:color w:val="000000"/>
        </w:rPr>
        <w:t xml:space="preserve">4 0 3 — Financovanie európskych politických nadácií a 4 4 0 — Náklady na schôdze a iné činnosti bývalých poslancov. </w:t>
      </w:r>
    </w:p>
    <w:p w14:paraId="31CE473D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3.</w:t>
      </w:r>
      <w:r w:rsidRPr="008E7827">
        <w:rPr>
          <w:color w:val="000000"/>
        </w:rPr>
        <w:tab/>
        <w:t>pripomína, že takmer dve tretiny rozpočtu tvoria štatutárne záväzky; pripomína, že indexáciu platov v súlade so služobným poriadkom a so štatútom poslancov Európskeho parlamentu v súčasnosti Komisia predpovedá na 2,2 % v júli 2026 a 2,3 % v júli 2027;</w:t>
      </w:r>
    </w:p>
    <w:p w14:paraId="518FBF42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4.</w:t>
      </w:r>
      <w:r w:rsidRPr="008E7827">
        <w:rPr>
          <w:color w:val="000000"/>
        </w:rPr>
        <w:tab/>
        <w:t>konštatuje, že zo zvýšenia o 51,6 milióna EUR v porovnaní s rozpočtom na rok 2026 predstavujú 32,6 milióna EUR štatutárne finančné záväzky, najmä na indexáciu platov úradníkov a dočasných zamestnancov (16,2 milióna EUR) a zmluvných zamestnancov (1,7 milióna EUR); víta skutočnosť, že od roku 2027 sa počíta s výnimočnou priamou pomocou pre všetkých stážistov pôsobiacich v Luxemburgu (až do výšky 500 EUR mesačne na stáž) s cieľom pomôcť im vyrovnať sa s rastúcimi nákladmi na bývanie; vyzýva na zabezpečenie prístupnosti stáží pre mladých ľudí v súvislosti s rastúcimi životnými nákladmi bez ohľadu na miesto výkonu práce; víta rozhodnutie Predsedníctva upustiť od indexácie príspevku na všeobecné výdavky na rok 2026;</w:t>
      </w:r>
    </w:p>
    <w:p w14:paraId="12A9277D" w14:textId="77777777" w:rsidR="0067692E" w:rsidRPr="008E7827" w:rsidRDefault="0067692E" w:rsidP="0067692E">
      <w:pPr>
        <w:widowControl/>
        <w:spacing w:after="240"/>
        <w:ind w:left="567" w:hanging="567"/>
        <w:rPr>
          <w:b/>
          <w:i/>
          <w:color w:val="000000"/>
        </w:rPr>
      </w:pPr>
      <w:r w:rsidRPr="008E7827">
        <w:rPr>
          <w:color w:val="000000"/>
        </w:rPr>
        <w:t>5.</w:t>
      </w:r>
      <w:r w:rsidRPr="008E7827">
        <w:rPr>
          <w:b/>
          <w:i/>
          <w:color w:val="000000"/>
        </w:rPr>
        <w:tab/>
      </w:r>
      <w:r w:rsidRPr="008E7827">
        <w:rPr>
          <w:color w:val="000000"/>
        </w:rPr>
        <w:t>berie na vedomie, že suma plánovaná na príspevok na asistentskú výpomoc sa odhaduje na základe historických trendov; zdôrazňuje, že poslanci nemôžu byť za žiadnych okolností zbavení svojho práva na plné využitie tohto príspevku v súlade s príslušnými pravidlami z dôvodu nedostupnosti v tomto rozpočtovom riadku; žiada generálneho tajomníka, aby pozorne monitoroval situáciu, informoval Výbor pre rozpočet o plnení tohto rozpočtového riadku a prijal príslušné opatrenia, ak existuje riziko nedostatočných finančných zdrojov;</w:t>
      </w:r>
    </w:p>
    <w:p w14:paraId="7E5C9816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6.</w:t>
      </w:r>
      <w:r w:rsidRPr="008E7827">
        <w:rPr>
          <w:color w:val="000000"/>
        </w:rPr>
        <w:tab/>
        <w:t xml:space="preserve">konštatuje, že Európsky parlament nepožaduje na rok 2027 žiadne dodatočné pracovné miesta, a to už štvrtý rok po sebe; </w:t>
      </w:r>
    </w:p>
    <w:p w14:paraId="41436E3E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7.</w:t>
      </w:r>
      <w:r w:rsidRPr="008E7827">
        <w:rPr>
          <w:color w:val="000000"/>
        </w:rPr>
        <w:tab/>
        <w:t xml:space="preserve">konštatuje, že zvýšenie neštatutárnych výdavkov medzi rokmi 2026 až 2027 predstavuje 2 %; </w:t>
      </w:r>
    </w:p>
    <w:p w14:paraId="52E909E1" w14:textId="77777777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rPr>
          <w:color w:val="000000"/>
        </w:rPr>
        <w:t>8.</w:t>
      </w:r>
      <w:r w:rsidRPr="008E7827">
        <w:rPr>
          <w:color w:val="000000"/>
        </w:rPr>
        <w:tab/>
        <w:t xml:space="preserve">víta prebiehajúcu prácu generálneho tajomníka v súlade s reformami, ktoré 16. júna 2025 navrhla predsedníčka </w:t>
      </w:r>
      <w:proofErr w:type="spellStart"/>
      <w:r w:rsidRPr="008E7827">
        <w:rPr>
          <w:color w:val="000000"/>
        </w:rPr>
        <w:t>Metsolová</w:t>
      </w:r>
      <w:proofErr w:type="spellEnd"/>
      <w:r w:rsidRPr="008E7827">
        <w:rPr>
          <w:color w:val="000000"/>
        </w:rPr>
        <w:t>, v oblasti administratívnej spolupráce, plánovania a zjednodušenia zameranú na zvýšenie efektívnosti, efektívne využívanie zdrojov a dosiahnutie úspor tam, kde je to možné; vyzýva na posilnenie mechanizmov podávania správ s cieľom zvýšiť transparentnosť a zodpovednosť; žiada generálneho tajomníka, aby Výboru pre rozpočet pravidelne poskytoval aktuálne informácie o vykonávaní akčného plánu na zjednodušenie administratívy, ako aj jeho vplyve na rozpočet a zamestnancov;</w:t>
      </w:r>
    </w:p>
    <w:p w14:paraId="512CCFE8" w14:textId="065AC15E" w:rsidR="0067692E" w:rsidRPr="008E7827" w:rsidRDefault="0067692E" w:rsidP="0067692E">
      <w:pPr>
        <w:pStyle w:val="action0"/>
        <w:ind w:left="0" w:firstLine="0"/>
        <w:rPr>
          <w:b/>
          <w:i/>
        </w:rPr>
      </w:pPr>
      <w:r w:rsidRPr="008E7827">
        <w:rPr>
          <w:b/>
          <w:i/>
        </w:rPr>
        <w:t xml:space="preserve">Posilnenie základných funkcií </w:t>
      </w:r>
      <w:r w:rsidR="00A018F9" w:rsidRPr="008E7827">
        <w:rPr>
          <w:b/>
          <w:bCs/>
          <w:i/>
          <w:iCs/>
        </w:rPr>
        <w:t>Európskeho</w:t>
      </w:r>
      <w:r w:rsidR="00A018F9" w:rsidRPr="008E7827">
        <w:t xml:space="preserve"> </w:t>
      </w:r>
      <w:r w:rsidR="00A018F9" w:rsidRPr="008E7827">
        <w:rPr>
          <w:b/>
          <w:i/>
        </w:rPr>
        <w:t>p</w:t>
      </w:r>
      <w:r w:rsidRPr="008E7827">
        <w:rPr>
          <w:b/>
          <w:i/>
        </w:rPr>
        <w:t>arlamentu</w:t>
      </w:r>
    </w:p>
    <w:p w14:paraId="3F30E8F3" w14:textId="62B8E37A" w:rsidR="0067692E" w:rsidRPr="008E7827" w:rsidRDefault="0067692E" w:rsidP="0067692E">
      <w:pPr>
        <w:widowControl/>
        <w:spacing w:after="240"/>
        <w:ind w:left="567" w:hanging="567"/>
        <w:rPr>
          <w:color w:val="000000"/>
        </w:rPr>
      </w:pPr>
      <w:r w:rsidRPr="008E7827">
        <w:t>9.</w:t>
      </w:r>
      <w:r w:rsidRPr="008E7827">
        <w:tab/>
        <w:t xml:space="preserve">berie na vedomie štyri nové tematické generálne riaditeľstvá (GR), ktoré fungujú od januára 2025 a sú zodpovedné za legislatívne, rozpočtové a kontrolné činnosti, s cieľom zlepšiť fungovanie </w:t>
      </w:r>
      <w:r w:rsidR="00A018F9" w:rsidRPr="008E7827">
        <w:t>Európskeho p</w:t>
      </w:r>
      <w:r w:rsidRPr="008E7827">
        <w:t xml:space="preserve">arlamentu ako </w:t>
      </w:r>
      <w:proofErr w:type="spellStart"/>
      <w:r w:rsidRPr="008E7827">
        <w:t>spoluzákonodarcu</w:t>
      </w:r>
      <w:proofErr w:type="spellEnd"/>
      <w:r w:rsidRPr="008E7827">
        <w:t>, jednej zložky rozpočtového orgánu a orgánu udeľujúceho absolutórium;</w:t>
      </w:r>
    </w:p>
    <w:p w14:paraId="52657ACF" w14:textId="69FB9F3A" w:rsidR="0067692E" w:rsidRDefault="0067692E" w:rsidP="0067692E">
      <w:pPr>
        <w:widowControl/>
        <w:spacing w:after="240"/>
        <w:ind w:left="567" w:hanging="567"/>
        <w:rPr>
          <w:iCs/>
        </w:rPr>
      </w:pPr>
      <w:r w:rsidRPr="008E7827">
        <w:lastRenderedPageBreak/>
        <w:t>10.</w:t>
      </w:r>
      <w:r w:rsidRPr="008E7827">
        <w:tab/>
        <w:t xml:space="preserve">berie na vedomie presun vnútorných zdrojov, pokiaľ ide o počet pridelených pracovných miest (+ 15 % v rokoch 2024 až 2026), rozpočtové krytie pre externých zamestnancov (položka 1 4 0 0, z 3,2 milióna EUR v roku 2024 na 8 miliónov EUR v roku 2027) a rozpočet na externé odborné poradenstvo (položka 3 2 0 0, z 3,2 milióna EUR v roku 2024 na 7,7 milióna EUR v roku 2027) s cieľom posilniť odborné znalosti poskytované poslancom; zdôrazňuje, že je potrebné zabezpečiť, aby tieto zvýšenia zostali odôvodnené, primerané a prinášali jasnú pridanú hodnotu; žiada generálneho tajomníka, aby Výboru pre rozpočet pravidelne poskytoval aktuálne informácie o vývoji a využívaní zdrojov v týchto štyroch nových generálnych riaditeľstvách; zdôrazňuje, že je potrebné zabezpečiť dôležitý cieľ, ktorým je posilnenie schopnosti </w:t>
      </w:r>
      <w:r w:rsidR="00A018F9" w:rsidRPr="008E7827">
        <w:t>Európskeho p</w:t>
      </w:r>
      <w:r w:rsidRPr="008E7827">
        <w:t xml:space="preserve">arlamentu podporovať prácu poslancov; takisto zdôrazňuje kľúčovú úlohu politických skupín </w:t>
      </w:r>
      <w:bookmarkStart w:id="8" w:name="_Hlk227243597"/>
      <w:r w:rsidRPr="008E7827">
        <w:t xml:space="preserve">pri poskytovaní odborných znalostí a politickej podpory </w:t>
      </w:r>
      <w:bookmarkEnd w:id="8"/>
      <w:r w:rsidRPr="008E7827">
        <w:t>poslancom pri ich legislatívnej a parlamentnej činnosti</w:t>
      </w:r>
      <w:r w:rsidRPr="004E7787">
        <w:t>;</w:t>
      </w:r>
      <w:r w:rsidRPr="00254BB3">
        <w:rPr>
          <w:i/>
        </w:rPr>
        <w:t xml:space="preserve"> </w:t>
      </w:r>
    </w:p>
    <w:p w14:paraId="42703018" w14:textId="148A6277" w:rsidR="004E7787" w:rsidRPr="004E7787" w:rsidRDefault="0091763B" w:rsidP="0067692E">
      <w:pPr>
        <w:widowControl/>
        <w:spacing w:after="240"/>
        <w:ind w:left="567" w:hanging="567"/>
        <w:rPr>
          <w:iCs/>
        </w:rPr>
      </w:pPr>
      <w:r>
        <w:rPr>
          <w:iCs/>
        </w:rPr>
        <w:t>11</w:t>
      </w:r>
      <w:r w:rsidR="004E7787" w:rsidRPr="004E7787">
        <w:rPr>
          <w:iCs/>
        </w:rPr>
        <w:t xml:space="preserve">. </w:t>
      </w:r>
      <w:r w:rsidR="004E7787" w:rsidRPr="004E7787">
        <w:rPr>
          <w:iCs/>
        </w:rPr>
        <w:tab/>
        <w:t>pripomína, že povinnosť chrániť finančné záujmy Ú</w:t>
      </w:r>
      <w:r>
        <w:rPr>
          <w:iCs/>
        </w:rPr>
        <w:t>nie</w:t>
      </w:r>
      <w:r w:rsidR="004E7787" w:rsidRPr="004E7787">
        <w:rPr>
          <w:iCs/>
        </w:rPr>
        <w:t xml:space="preserve"> sa rovnako vzťahuje na všetkých prijímateľov finančných prostriedkov Únie vrátane politických skupín pôsobiacich v </w:t>
      </w:r>
      <w:r>
        <w:rPr>
          <w:iCs/>
        </w:rPr>
        <w:t>Európskom p</w:t>
      </w:r>
      <w:r w:rsidR="004E7787" w:rsidRPr="004E7787">
        <w:rPr>
          <w:iCs/>
        </w:rPr>
        <w:t xml:space="preserve">arlamente; konštatuje, že vyšetrovania a opatrenia na vymáhanie týkajúce sa podozrení zo zneužitia finančných prostriedkov Únie bývalou skupinou Identita a demokracia, ktorá sa dnes transformovala na skupinu Patrioti pre Európu, sú dôkazom toho, aké dôležité sú spoľahlivé vnútorné kontroly, účinné overovania </w:t>
      </w:r>
      <w:r w:rsidR="004E7787" w:rsidRPr="00254BB3">
        <w:rPr>
          <w:i/>
        </w:rPr>
        <w:t>ex post</w:t>
      </w:r>
      <w:r w:rsidR="004E7787" w:rsidRPr="004E7787">
        <w:rPr>
          <w:iCs/>
        </w:rPr>
        <w:t xml:space="preserve"> a mechanizmy rýchleho vymáhania v rámci administratívy </w:t>
      </w:r>
      <w:r w:rsidR="004E7787">
        <w:rPr>
          <w:iCs/>
        </w:rPr>
        <w:t>Európskeho p</w:t>
      </w:r>
      <w:r w:rsidR="004E7787" w:rsidRPr="004E7787">
        <w:rPr>
          <w:iCs/>
        </w:rPr>
        <w:t xml:space="preserve">arlamentu; vyzýva administratívu </w:t>
      </w:r>
      <w:r w:rsidR="004E7787">
        <w:rPr>
          <w:iCs/>
        </w:rPr>
        <w:t>Európskeho p</w:t>
      </w:r>
      <w:r w:rsidR="004E7787" w:rsidRPr="004E7787">
        <w:rPr>
          <w:iCs/>
        </w:rPr>
        <w:t xml:space="preserve">arlamentu, aby bezodkladne dokončila všetky neukončené postupy vymáhania a postúpila všetky dôkazy o výdavkoch vykazujúcich nezrovnalosti úradu OLAF a Európskej prokuratúre; zdôrazňuje, že dôveryhodnosť štruktúry Únie na boj proti podvodom závisí od jej dôsledného uplatňovania na všetkých prijímateľov vrátane prijímateľov v samotnom </w:t>
      </w:r>
      <w:r w:rsidR="004E7787">
        <w:rPr>
          <w:iCs/>
        </w:rPr>
        <w:t>Európskom p</w:t>
      </w:r>
      <w:r w:rsidR="004E7787" w:rsidRPr="004E7787">
        <w:rPr>
          <w:iCs/>
        </w:rPr>
        <w:t>arlamente;</w:t>
      </w:r>
    </w:p>
    <w:p w14:paraId="1A252A72" w14:textId="77777777" w:rsidR="0067692E" w:rsidRPr="008E7827" w:rsidRDefault="0067692E" w:rsidP="0067692E">
      <w:pPr>
        <w:spacing w:after="240"/>
        <w:rPr>
          <w:b/>
          <w:i/>
          <w:color w:val="000000"/>
        </w:rPr>
      </w:pPr>
      <w:r w:rsidRPr="008E7827">
        <w:rPr>
          <w:b/>
          <w:i/>
          <w:color w:val="000000"/>
        </w:rPr>
        <w:t xml:space="preserve">Digitálna transformácia </w:t>
      </w:r>
    </w:p>
    <w:p w14:paraId="1EDA29B0" w14:textId="1BF03DE8" w:rsidR="0067692E" w:rsidRPr="008E7827" w:rsidRDefault="00321B16" w:rsidP="0067692E">
      <w:pPr>
        <w:pStyle w:val="action0"/>
        <w:ind w:left="567" w:hanging="567"/>
      </w:pPr>
      <w:r>
        <w:t>12</w:t>
      </w:r>
      <w:r w:rsidR="0067692E" w:rsidRPr="008E7827">
        <w:t>.</w:t>
      </w:r>
      <w:r w:rsidR="0067692E" w:rsidRPr="008E7827">
        <w:tab/>
      </w:r>
      <w:r w:rsidR="0067692E" w:rsidRPr="008E7827">
        <w:rPr>
          <w:color w:val="000000"/>
        </w:rPr>
        <w:t xml:space="preserve">konštatuje, že celkový rozpočet na IT tvorí 7,6 % celkového rozpočtu v odhadoch na rok 2027 a predstavuje 202,4 miliónov EUR; zdôrazňuje význam spoľahlivej </w:t>
      </w:r>
      <w:proofErr w:type="spellStart"/>
      <w:r w:rsidR="0067692E" w:rsidRPr="008E7827">
        <w:rPr>
          <w:color w:val="000000"/>
        </w:rPr>
        <w:t>kybernetickobezpečnostnej</w:t>
      </w:r>
      <w:proofErr w:type="spellEnd"/>
      <w:r w:rsidR="0067692E" w:rsidRPr="008E7827">
        <w:rPr>
          <w:color w:val="000000"/>
        </w:rPr>
        <w:t xml:space="preserve"> infraštruktúry v geopoliticky turbulentných časoch; pripomína plánované postupné zvyšovanie rozpočtových prostriedkov na kybernetickú bezpečnosť na 10 % rozpočtu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>arlamentu na IKT;</w:t>
      </w:r>
      <w:r w:rsidR="0067692E" w:rsidRPr="008E7827">
        <w:t xml:space="preserve"> konštatuje, že takéto plánované zvýšenie by sa malo vykonať čo najskôr;</w:t>
      </w:r>
    </w:p>
    <w:p w14:paraId="327E0959" w14:textId="6A83BC7A" w:rsidR="0067692E" w:rsidRPr="008E7827" w:rsidRDefault="00321B16" w:rsidP="0067692E">
      <w:pPr>
        <w:pStyle w:val="action0"/>
        <w:ind w:left="567" w:hanging="567"/>
      </w:pPr>
      <w:r>
        <w:t>13</w:t>
      </w:r>
      <w:r w:rsidR="0067692E" w:rsidRPr="008E7827">
        <w:t>.</w:t>
      </w:r>
      <w:r w:rsidR="0067692E" w:rsidRPr="008E7827">
        <w:tab/>
        <w:t xml:space="preserve">zdôrazňuje, že kybernetická bezpečnosť </w:t>
      </w:r>
      <w:r w:rsidR="00A018F9" w:rsidRPr="008E7827">
        <w:t>Európskeho p</w:t>
      </w:r>
      <w:r w:rsidR="0067692E" w:rsidRPr="008E7827">
        <w:t xml:space="preserve">arlamentu je kľúčovou prioritou v čase geopolitickej neistoty; konštatuje, že celková suma vyčlenená na kybernetickú bezpečnosť je 16,9 milióna EUR, čo zahŕňa zvýšenie v centralizovanom riadku kybernetickej bezpečnosti o 54 % v porovnaní s rokom 2026; pripomína, že investície do kybernetickej bezpečnosti sú kľúčom k ochrane demokratického hlasu Európskeho parlamentu a Únie a k zabezpečeniu riadneho fungovania </w:t>
      </w:r>
      <w:r w:rsidR="00A018F9" w:rsidRPr="008E7827">
        <w:t>Európskeho p</w:t>
      </w:r>
      <w:r w:rsidR="0067692E" w:rsidRPr="008E7827">
        <w:t>arlamentu;</w:t>
      </w:r>
    </w:p>
    <w:p w14:paraId="28396EF4" w14:textId="5AE2944C" w:rsidR="0067692E" w:rsidRPr="008E7827" w:rsidRDefault="00321B16" w:rsidP="0067692E">
      <w:pPr>
        <w:pStyle w:val="action0"/>
        <w:ind w:left="567" w:hanging="567"/>
      </w:pPr>
      <w:r>
        <w:t>14</w:t>
      </w:r>
      <w:r w:rsidR="0067692E" w:rsidRPr="008E7827">
        <w:t>.</w:t>
      </w:r>
      <w:r w:rsidR="0067692E" w:rsidRPr="008E7827">
        <w:tab/>
        <w:t xml:space="preserve">zdôrazňuje, že </w:t>
      </w:r>
      <w:r w:rsidR="00A018F9" w:rsidRPr="008E7827">
        <w:t>Európsky p</w:t>
      </w:r>
      <w:r w:rsidR="0067692E" w:rsidRPr="008E7827">
        <w:t xml:space="preserve">arlament musí byť priekopníkom v prijímaní väčšieho počtu digitálnych pracovných metód; víta investície do umelej inteligencie (AI) vo výške 1 milión EUR; žiada, aby sa zvýšilo využívanie umelej inteligencie s cieľom zvýšiť efektívnosť a posilniť suverenitu v tejto oblasti, pričom treba mať na pamäti súvisiace riziká vrátane etiky a ochrany údajov; zdôrazňuje, že pri zavádzaní umelej inteligencie sa inovácie musia vyvažovať s potrebnými zárukami; zdôrazňuje potenciál umelej inteligencie na zefektívnenie administratívnych postupov; nabáda na vypracovanie </w:t>
      </w:r>
      <w:r w:rsidR="0067692E" w:rsidRPr="008E7827">
        <w:lastRenderedPageBreak/>
        <w:t>jasných usmernení a záruk na zabezpečenie zodpovedného a transparentného zavádzania umelej inteligencie, podporu inovácií pri súčasnom dodržiavaní základných práv, bezpečnosti a zodpovednosti; konštatuje, že rozvoj umelej inteligencie sa bude pozorne monitorovať v súlade so zásadami stanovenými Predsedníctvom; zdôrazňuje, že investície do umelej inteligencie by sa nemali zameriavať len na administratívnu efektívnosť, ale aj na posilnenie demokratickej transparentnosti a zapojenia občanov;</w:t>
      </w:r>
    </w:p>
    <w:p w14:paraId="3E625564" w14:textId="41600ABD" w:rsidR="0067692E" w:rsidRPr="008E7827" w:rsidRDefault="00321B16" w:rsidP="008E7827">
      <w:pPr>
        <w:pStyle w:val="action0"/>
        <w:ind w:left="567" w:hanging="567"/>
        <w:rPr>
          <w:bCs/>
          <w:iCs/>
        </w:rPr>
      </w:pPr>
      <w:r>
        <w:t>15</w:t>
      </w:r>
      <w:r w:rsidR="0067692E" w:rsidRPr="008E7827">
        <w:t>.</w:t>
      </w:r>
      <w:r w:rsidR="0067692E" w:rsidRPr="008E7827">
        <w:tab/>
        <w:t xml:space="preserve">zdôrazňuje, že vzhľadom na geopolitický kontext a investície, ktoré bude musieť Európska únia vynaložiť na svoju strategickú autonómiu, musí Európsky parlament ísť príkladom; berie na vedomie prípravy konsolidovaného akčného plánu zameraného na posilnenie pozície </w:t>
      </w:r>
      <w:r w:rsidR="00A018F9" w:rsidRPr="008E7827">
        <w:t>Európskeho p</w:t>
      </w:r>
      <w:r w:rsidR="0067692E" w:rsidRPr="008E7827">
        <w:t xml:space="preserve">arlamentu k digitálnej suverenite; teší sa na pravidelné poskytovanie aktuálnych informácií o dosiahnutom pokroku; zdôrazňuje, že je dôležité zabezpečiť vysokú úroveň kybernetickej bezpečnosti, ochrany údajov a odolnosti v rámci digitálnej infraštruktúry </w:t>
      </w:r>
      <w:r w:rsidR="00A018F9" w:rsidRPr="008E7827">
        <w:t>Európskeho p</w:t>
      </w:r>
      <w:r w:rsidR="0067692E" w:rsidRPr="008E7827">
        <w:t xml:space="preserve">arlamentu; zdôrazňuje, že je potrebné dôkladne zhodnotiť riziká spojené so závislosťou od mimoeurópskych poskytovateľov, a to aj prostredníctvom posúdení rizík; zdôrazňuje, že je dôležité zachovať bezpečné, konkurencieschopné a spoľahlivé riešenia, a to aj, ak je to možné, uprednostňovaním európskych poskytovateľov; vyzýva na pravidelné hodnotenie komunikačných kanálov a digitálnych nástrojov </w:t>
      </w:r>
      <w:r w:rsidR="00A018F9" w:rsidRPr="008E7827">
        <w:t>Európskeho p</w:t>
      </w:r>
      <w:r w:rsidR="0067692E" w:rsidRPr="008E7827">
        <w:t>arlamentu na základe bezpečnosti a súladu s právom EÚ, a to v koordinácii s ostatnými inštitúciami EÚ, s cieľom zabezpečiť ochranu parlamentných údajov a integritu jeho komunikácie;</w:t>
      </w:r>
    </w:p>
    <w:p w14:paraId="145CE4A2" w14:textId="77777777" w:rsidR="0067692E" w:rsidRPr="008E7827" w:rsidRDefault="0067692E" w:rsidP="0067692E">
      <w:pPr>
        <w:pStyle w:val="action0"/>
        <w:ind w:left="0" w:firstLine="0"/>
        <w:rPr>
          <w:b/>
          <w:i/>
        </w:rPr>
      </w:pPr>
      <w:r w:rsidRPr="008E7827">
        <w:rPr>
          <w:b/>
          <w:i/>
        </w:rPr>
        <w:t>Infraštruktúra</w:t>
      </w:r>
    </w:p>
    <w:p w14:paraId="4ABBD7FE" w14:textId="1C88DA6A" w:rsidR="0067692E" w:rsidRPr="008E7827" w:rsidRDefault="00321B16" w:rsidP="0067692E">
      <w:pPr>
        <w:pStyle w:val="action0"/>
        <w:ind w:left="567" w:hanging="567"/>
        <w:rPr>
          <w:color w:val="000000"/>
        </w:rPr>
      </w:pPr>
      <w:r>
        <w:rPr>
          <w:color w:val="000000"/>
        </w:rPr>
        <w:t>16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>berie na vedomie nový prístup týkajúci sa budov, ktorý vstúpil do oblasti konsolidácie namiesto nadobúdania nových budov, pričom sa zohľadňuje udržateľnosť, prístupnosť a mobilita poslancov a zamestnancov, ako aj návštevníkov;</w:t>
      </w:r>
    </w:p>
    <w:p w14:paraId="235A0D82" w14:textId="492FE19C" w:rsidR="0067692E" w:rsidRPr="008E7827" w:rsidRDefault="00321B16" w:rsidP="0067692E">
      <w:pPr>
        <w:pStyle w:val="action0"/>
        <w:ind w:left="567" w:hanging="567"/>
        <w:rPr>
          <w:color w:val="000000"/>
        </w:rPr>
      </w:pPr>
      <w:r>
        <w:rPr>
          <w:color w:val="000000"/>
        </w:rPr>
        <w:t>17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berie na vedomie, že renovácia budovy SPAAK sa začne vykonávať od roku 2027; berie na vedomie, že celkový rozpočet na túto obnovu bol stanovený na 455 miliónov EUR a že na rok 2027 je naplánovaných 77,67 milióna EUR; zdôrazňuje, že tieto náklady nie sú zahrnuté do rozpočtu na rok 2027; </w:t>
      </w:r>
      <w:bookmarkStart w:id="9" w:name="_Hlk227680019"/>
      <w:r w:rsidR="0067692E" w:rsidRPr="008E7827">
        <w:rPr>
          <w:color w:val="000000"/>
        </w:rPr>
        <w:t>zdôrazňuje potrebu zabezpečiť prísnu kontrolu nákladov, transparentnosť a dodržiavanie plánovaného rozpočtu;</w:t>
      </w:r>
      <w:r w:rsidR="0067692E" w:rsidRPr="008E7827">
        <w:rPr>
          <w:b/>
          <w:i/>
          <w:color w:val="000000"/>
        </w:rPr>
        <w:t xml:space="preserve"> </w:t>
      </w:r>
      <w:bookmarkEnd w:id="9"/>
    </w:p>
    <w:p w14:paraId="50C4ECB9" w14:textId="4CEEF3FD" w:rsidR="0067692E" w:rsidRPr="008E7827" w:rsidRDefault="00321B16" w:rsidP="0067692E">
      <w:pPr>
        <w:pStyle w:val="action0"/>
        <w:ind w:left="567" w:hanging="567"/>
        <w:rPr>
          <w:color w:val="000000"/>
        </w:rPr>
      </w:pPr>
      <w:r>
        <w:rPr>
          <w:color w:val="000000"/>
        </w:rPr>
        <w:t>18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berie na vedomie, že </w:t>
      </w:r>
      <w:r w:rsidR="00A018F9" w:rsidRPr="008E7827">
        <w:t xml:space="preserve">Európsky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>arlament má v úmysle uzavrieť zmluvy o pôžičkách, a to aj s Európskou investičnou bankou, na financovanie projektu renovácie budovy SPAAK; berie na vedomie, že v rozpočte na rok 2027 sú zahrnuté náklady spojené s úrokmi (3,17 milióna EUR) a so splátkami istiny (0,65 milióna EUR). naliehavo požaduje, aby sa v prípade potreby jasne uviedli a zahrnuli do rozpočtu aj náklady, ktoré priamo nesúvisia s renovačnými prácami; vyzýva administratívu, aby Výbor pre rozpočet podrobne informovala o platných úrokových sadzbách pre úvery a o dlhodobom plánovaní splácania istiny; zdôrazňuje potrebu zabezpečiť obozretné riadenie dlhu;</w:t>
      </w:r>
    </w:p>
    <w:p w14:paraId="2DBA4D66" w14:textId="06131458" w:rsidR="0067692E" w:rsidRPr="008E7827" w:rsidRDefault="00321B16" w:rsidP="0067692E">
      <w:pPr>
        <w:pStyle w:val="action0"/>
        <w:ind w:left="567" w:hanging="567"/>
        <w:rPr>
          <w:b/>
          <w:bCs/>
          <w:i/>
          <w:iCs/>
          <w:color w:val="000000"/>
        </w:rPr>
      </w:pPr>
      <w:r>
        <w:rPr>
          <w:color w:val="000000"/>
        </w:rPr>
        <w:t>19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vyjadruje poľutovanie nad meškaním dokončenia centier </w:t>
      </w:r>
      <w:proofErr w:type="spellStart"/>
      <w:r w:rsidR="0067692E" w:rsidRPr="008E7827">
        <w:rPr>
          <w:color w:val="000000"/>
        </w:rPr>
        <w:t>Europa</w:t>
      </w:r>
      <w:proofErr w:type="spellEnd"/>
      <w:r w:rsidR="0067692E" w:rsidRPr="008E7827">
        <w:rPr>
          <w:color w:val="000000"/>
        </w:rPr>
        <w:t xml:space="preserve"> </w:t>
      </w:r>
      <w:proofErr w:type="spellStart"/>
      <w:r w:rsidR="0067692E" w:rsidRPr="008E7827">
        <w:rPr>
          <w:color w:val="000000"/>
        </w:rPr>
        <w:t>Experience</w:t>
      </w:r>
      <w:proofErr w:type="spellEnd"/>
      <w:r w:rsidR="0067692E" w:rsidRPr="008E7827">
        <w:rPr>
          <w:color w:val="000000"/>
        </w:rPr>
        <w:t xml:space="preserve"> vo všetkých členských štátoch; víta novú koncepciu, ktorú Predsedníctvo schválilo 31. marca 2025 a ktorej cieľom je optimalizovať využívanie priestorov </w:t>
      </w:r>
      <w:proofErr w:type="spellStart"/>
      <w:r w:rsidR="0067692E" w:rsidRPr="008E7827">
        <w:rPr>
          <w:color w:val="000000"/>
        </w:rPr>
        <w:t>Europa</w:t>
      </w:r>
      <w:proofErr w:type="spellEnd"/>
      <w:r w:rsidR="0067692E" w:rsidRPr="008E7827">
        <w:rPr>
          <w:color w:val="000000"/>
        </w:rPr>
        <w:t xml:space="preserve"> </w:t>
      </w:r>
      <w:proofErr w:type="spellStart"/>
      <w:r w:rsidR="0067692E" w:rsidRPr="008E7827">
        <w:rPr>
          <w:color w:val="000000"/>
        </w:rPr>
        <w:t>Experience</w:t>
      </w:r>
      <w:proofErr w:type="spellEnd"/>
      <w:r w:rsidR="0067692E" w:rsidRPr="008E7827">
        <w:rPr>
          <w:color w:val="000000"/>
        </w:rPr>
        <w:t xml:space="preserve">, pričom sa zohľadnia rôzne situácie v jednotlivých členských štátoch; zdôrazňuje, že je dôležité zabezpečiť, aby </w:t>
      </w:r>
      <w:proofErr w:type="spellStart"/>
      <w:r w:rsidR="0067692E" w:rsidRPr="008E7827">
        <w:rPr>
          <w:color w:val="000000"/>
        </w:rPr>
        <w:t>Europa</w:t>
      </w:r>
      <w:proofErr w:type="spellEnd"/>
      <w:r w:rsidR="0067692E" w:rsidRPr="008E7827">
        <w:rPr>
          <w:color w:val="000000"/>
        </w:rPr>
        <w:t xml:space="preserve"> </w:t>
      </w:r>
      <w:proofErr w:type="spellStart"/>
      <w:r w:rsidR="0067692E" w:rsidRPr="008E7827">
        <w:rPr>
          <w:color w:val="000000"/>
        </w:rPr>
        <w:t>Experience</w:t>
      </w:r>
      <w:proofErr w:type="spellEnd"/>
      <w:r w:rsidR="0067692E" w:rsidRPr="008E7827">
        <w:rPr>
          <w:color w:val="000000"/>
        </w:rPr>
        <w:t xml:space="preserve"> ponúkali zaujímavý zážitok pre návštevníkov s cieľom prilákať občanov; vyzýva na zriadenie centier </w:t>
      </w:r>
      <w:proofErr w:type="spellStart"/>
      <w:r w:rsidR="0067692E" w:rsidRPr="008E7827">
        <w:rPr>
          <w:color w:val="000000"/>
        </w:rPr>
        <w:t>Europa</w:t>
      </w:r>
      <w:proofErr w:type="spellEnd"/>
      <w:r w:rsidR="0067692E" w:rsidRPr="008E7827">
        <w:rPr>
          <w:color w:val="000000"/>
        </w:rPr>
        <w:t xml:space="preserve"> </w:t>
      </w:r>
      <w:proofErr w:type="spellStart"/>
      <w:r w:rsidR="0067692E" w:rsidRPr="008E7827">
        <w:rPr>
          <w:color w:val="000000"/>
        </w:rPr>
        <w:t>Experience</w:t>
      </w:r>
      <w:proofErr w:type="spellEnd"/>
      <w:r w:rsidR="0067692E" w:rsidRPr="008E7827">
        <w:rPr>
          <w:color w:val="000000"/>
        </w:rPr>
        <w:t xml:space="preserve">, pričom prioritou by mali byť členské štáty, ktoré sú najviac vzdialené od </w:t>
      </w:r>
      <w:r w:rsidR="0067692E" w:rsidRPr="008E7827">
        <w:rPr>
          <w:color w:val="000000"/>
        </w:rPr>
        <w:lastRenderedPageBreak/>
        <w:t xml:space="preserve">troch pracovísk, a zároveň by sa malo zabezpečiť, aby ich rozvoj a prevádzka zostali nákladovo efektívne; pripomína, že centrá </w:t>
      </w:r>
      <w:proofErr w:type="spellStart"/>
      <w:r w:rsidR="0067692E" w:rsidRPr="008E7827">
        <w:rPr>
          <w:color w:val="000000"/>
        </w:rPr>
        <w:t>Europa</w:t>
      </w:r>
      <w:proofErr w:type="spellEnd"/>
      <w:r w:rsidR="0067692E" w:rsidRPr="008E7827">
        <w:rPr>
          <w:color w:val="000000"/>
        </w:rPr>
        <w:t xml:space="preserve"> </w:t>
      </w:r>
      <w:proofErr w:type="spellStart"/>
      <w:r w:rsidR="0067692E" w:rsidRPr="008E7827">
        <w:rPr>
          <w:color w:val="000000"/>
        </w:rPr>
        <w:t>Experience</w:t>
      </w:r>
      <w:proofErr w:type="spellEnd"/>
      <w:r w:rsidR="0067692E" w:rsidRPr="008E7827">
        <w:rPr>
          <w:color w:val="000000"/>
        </w:rPr>
        <w:t xml:space="preserve"> by mali všetkým občanom umožniť lepšie pochopiť fungovanie inštitúcií Únie a naše spoločné hodnoty; zdôrazňuje potrebu efektívneho využívania rozpočtových prostriedkov pridelených týmto centrám s cieľom zabezpečiť, aby poskytovali komunikáciu s veľkým dosahom najmä na mladých ľudí a zraniteľné skupiny; zdôrazňuje, že financovanie by malo uprednostňovať šírenie vecných a dostupných informácií o miestnom vplyve politík EÚ, čo predstavuje nákladovo efektívny nástroj na ochranu demokratickej integrity Únie pred dezinformáciami;</w:t>
      </w:r>
    </w:p>
    <w:p w14:paraId="5F3813E0" w14:textId="250028DF" w:rsidR="0067692E" w:rsidRPr="008E7827" w:rsidRDefault="00321B16" w:rsidP="0067692E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20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pripomína význam programu Ambasádorská škola Európskeho parlamentu pre podporu aktívneho zapojenia mladých Európanov a programu odbornej prípravy pre mladých novinárov pomenovaného na počesť Davida </w:t>
      </w:r>
      <w:proofErr w:type="spellStart"/>
      <w:r w:rsidR="0067692E" w:rsidRPr="008E7827">
        <w:rPr>
          <w:color w:val="000000"/>
        </w:rPr>
        <w:t>Sassoliho</w:t>
      </w:r>
      <w:proofErr w:type="spellEnd"/>
      <w:r w:rsidR="0067692E" w:rsidRPr="008E7827">
        <w:rPr>
          <w:color w:val="000000"/>
        </w:rPr>
        <w:t xml:space="preserve"> s cieľom posilniť chápanie Únie a jej fungovania medzi novinármi ako najlepšieho prostriedku boja proti dezinformáciám, a to vzhľadom na nedávne trendy, ktoré poukazujú na znepokojujúci pokles slobody a nezávislosti médií v celej Únii;</w:t>
      </w:r>
    </w:p>
    <w:p w14:paraId="055F5FB4" w14:textId="122CAFA2" w:rsidR="0067692E" w:rsidRPr="008E7827" w:rsidRDefault="00321B16" w:rsidP="0067692E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21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>opakuje svoju podporu vybudovaniu celoeurópskeho pamätníka v Bruseli pre obete totalitných režimov 20. storočia, ktorý by odrážal rozmanitosť historických skúseností; vyzýva Predsedníctvo, aby túto záležitosť zvážilo s cieľom prijať rozhodnutie, pričom náležite zohľadní rozpočtové obmedzenia posledných rokov súčasného VFR a hospodárske ťažkosti, ktorým čelia európski občania;</w:t>
      </w:r>
    </w:p>
    <w:p w14:paraId="36E74260" w14:textId="575A8B4E" w:rsidR="0067692E" w:rsidRPr="008E7827" w:rsidRDefault="00321B16" w:rsidP="0067692E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22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>zdôrazňuje skutočnosť, že ak by mal Európsky parlament jediné sídlo, mohlo by to znížiť finančné a environmentálne náklady; pripomína, že podľa Zmluvy o Európskej únii musí mať Európsky parlament sídlo v Štrasburgu; konštatuje, že trvalé zmeny by si vyžadovali zmenu zmluvy, na ktorú je potrebná jednomyseľnosť;</w:t>
      </w:r>
    </w:p>
    <w:p w14:paraId="60EA2960" w14:textId="3420A883" w:rsidR="0067692E" w:rsidRPr="008E7827" w:rsidRDefault="0067692E" w:rsidP="0067692E">
      <w:pPr>
        <w:pStyle w:val="action0"/>
        <w:ind w:left="0" w:firstLine="0"/>
        <w:rPr>
          <w:b/>
          <w:i/>
          <w:color w:val="000000"/>
        </w:rPr>
      </w:pPr>
      <w:r w:rsidRPr="008E7827">
        <w:rPr>
          <w:b/>
          <w:i/>
          <w:color w:val="000000"/>
        </w:rPr>
        <w:t xml:space="preserve">Zelený </w:t>
      </w:r>
      <w:r w:rsidR="00A018F9" w:rsidRPr="008E7827">
        <w:rPr>
          <w:b/>
          <w:bCs/>
          <w:i/>
          <w:iCs/>
        </w:rPr>
        <w:t>Európsky</w:t>
      </w:r>
      <w:r w:rsidR="00A018F9" w:rsidRPr="008E7827">
        <w:t xml:space="preserve"> </w:t>
      </w:r>
      <w:r w:rsidR="00A018F9" w:rsidRPr="008E7827">
        <w:rPr>
          <w:b/>
          <w:i/>
          <w:color w:val="000000"/>
        </w:rPr>
        <w:t>p</w:t>
      </w:r>
      <w:r w:rsidRPr="008E7827">
        <w:rPr>
          <w:b/>
          <w:i/>
          <w:color w:val="000000"/>
        </w:rPr>
        <w:t xml:space="preserve">arlament </w:t>
      </w:r>
    </w:p>
    <w:p w14:paraId="1242332D" w14:textId="479F04AE" w:rsidR="0067692E" w:rsidRPr="008E7827" w:rsidRDefault="00321B16" w:rsidP="0067692E">
      <w:pPr>
        <w:widowControl/>
        <w:spacing w:after="240"/>
        <w:ind w:left="567" w:hanging="567"/>
        <w:rPr>
          <w:color w:val="000000"/>
        </w:rPr>
      </w:pPr>
      <w:r>
        <w:rPr>
          <w:color w:val="000000"/>
        </w:rPr>
        <w:t>23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víta ciele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 xml:space="preserve">arlamentu týkajúce sa systému environmentálneho manažérstva (EMAS) na roky 2025 – 2029; víta investície do infraštruktúry ako súčasť plánovaných opatrení v oblasti energetickej efektívnosti a environmentálnej obnovy na roky 2025 až 2029, čo je dobrým spôsobom na získanie hodnoty za vynaložené peniaze; berie na vedomie rozpočet 8,97 milióna EUR na investície do energetickej efektívnosti a životného prostredia v odhadoch na rok 2027 s cieľom ďalej zlepšovať environmentálne vlastnosti budov Európskeho parlamentu; konštatuje, že v porovnaní s rozpočtom na rok 2026 to zodpovedá zvýšeniu o 6,1 %; víta skutočnosť, že </w:t>
      </w:r>
      <w:r w:rsidR="00A018F9" w:rsidRPr="008E7827">
        <w:t xml:space="preserve">Európsky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 xml:space="preserve">arlament inštaloval a naďalej inštaluje </w:t>
      </w:r>
      <w:proofErr w:type="spellStart"/>
      <w:r w:rsidR="0067692E" w:rsidRPr="008E7827">
        <w:rPr>
          <w:color w:val="000000"/>
        </w:rPr>
        <w:t>fotovoltické</w:t>
      </w:r>
      <w:proofErr w:type="spellEnd"/>
      <w:r w:rsidR="0067692E" w:rsidRPr="008E7827">
        <w:rPr>
          <w:color w:val="000000"/>
        </w:rPr>
        <w:t xml:space="preserve"> solárne panely s cieľom ďalej zvyšovať podiel energie z obnoviteľných zdrojov vyrábanej na mieste; zdôrazňuje, že je potrebné zabezpečiť, aby takéto investície priniesli merateľné zvýšenie efektívnosti, a to aj vzhľadom na geopolitický kontext, a viedli k dlhodobým úsporám nákladov;</w:t>
      </w:r>
    </w:p>
    <w:p w14:paraId="10B1FD06" w14:textId="3A835CC8" w:rsidR="0067692E" w:rsidRPr="008E7827" w:rsidRDefault="00321B16" w:rsidP="0067692E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24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pripomína, že takmer dve tretiny uhlíkovej stopy Európskeho parlamentu pochádzajú z prepravy ľudí; konštatuje, že značná časť rozpočtu Európskeho parlamentu – v roku 2027 suma 162,1 milióna EUR – sa vynakladá na pokrytie výdavkov na služobné cesty poslancov a zamestnancov; vyzýva orgány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 xml:space="preserve">arlamentu, aby zvážili postupy služobných ciest mimo troch pracovísk a revíziu pravidiel a postupov služobných ciest s celkovým cieľom znížiť počet služobných ciest a súvisiace finančné a environmentálne náklady; nabáda poslancov, aby využívali </w:t>
      </w:r>
      <w:proofErr w:type="spellStart"/>
      <w:r w:rsidR="0067692E" w:rsidRPr="008E7827">
        <w:rPr>
          <w:color w:val="000000"/>
        </w:rPr>
        <w:t>nízkouhlíkové</w:t>
      </w:r>
      <w:proofErr w:type="spellEnd"/>
      <w:r w:rsidR="0067692E" w:rsidRPr="008E7827">
        <w:rPr>
          <w:color w:val="000000"/>
        </w:rPr>
        <w:t xml:space="preserve"> alternatívy dopravy a najvýhodnejšie letecké spojenia;</w:t>
      </w:r>
    </w:p>
    <w:p w14:paraId="17448116" w14:textId="5C8B28C4" w:rsidR="0067692E" w:rsidRPr="008E7827" w:rsidRDefault="00321B16" w:rsidP="0067692E">
      <w:pPr>
        <w:widowControl/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lastRenderedPageBreak/>
        <w:t>25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víta zvýšené využívanie verejnej dopravy na dochádzanie do zamestnania a zároveň berie na vedomie zvýšený dopyt po systéme finančných dotácií na sezónne cestovné lístky na verejnú dopravu, najmä v Bruseli, čo vedie k zvýšeniu rozpočtových prostriedkov; domnieva sa, že </w:t>
      </w:r>
      <w:r w:rsidR="00A018F9" w:rsidRPr="008E7827">
        <w:t xml:space="preserve">Európsky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>arlament musí ísť príkladom a podporovať možné opatrenia na zabezpečenie efektívneho využívania zdrojov posilnením udržateľných druhov dopravy na dochádzanie do zamestnania a vytvorením dodatočných stimulov na využívanie bicyklov na dochádzanie do zamestnania;</w:t>
      </w:r>
    </w:p>
    <w:p w14:paraId="3A18DB6B" w14:textId="61A7C550" w:rsidR="0067692E" w:rsidRPr="008E7827" w:rsidRDefault="00321B16" w:rsidP="0067692E">
      <w:pPr>
        <w:widowControl/>
        <w:spacing w:after="240"/>
        <w:ind w:left="567" w:hanging="567"/>
        <w:rPr>
          <w:color w:val="000000"/>
        </w:rPr>
      </w:pPr>
      <w:r>
        <w:rPr>
          <w:color w:val="000000"/>
        </w:rPr>
        <w:t>26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berie na vedomie výrazné zvýšenie cien uhlíkových kreditov, čo si by pri súčasných úrovniach emisií vyžiadalo na rok 2027 podľa odhadov 950 000 EUR; vyzýva administratívu, aby uprednostnila zníženie emisií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>arlamentu, a to aj zvýšením investícií do čistých vykurovacích, vetracích a klimatizačných systémov, najmä zariadení tepelných čerpadiel v Bruseli, a iných primeraných a nákladovo efektívnych opatrení na zníženie emisií, ak je to vhodné, pred nákupom uhlíkových kreditov; víta rozšírenie ponuky vlakov na služobné cesty do Štrasburgu od júna 2025 ako pozitívny krok k zníženiu emisií CO</w:t>
      </w:r>
      <w:r w:rsidR="0067692E" w:rsidRPr="00254BB3">
        <w:rPr>
          <w:color w:val="000000"/>
          <w:vertAlign w:val="subscript"/>
        </w:rPr>
        <w:t>2</w:t>
      </w:r>
      <w:r w:rsidR="0067692E" w:rsidRPr="008E7827">
        <w:rPr>
          <w:color w:val="000000"/>
        </w:rPr>
        <w:t xml:space="preserve">; </w:t>
      </w:r>
    </w:p>
    <w:p w14:paraId="66A67B13" w14:textId="77777777" w:rsidR="0067692E" w:rsidRPr="008E7827" w:rsidRDefault="0067692E" w:rsidP="0067692E">
      <w:pPr>
        <w:pStyle w:val="action0"/>
        <w:ind w:left="0" w:firstLine="0"/>
        <w:rPr>
          <w:b/>
          <w:i/>
          <w:color w:val="000000"/>
        </w:rPr>
      </w:pPr>
      <w:r w:rsidRPr="008E7827">
        <w:rPr>
          <w:b/>
          <w:i/>
          <w:color w:val="000000"/>
        </w:rPr>
        <w:t>Iné</w:t>
      </w:r>
    </w:p>
    <w:p w14:paraId="1BCC74A0" w14:textId="7C496D4B" w:rsidR="0067692E" w:rsidRPr="008E7827" w:rsidRDefault="00321B16" w:rsidP="0067692E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27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vyzýva Konferenciu predsedov, aby bez ďalšieho odkladu predložila rozhodnutie týkajúce sa príslušných článkov svojich vnútorných pravidiel týkajúcich sa účasti akreditovaných asistentov poslancov, ktorí sprevádzajú poslancov na oficiálnych služobných cestách a delegáciách mimo troch pracovísk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 xml:space="preserve">arlamentu, ak sekretariátu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>arlamentu nebola oficiálne oznámená účasť žiadneho zamestnanca ich politickej skupiny na služobnej ceste;</w:t>
      </w:r>
    </w:p>
    <w:p w14:paraId="0DA2E71C" w14:textId="27F2D148" w:rsidR="0067692E" w:rsidRDefault="00321B16" w:rsidP="0067692E">
      <w:pPr>
        <w:spacing w:after="240"/>
        <w:ind w:left="567" w:hanging="567"/>
        <w:rPr>
          <w:b/>
          <w:i/>
          <w:color w:val="000000"/>
        </w:rPr>
      </w:pPr>
      <w:r>
        <w:rPr>
          <w:color w:val="000000"/>
        </w:rPr>
        <w:t>28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>domnieva sa, že Európsky parlament by mal ísť príkladom, pokiaľ ide o práva osôb so zdravotným postihnutím, a to ako zamestnávateľ aj ako verejná inštitúcia; víta politiku Európskeho parlamentu zameranú na zabezpečenie plne nezávislého využívania jeho budov osobami so zdravotným postihnutím a podporuje ďalšie opatrenia a úpravy, ktoré sú v tejto súvislosti potrebné; konštatuje, že rozpočet na tento účel poskytuje 2,07 milióna EUR na budovy v Štrasburgu; zdôrazňuje, že prístupnosť by mala byť kľúčovým kritériom pri obnove budovy SPAAK a rozvoji všetkých digitálnych platforiem;</w:t>
      </w:r>
      <w:r w:rsidR="0067692E" w:rsidRPr="008E7827">
        <w:rPr>
          <w:b/>
          <w:i/>
          <w:color w:val="000000"/>
        </w:rPr>
        <w:t xml:space="preserve"> </w:t>
      </w:r>
    </w:p>
    <w:p w14:paraId="6640851D" w14:textId="29537486" w:rsidR="00E300B5" w:rsidRPr="00254BB3" w:rsidRDefault="00321B16" w:rsidP="0067692E">
      <w:pPr>
        <w:spacing w:after="240"/>
        <w:ind w:left="567" w:hanging="567"/>
        <w:rPr>
          <w:bCs/>
          <w:iCs/>
          <w:color w:val="000000"/>
        </w:rPr>
      </w:pPr>
      <w:r>
        <w:rPr>
          <w:bCs/>
          <w:iCs/>
          <w:color w:val="000000"/>
        </w:rPr>
        <w:t>29</w:t>
      </w:r>
      <w:r w:rsidR="00E300B5" w:rsidRPr="00254BB3">
        <w:rPr>
          <w:bCs/>
          <w:iCs/>
          <w:color w:val="000000"/>
        </w:rPr>
        <w:t xml:space="preserve">. </w:t>
      </w:r>
      <w:r w:rsidR="00E300B5" w:rsidRPr="00254BB3">
        <w:rPr>
          <w:bCs/>
          <w:iCs/>
          <w:color w:val="000000"/>
        </w:rPr>
        <w:tab/>
        <w:t xml:space="preserve">víta nedávne iniciatívy, ktoré schválila Konferencia predsedov a Predsedníctvo a ktorých cieľom je umožniť poslankyniam v </w:t>
      </w:r>
      <w:proofErr w:type="spellStart"/>
      <w:r w:rsidR="00E300B5" w:rsidRPr="00254BB3">
        <w:rPr>
          <w:bCs/>
          <w:iCs/>
          <w:color w:val="000000"/>
        </w:rPr>
        <w:t>perinatálnom</w:t>
      </w:r>
      <w:proofErr w:type="spellEnd"/>
      <w:r w:rsidR="00E300B5" w:rsidRPr="00254BB3">
        <w:rPr>
          <w:bCs/>
          <w:iCs/>
          <w:color w:val="000000"/>
        </w:rPr>
        <w:t xml:space="preserve"> období hlasovať cez zástupcu, čo uznáva ako pozitívny krok smerom k väčšej </w:t>
      </w:r>
      <w:proofErr w:type="spellStart"/>
      <w:r w:rsidR="00E300B5" w:rsidRPr="00254BB3">
        <w:rPr>
          <w:bCs/>
          <w:iCs/>
          <w:color w:val="000000"/>
        </w:rPr>
        <w:t>inkluzívnosti</w:t>
      </w:r>
      <w:proofErr w:type="spellEnd"/>
      <w:r w:rsidR="00E300B5" w:rsidRPr="00254BB3">
        <w:rPr>
          <w:bCs/>
          <w:iCs/>
          <w:color w:val="000000"/>
        </w:rPr>
        <w:t xml:space="preserve"> parlamentnej práce, a vyzýva všetky strany, aby urýchlene vykonali toto opatrenie; trvá však na tom, že toto opatrenie dostatočne nerieši opakované výzvy </w:t>
      </w:r>
      <w:r w:rsidR="00E300B5" w:rsidRPr="008E7827">
        <w:t xml:space="preserve">Európskeho </w:t>
      </w:r>
      <w:r w:rsidR="00E300B5">
        <w:t>p</w:t>
      </w:r>
      <w:r w:rsidR="00E300B5" w:rsidRPr="00254BB3">
        <w:rPr>
          <w:bCs/>
          <w:iCs/>
          <w:color w:val="000000"/>
        </w:rPr>
        <w:t xml:space="preserve">arlamentu, aby sa zaručili hlasovacie práva nielen poslankyniam v </w:t>
      </w:r>
      <w:proofErr w:type="spellStart"/>
      <w:r w:rsidR="00E300B5" w:rsidRPr="00254BB3">
        <w:rPr>
          <w:bCs/>
          <w:iCs/>
          <w:color w:val="000000"/>
        </w:rPr>
        <w:t>perinatálnom</w:t>
      </w:r>
      <w:proofErr w:type="spellEnd"/>
      <w:r w:rsidR="00E300B5" w:rsidRPr="00254BB3">
        <w:rPr>
          <w:bCs/>
          <w:iCs/>
          <w:color w:val="000000"/>
        </w:rPr>
        <w:t xml:space="preserve"> období, ale aj poslancom a poslankyniam na rodičovskej alebo otcovskej dovolenke alebo dlhodobo práceneschopným;</w:t>
      </w:r>
    </w:p>
    <w:p w14:paraId="3D88CD80" w14:textId="46D7B97D" w:rsidR="0067692E" w:rsidRPr="008E7827" w:rsidRDefault="00321B16" w:rsidP="0067692E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30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</w:r>
      <w:r w:rsidR="00DF075A" w:rsidRPr="00DF075A">
        <w:rPr>
          <w:color w:val="000000"/>
        </w:rPr>
        <w:t xml:space="preserve">vyjadruje znepokojenie nad tým, že kvalitu a kontinuitu služieb poskytovaných jasľami </w:t>
      </w:r>
      <w:r w:rsidR="00E300B5" w:rsidRPr="008E7827">
        <w:t xml:space="preserve">Európskeho </w:t>
      </w:r>
      <w:r w:rsidR="00E300B5">
        <w:t>p</w:t>
      </w:r>
      <w:r w:rsidR="00DF075A" w:rsidRPr="00DF075A">
        <w:rPr>
          <w:color w:val="000000"/>
        </w:rPr>
        <w:t xml:space="preserve">arlamentu </w:t>
      </w:r>
      <w:proofErr w:type="spellStart"/>
      <w:r w:rsidR="00DF075A" w:rsidRPr="00DF075A">
        <w:rPr>
          <w:color w:val="000000"/>
        </w:rPr>
        <w:t>Wayenberg</w:t>
      </w:r>
      <w:proofErr w:type="spellEnd"/>
      <w:r w:rsidR="00DF075A" w:rsidRPr="00DF075A">
        <w:rPr>
          <w:color w:val="000000"/>
        </w:rPr>
        <w:t xml:space="preserve"> ovplyvňujú časté zmeny poskytovateľov služieb od roku 2020 spolu s výzvami súvisiacimi s nedostatkom zamestnancov, vysokou mierou absencií zamestnancov a fluktuáciou zamestnancov v jasliach; </w:t>
      </w:r>
      <w:r w:rsidR="0067692E" w:rsidRPr="008E7827">
        <w:rPr>
          <w:color w:val="000000"/>
        </w:rPr>
        <w:t xml:space="preserve">berie na vedomie </w:t>
      </w:r>
      <w:r w:rsidR="00DF075A" w:rsidRPr="00DF075A">
        <w:rPr>
          <w:color w:val="000000"/>
        </w:rPr>
        <w:t xml:space="preserve">udelenie súčasnej zákazky na služby starostlivosti o deti v </w:t>
      </w:r>
      <w:r w:rsidR="00E300B5" w:rsidRPr="008E7827">
        <w:t>Európsk</w:t>
      </w:r>
      <w:r w:rsidR="00E300B5">
        <w:t>om</w:t>
      </w:r>
      <w:r w:rsidR="00E300B5" w:rsidRPr="008E7827">
        <w:t xml:space="preserve"> </w:t>
      </w:r>
      <w:r w:rsidR="00E300B5">
        <w:rPr>
          <w:color w:val="000000"/>
        </w:rPr>
        <w:t>p</w:t>
      </w:r>
      <w:r w:rsidR="00DF075A" w:rsidRPr="00DF075A">
        <w:rPr>
          <w:color w:val="000000"/>
        </w:rPr>
        <w:t xml:space="preserve">arlamente v Bruseli novej spoločnosti, ktorá bola založená krátko po uverejnení verejnej súťaže a údajne je prepojená s bývalým poskytovateľom, spoločnosťou </w:t>
      </w:r>
      <w:proofErr w:type="spellStart"/>
      <w:r w:rsidR="00DF075A" w:rsidRPr="00DF075A">
        <w:rPr>
          <w:color w:val="000000"/>
        </w:rPr>
        <w:t>Esedra</w:t>
      </w:r>
      <w:proofErr w:type="spellEnd"/>
      <w:r w:rsidR="00DF075A" w:rsidRPr="00DF075A">
        <w:rPr>
          <w:color w:val="000000"/>
        </w:rPr>
        <w:t xml:space="preserve">; pripomína, že </w:t>
      </w:r>
      <w:r w:rsidR="00E300B5" w:rsidRPr="008E7827">
        <w:lastRenderedPageBreak/>
        <w:t>Európsk</w:t>
      </w:r>
      <w:r w:rsidR="00E300B5">
        <w:t>y</w:t>
      </w:r>
      <w:r w:rsidR="00E300B5" w:rsidRPr="008E7827">
        <w:t xml:space="preserve"> </w:t>
      </w:r>
      <w:r w:rsidR="00E300B5">
        <w:t>p</w:t>
      </w:r>
      <w:r w:rsidR="00DF075A" w:rsidRPr="00DF075A">
        <w:rPr>
          <w:color w:val="000000"/>
        </w:rPr>
        <w:t xml:space="preserve">arlament predčasne ukončil zmluvu </w:t>
      </w:r>
      <w:r w:rsidR="0067692E" w:rsidRPr="008E7827">
        <w:rPr>
          <w:color w:val="000000"/>
        </w:rPr>
        <w:t xml:space="preserve">s predchádzajúcim poskytovateľom služieb v jasliach </w:t>
      </w:r>
      <w:proofErr w:type="spellStart"/>
      <w:r w:rsidR="0067692E" w:rsidRPr="008E7827">
        <w:rPr>
          <w:color w:val="000000"/>
        </w:rPr>
        <w:t>Wayenberg</w:t>
      </w:r>
      <w:proofErr w:type="spellEnd"/>
      <w:r w:rsidR="00DF075A" w:rsidRPr="00DF075A">
        <w:rPr>
          <w:color w:val="000000"/>
        </w:rPr>
        <w:t xml:space="preserve">, spoločnosťou </w:t>
      </w:r>
      <w:proofErr w:type="spellStart"/>
      <w:r w:rsidR="00DF075A" w:rsidRPr="00DF075A">
        <w:rPr>
          <w:color w:val="000000"/>
        </w:rPr>
        <w:t>Esedra</w:t>
      </w:r>
      <w:proofErr w:type="spellEnd"/>
      <w:r w:rsidR="00DF075A" w:rsidRPr="00DF075A">
        <w:rPr>
          <w:color w:val="000000"/>
        </w:rPr>
        <w:t>,</w:t>
      </w:r>
      <w:r w:rsidR="0067692E" w:rsidRPr="008E7827">
        <w:rPr>
          <w:color w:val="000000"/>
        </w:rPr>
        <w:t xml:space="preserve"> po niekoľkých závažných obvineniach </w:t>
      </w:r>
      <w:r w:rsidR="0001174D">
        <w:rPr>
          <w:color w:val="000000"/>
        </w:rPr>
        <w:t xml:space="preserve">tohto </w:t>
      </w:r>
      <w:r w:rsidR="00DF075A" w:rsidRPr="00DF075A">
        <w:rPr>
          <w:color w:val="000000"/>
        </w:rPr>
        <w:t>dodávateľa</w:t>
      </w:r>
      <w:r w:rsidR="0067692E" w:rsidRPr="008E7827">
        <w:rPr>
          <w:color w:val="000000"/>
        </w:rPr>
        <w:t xml:space="preserve">; opakuje, že dôstojné pracovné podmienky </w:t>
      </w:r>
      <w:r w:rsidR="00DF075A" w:rsidRPr="00DF075A">
        <w:rPr>
          <w:color w:val="000000"/>
        </w:rPr>
        <w:t xml:space="preserve">a primerané odmeny </w:t>
      </w:r>
      <w:r w:rsidR="0067692E" w:rsidRPr="008E7827">
        <w:rPr>
          <w:color w:val="000000"/>
        </w:rPr>
        <w:t xml:space="preserve">pre externých zamestnancov, ako </w:t>
      </w:r>
      <w:r w:rsidR="00DF075A">
        <w:rPr>
          <w:color w:val="000000"/>
        </w:rPr>
        <w:t>aj</w:t>
      </w:r>
      <w:r w:rsidR="00DF075A" w:rsidRPr="008E7827">
        <w:rPr>
          <w:color w:val="000000"/>
        </w:rPr>
        <w:t xml:space="preserve"> </w:t>
      </w:r>
      <w:r w:rsidR="0067692E" w:rsidRPr="008E7827">
        <w:rPr>
          <w:color w:val="000000"/>
        </w:rPr>
        <w:t>odborná príprava, rozvoj zručností</w:t>
      </w:r>
      <w:r w:rsidR="00DF075A" w:rsidRPr="00DF075A">
        <w:rPr>
          <w:color w:val="000000"/>
        </w:rPr>
        <w:t>, opatrenia proti násiliu a obťažovaniu, zmysluplný sociálny dialóg</w:t>
      </w:r>
      <w:r w:rsidR="0067692E" w:rsidRPr="008E7827">
        <w:rPr>
          <w:color w:val="000000"/>
        </w:rPr>
        <w:t xml:space="preserve"> a investície do dobrých pracovných podmienok zamestnancov, by mali byť v relevantných prípadoch vo verejnom obstarávaní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 xml:space="preserve">arlamentu </w:t>
      </w:r>
      <w:r w:rsidR="006D74F1">
        <w:rPr>
          <w:color w:val="000000"/>
        </w:rPr>
        <w:t> z princípu</w:t>
      </w:r>
      <w:r w:rsidR="0067692E" w:rsidRPr="008E7827">
        <w:rPr>
          <w:color w:val="000000"/>
        </w:rPr>
        <w:t xml:space="preserve"> prioritou;</w:t>
      </w:r>
      <w:r w:rsidR="00DF075A">
        <w:rPr>
          <w:color w:val="000000"/>
        </w:rPr>
        <w:t xml:space="preserve"> </w:t>
      </w:r>
      <w:r w:rsidR="00DF075A" w:rsidRPr="00DF075A">
        <w:rPr>
          <w:color w:val="000000"/>
        </w:rPr>
        <w:t xml:space="preserve">požaduje nezávislý externý audit postupu verejnej súťaže a plnenia súčasnej zmluvy vrátane nezávislého externého posúdenia pracovných podmienok a dobrých pracovných podmienok zamestnancov; </w:t>
      </w:r>
    </w:p>
    <w:p w14:paraId="44408769" w14:textId="5CF3BDA9" w:rsidR="0067692E" w:rsidRPr="008E7827" w:rsidRDefault="004F3360" w:rsidP="0067692E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31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víta rodinnú miestnosť v Štrasburgu ako cennú podporu pre poslancov a zamestnancov s malými deťmi počas ich parlamentných činností; konštatuje však, že má obmedzenú kapacitu pre 30 detí; konštatuje, že priemerný vek poslancov Európskeho parlamentu a zamestnancov </w:t>
      </w:r>
      <w:r w:rsidR="00A018F9" w:rsidRPr="008E7827">
        <w:t xml:space="preserve">Európskeho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>arlamentu sa v posledných rokoch znížil, čo viedlo k vyššiemu počtu mladých rodín a zvýšenému dopytu po zariadeniach starostlivosti o deti; vyzýva Predsedníctvo a generálneho tajomníka, aby našli a zrealizovali riešenia na ďalšie zlepšenie starostlivosti o deti v Štrasburgu;</w:t>
      </w:r>
    </w:p>
    <w:p w14:paraId="7A978DCC" w14:textId="0DBFE0A7" w:rsidR="0067692E" w:rsidRPr="008E7827" w:rsidRDefault="004F3360" w:rsidP="0067692E">
      <w:pPr>
        <w:spacing w:after="240"/>
        <w:ind w:left="567" w:hanging="567"/>
        <w:rPr>
          <w:color w:val="000000"/>
        </w:rPr>
      </w:pPr>
      <w:r>
        <w:rPr>
          <w:color w:val="000000"/>
        </w:rPr>
        <w:t>32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opätovne potvrdzuje svoju výzvu generálnemu tajomníkovi, aby trval na základnej zásade, že všetky nábory zamestnancov by mali byť založené na ich kvalifikácii, a aby zároveň zabezpečil geografickú rovnováhu medzi všetkými členskými štátmi na všetkých úrovniach zamestnancov; zdôrazňuje, že dosiahnutie spravodlivého geografického zastúpenia na všetkých úrovniach správy, aj pri zohľadnení veku a rodu, je nevyhnutné na podporu skutočne európskej verejnej služby; konštatuje, že </w:t>
      </w:r>
      <w:r w:rsidR="00A018F9" w:rsidRPr="008E7827">
        <w:t xml:space="preserve">Európsky </w:t>
      </w:r>
      <w:r w:rsidR="00A018F9" w:rsidRPr="008E7827">
        <w:rPr>
          <w:color w:val="000000"/>
        </w:rPr>
        <w:t>p</w:t>
      </w:r>
      <w:r w:rsidR="0067692E" w:rsidRPr="008E7827">
        <w:rPr>
          <w:color w:val="000000"/>
        </w:rPr>
        <w:t xml:space="preserve">arlament prijíma opatrenia na podporu tohto cieľa vrátane organizovania výberových konaní podľa štátnej príslušnosti; zdôrazňuje, že je potrebné urýchliť procesy výberových konaní a zároveň zachovať prísny prístup k výberu založený na zásluhách; </w:t>
      </w:r>
    </w:p>
    <w:p w14:paraId="2327D654" w14:textId="151A1B7F" w:rsidR="0067692E" w:rsidRPr="008E7827" w:rsidRDefault="004F3360" w:rsidP="0067692E">
      <w:pPr>
        <w:spacing w:after="240"/>
        <w:ind w:left="567" w:hanging="567"/>
        <w:rPr>
          <w:color w:val="000000"/>
        </w:rPr>
      </w:pPr>
      <w:r>
        <w:rPr>
          <w:color w:val="000000"/>
        </w:rPr>
        <w:t>33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 xml:space="preserve">zdôrazňuje, že viacjazyčnosť je kľúčovou zásadou, na ktorej sa zakladá práca Európskeho parlamentu; žiada, aby Európsky parlament vo vhodných prípadoch využil významný technologický vývoj v oblasti služieb súvisiacich s viacjazyčnosťou vrátane vývoja a využívania umelej inteligencie; </w:t>
      </w:r>
    </w:p>
    <w:p w14:paraId="4A561ADF" w14:textId="259D8CCA" w:rsidR="0067692E" w:rsidRPr="008E7827" w:rsidRDefault="004F3360" w:rsidP="0067692E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34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>berie na vedomie rozsudok Všeobecného súdu Súdneho dvora Európskej únie zo 17. decembra 2025, ktorým sa potvrdzuje zákonnosť opatrení prijatých Predsedníctvom v roku 2023 v súvislosti s dobrovoľným dôchodkovým fondom poslancov</w:t>
      </w:r>
      <w:r w:rsidR="0067692E" w:rsidRPr="008E7827">
        <w:rPr>
          <w:rStyle w:val="FootnoteReference"/>
          <w:bCs/>
          <w:iCs/>
          <w:color w:val="000000"/>
        </w:rPr>
        <w:footnoteReference w:id="13"/>
      </w:r>
      <w:r w:rsidR="0067692E" w:rsidRPr="008E7827">
        <w:rPr>
          <w:color w:val="000000"/>
        </w:rPr>
        <w:t>; zdôrazňuje, že hoci tieto opatrenia znížili povinné dávky o 63 %, fond zostáva vo veľmi nestabilnej finančnej situácii; očakáva, že dostane aktuálne informácie o ďalšom vývoji v súvislosti s dobrovoľným dôchodkovým systémom;</w:t>
      </w:r>
    </w:p>
    <w:p w14:paraId="6451CC5A" w14:textId="282ED6F5" w:rsidR="0067692E" w:rsidRPr="008E7827" w:rsidRDefault="004F3360" w:rsidP="0067692E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35</w:t>
      </w:r>
      <w:r w:rsidR="0067692E" w:rsidRPr="008E7827">
        <w:rPr>
          <w:color w:val="000000"/>
        </w:rPr>
        <w:t>.</w:t>
      </w:r>
      <w:r w:rsidR="0067692E" w:rsidRPr="008E7827">
        <w:rPr>
          <w:color w:val="000000"/>
        </w:rPr>
        <w:tab/>
        <w:t>zdôrazňuje, že požiadavky, ktoré odhlasovalo plénum, by sa mali vykonávať s vysokou prioritou;</w:t>
      </w:r>
    </w:p>
    <w:p w14:paraId="311995C0" w14:textId="27F949F9" w:rsidR="0067692E" w:rsidRPr="008E7827" w:rsidRDefault="004F3360" w:rsidP="0067692E">
      <w:pPr>
        <w:spacing w:after="240"/>
        <w:ind w:left="567" w:hanging="567"/>
      </w:pPr>
      <w:r>
        <w:t>36</w:t>
      </w:r>
      <w:r w:rsidR="0067692E" w:rsidRPr="008E7827">
        <w:t>.</w:t>
      </w:r>
      <w:r w:rsidR="0067692E" w:rsidRPr="008E7827">
        <w:tab/>
        <w:t>schvaľuje odhad rozpočtu na rozpočtový rok 2027;</w:t>
      </w:r>
    </w:p>
    <w:p w14:paraId="5021B81A" w14:textId="2197AE8D" w:rsidR="00E365E1" w:rsidRPr="008E7827" w:rsidRDefault="004F3360" w:rsidP="008E7827">
      <w:pPr>
        <w:spacing w:after="240"/>
        <w:ind w:left="567" w:hanging="567"/>
      </w:pPr>
      <w:r>
        <w:t>37</w:t>
      </w:r>
      <w:r w:rsidR="0067692E" w:rsidRPr="008E7827">
        <w:t>.</w:t>
      </w:r>
      <w:r w:rsidR="0067692E" w:rsidRPr="008E7827">
        <w:tab/>
        <w:t xml:space="preserve">poveruje svoju predsedníčku, aby postúpila toto uznesenie a odhad rozpočtu </w:t>
      </w:r>
      <w:r w:rsidR="00C40B76" w:rsidRPr="008E7827">
        <w:t xml:space="preserve">Rade a </w:t>
      </w:r>
      <w:r w:rsidR="00C40B76" w:rsidRPr="008E7827">
        <w:lastRenderedPageBreak/>
        <w:t>Komisii.</w:t>
      </w:r>
    </w:p>
    <w:sectPr w:rsidR="00E365E1" w:rsidRPr="008E7827" w:rsidSect="00C40B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87C9" w14:textId="77777777" w:rsidR="0098619E" w:rsidRPr="00C40B76" w:rsidRDefault="0098619E">
      <w:r w:rsidRPr="00C40B76">
        <w:separator/>
      </w:r>
    </w:p>
  </w:endnote>
  <w:endnote w:type="continuationSeparator" w:id="0">
    <w:p w14:paraId="077DC172" w14:textId="77777777" w:rsidR="0098619E" w:rsidRPr="00C40B76" w:rsidRDefault="0098619E">
      <w:r w:rsidRPr="00C40B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B7065" w14:textId="77777777" w:rsidR="00064002" w:rsidRPr="00C40B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D7C28" w14:textId="77777777" w:rsidR="00064002" w:rsidRPr="00C40B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2CAAC" w14:textId="77777777" w:rsidR="00064002" w:rsidRPr="00C40B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FD5D9" w14:textId="77777777" w:rsidR="0098619E" w:rsidRPr="00C40B76" w:rsidRDefault="0098619E">
      <w:r w:rsidRPr="00C40B76">
        <w:separator/>
      </w:r>
    </w:p>
  </w:footnote>
  <w:footnote w:type="continuationSeparator" w:id="0">
    <w:p w14:paraId="319BAF68" w14:textId="77777777" w:rsidR="0098619E" w:rsidRPr="00C40B76" w:rsidRDefault="0098619E">
      <w:r w:rsidRPr="00C40B76">
        <w:continuationSeparator/>
      </w:r>
    </w:p>
  </w:footnote>
  <w:footnote w:id="1">
    <w:p w14:paraId="0FE46FDE" w14:textId="123D747A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 v. EÚ L, 2024/2509, 26.9.2024, ELI:</w:t>
      </w:r>
      <w:r w:rsidRPr="00C40B76">
        <w:rPr>
          <w:color w:val="000000"/>
        </w:rPr>
        <w:t xml:space="preserve"> </w:t>
      </w:r>
      <w:hyperlink r:id="rId1" w:history="1">
        <w:r w:rsidRPr="00C40B76">
          <w:rPr>
            <w:rStyle w:val="Hyperlink"/>
          </w:rPr>
          <w:t>http://data.europa.eu/eli/reg/2024/2509/oj</w:t>
        </w:r>
      </w:hyperlink>
      <w:r w:rsidRPr="00C40B76">
        <w:rPr>
          <w:color w:val="337AB7"/>
          <w:u w:val="single"/>
        </w:rPr>
        <w:t>.</w:t>
      </w:r>
    </w:p>
  </w:footnote>
  <w:footnote w:id="2">
    <w:p w14:paraId="49A45038" w14:textId="4EA64358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 v. EÚ L 433 I, 22.12.2020, s. 11, ELI:</w:t>
      </w:r>
      <w:r w:rsidRPr="00C40B76">
        <w:rPr>
          <w:color w:val="000000"/>
        </w:rPr>
        <w:t xml:space="preserve"> </w:t>
      </w:r>
      <w:hyperlink r:id="rId2" w:history="1">
        <w:r w:rsidRPr="00C40B76">
          <w:rPr>
            <w:rStyle w:val="Hyperlink"/>
          </w:rPr>
          <w:t>http://data.europa.eu/eli/reg/2020/2093/oj</w:t>
        </w:r>
      </w:hyperlink>
      <w:r w:rsidRPr="00C40B76">
        <w:rPr>
          <w:color w:val="000000"/>
        </w:rPr>
        <w:t>.</w:t>
      </w:r>
    </w:p>
  </w:footnote>
  <w:footnote w:id="3">
    <w:p w14:paraId="3FA65381" w14:textId="51291224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 v. EÚ C 444 I, 22.12.2020, s. 4.</w:t>
      </w:r>
    </w:p>
  </w:footnote>
  <w:footnote w:id="4">
    <w:p w14:paraId="6ADE4990" w14:textId="2250D13B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 v. EÚ C 445, 29.10.2021, s. 252.</w:t>
      </w:r>
    </w:p>
  </w:footnote>
  <w:footnote w:id="5">
    <w:p w14:paraId="6CB90103" w14:textId="327BD212" w:rsidR="0067692E" w:rsidRPr="00C40B76" w:rsidRDefault="0067692E" w:rsidP="00C40B76">
      <w:pPr>
        <w:ind w:left="567" w:hanging="567"/>
      </w:pPr>
      <w:r w:rsidRPr="00C40B76">
        <w:rPr>
          <w:rStyle w:val="FootnoteReference"/>
          <w:rFonts w:eastAsiaTheme="majorEastAsia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 xml:space="preserve">Ú. v. EÚ L 325, 20.12.2022, s. 11, ELI: </w:t>
      </w:r>
      <w:hyperlink r:id="rId3" w:history="1">
        <w:r w:rsidRPr="00C40B76">
          <w:rPr>
            <w:rStyle w:val="Hyperlink"/>
          </w:rPr>
          <w:t>http://data.europa.eu/eli/reg/2022/2496/oj</w:t>
        </w:r>
      </w:hyperlink>
      <w:r w:rsidRPr="00C40B76">
        <w:t>.</w:t>
      </w:r>
    </w:p>
  </w:footnote>
  <w:footnote w:id="6">
    <w:p w14:paraId="1068B8EB" w14:textId="7A15D58B" w:rsidR="0067692E" w:rsidRPr="00C40B76" w:rsidRDefault="0067692E" w:rsidP="00C40B76">
      <w:pPr>
        <w:ind w:left="567" w:hanging="567"/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 xml:space="preserve">Ú. v. EÚ L, 2024/765, 29.2.2024, ELI: </w:t>
      </w:r>
      <w:hyperlink r:id="rId4" w:history="1">
        <w:r w:rsidRPr="00C40B76">
          <w:rPr>
            <w:rStyle w:val="Hyperlink"/>
          </w:rPr>
          <w:t>http://data.europa.eu/eli/reg/2024/765/oj</w:t>
        </w:r>
      </w:hyperlink>
      <w:r w:rsidRPr="00C40B76">
        <w:t>.</w:t>
      </w:r>
    </w:p>
  </w:footnote>
  <w:footnote w:id="7">
    <w:p w14:paraId="1C8AC758" w14:textId="616E58D7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 v. EÚ L 433 I, 22.12.2020, s. 28, ELI:</w:t>
      </w:r>
      <w:r w:rsidRPr="00C40B76">
        <w:rPr>
          <w:color w:val="000000"/>
        </w:rPr>
        <w:t xml:space="preserve"> </w:t>
      </w:r>
      <w:hyperlink r:id="rId5" w:history="1">
        <w:r w:rsidRPr="00C40B76">
          <w:rPr>
            <w:rStyle w:val="Hyperlink"/>
          </w:rPr>
          <w:t>http://data.europa.eu/eli/agree_interinstit/2020/1222/oj</w:t>
        </w:r>
      </w:hyperlink>
      <w:r w:rsidRPr="00C40B76">
        <w:rPr>
          <w:color w:val="000000"/>
        </w:rPr>
        <w:t>.</w:t>
      </w:r>
    </w:p>
  </w:footnote>
  <w:footnote w:id="8">
    <w:p w14:paraId="130E48BF" w14:textId="4C26DE43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 v. EÚ C 445, 29.10.2021, s. 240.</w:t>
      </w:r>
    </w:p>
  </w:footnote>
  <w:footnote w:id="9">
    <w:p w14:paraId="26098FB2" w14:textId="795019BB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 v. EÚ C 177, 17.5.2023, s. 115.</w:t>
      </w:r>
    </w:p>
  </w:footnote>
  <w:footnote w:id="10">
    <w:p w14:paraId="57DA5E01" w14:textId="16811EB5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 v. EÚ C, C/2024/1195, 23.2.2024, ELI:</w:t>
      </w:r>
      <w:r w:rsidRPr="00C40B76">
        <w:rPr>
          <w:color w:val="000000"/>
        </w:rPr>
        <w:t xml:space="preserve"> </w:t>
      </w:r>
      <w:hyperlink r:id="rId6" w:history="1">
        <w:r w:rsidRPr="00C40B76">
          <w:rPr>
            <w:rStyle w:val="Hyperlink"/>
          </w:rPr>
          <w:t>http://data.europa.eu/eli/C/2024/1195/oj</w:t>
        </w:r>
      </w:hyperlink>
      <w:r w:rsidRPr="00C40B76">
        <w:rPr>
          <w:color w:val="000000"/>
        </w:rPr>
        <w:t>.</w:t>
      </w:r>
    </w:p>
  </w:footnote>
  <w:footnote w:id="11">
    <w:p w14:paraId="6F552AFF" w14:textId="43C76E33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>Ú. v. EÚ C, C/2024/6751, 26.11.2024, ELI:</w:t>
      </w:r>
      <w:r w:rsidRPr="00C40B76">
        <w:rPr>
          <w:color w:val="000000"/>
        </w:rPr>
        <w:t xml:space="preserve"> </w:t>
      </w:r>
      <w:hyperlink r:id="rId7" w:history="1">
        <w:r w:rsidRPr="00C40B76">
          <w:rPr>
            <w:rStyle w:val="Hyperlink"/>
          </w:rPr>
          <w:t>http://data.europa.eu/eli/C/2024/6751/oj</w:t>
        </w:r>
      </w:hyperlink>
      <w:r w:rsidRPr="00C40B76">
        <w:rPr>
          <w:color w:val="000000"/>
        </w:rPr>
        <w:t>.</w:t>
      </w:r>
    </w:p>
  </w:footnote>
  <w:footnote w:id="12">
    <w:p w14:paraId="315F6249" w14:textId="06A5B9D9" w:rsidR="0067692E" w:rsidRPr="00C40B76" w:rsidRDefault="0067692E" w:rsidP="00C40B76">
      <w:pPr>
        <w:ind w:left="567" w:hanging="567"/>
        <w:rPr>
          <w:color w:val="000000"/>
        </w:rPr>
      </w:pPr>
      <w:r w:rsidRPr="00C40B76">
        <w:rPr>
          <w:rStyle w:val="FootnoteReference"/>
        </w:rPr>
        <w:footnoteRef/>
      </w:r>
      <w:r w:rsidR="00C40B76" w:rsidRPr="00C40B76">
        <w:t xml:space="preserve"> </w:t>
      </w:r>
      <w:r w:rsidR="00C40B76" w:rsidRPr="00C40B76">
        <w:tab/>
      </w:r>
      <w:r w:rsidRPr="00C40B76">
        <w:t xml:space="preserve">Ú. v. </w:t>
      </w:r>
      <w:r w:rsidRPr="00C40B76">
        <w:t xml:space="preserve">EÚ L, 2026/72, </w:t>
      </w:r>
      <w:r w:rsidRPr="00C40B76">
        <w:t>26.2.202</w:t>
      </w:r>
      <w:r w:rsidR="00404F75">
        <w:t>6</w:t>
      </w:r>
      <w:r w:rsidRPr="00C40B76">
        <w:t>, ELI:</w:t>
      </w:r>
      <w:r w:rsidRPr="00C40B76">
        <w:rPr>
          <w:color w:val="000000"/>
        </w:rPr>
        <w:t xml:space="preserve"> </w:t>
      </w:r>
      <w:hyperlink r:id="rId8" w:history="1">
        <w:r w:rsidRPr="00C40B76">
          <w:rPr>
            <w:rStyle w:val="Hyperlink"/>
          </w:rPr>
          <w:t>http://data.europa.eu/eli/</w:t>
        </w:r>
        <w:r w:rsidRPr="00C40B76">
          <w:rPr>
            <w:rStyle w:val="Hyperlink"/>
          </w:rPr>
          <w:t>budget/2026/72/oj</w:t>
        </w:r>
      </w:hyperlink>
      <w:r w:rsidRPr="00C40B76">
        <w:rPr>
          <w:color w:val="000000"/>
        </w:rPr>
        <w:t xml:space="preserve">. </w:t>
      </w:r>
    </w:p>
  </w:footnote>
  <w:footnote w:id="13">
    <w:p w14:paraId="334A68DB" w14:textId="44832A14" w:rsidR="0067692E" w:rsidRPr="00C40B76" w:rsidRDefault="0067692E" w:rsidP="00C40B76">
      <w:pPr>
        <w:pStyle w:val="FootnoteText"/>
        <w:ind w:left="567" w:hanging="567"/>
        <w:rPr>
          <w:sz w:val="24"/>
          <w:lang w:val="sk-SK"/>
        </w:rPr>
      </w:pPr>
      <w:r w:rsidRPr="00C40B76">
        <w:rPr>
          <w:rStyle w:val="FootnoteReference"/>
          <w:sz w:val="24"/>
          <w:lang w:val="sk-SK"/>
        </w:rPr>
        <w:footnoteRef/>
      </w:r>
      <w:r w:rsidR="00C40B76" w:rsidRPr="00C40B76">
        <w:rPr>
          <w:sz w:val="24"/>
          <w:lang w:val="sk-SK"/>
        </w:rPr>
        <w:t xml:space="preserve"> </w:t>
      </w:r>
      <w:r w:rsidR="00C40B76" w:rsidRPr="00C40B76">
        <w:rPr>
          <w:sz w:val="24"/>
          <w:lang w:val="sk-SK"/>
        </w:rPr>
        <w:tab/>
      </w:r>
      <w:r w:rsidRPr="00C40B76">
        <w:rPr>
          <w:sz w:val="24"/>
          <w:lang w:val="sk-SK"/>
        </w:rPr>
        <w:t xml:space="preserve">Rozsudok </w:t>
      </w:r>
      <w:r w:rsidR="000A17F7">
        <w:rPr>
          <w:sz w:val="24"/>
          <w:lang w:val="sk-SK"/>
        </w:rPr>
        <w:t>Všeobecného súdu</w:t>
      </w:r>
      <w:r w:rsidRPr="00C40B76">
        <w:rPr>
          <w:sz w:val="24"/>
          <w:lang w:val="sk-SK"/>
        </w:rPr>
        <w:t xml:space="preserve"> zo 17. decembra 2025, </w:t>
      </w:r>
      <w:r w:rsidRPr="008E7827">
        <w:rPr>
          <w:sz w:val="24"/>
          <w:lang w:val="sk-SK"/>
        </w:rPr>
        <w:t>FE/Parlament</w:t>
      </w:r>
      <w:r w:rsidRPr="00C40B76">
        <w:rPr>
          <w:sz w:val="24"/>
          <w:lang w:val="sk-SK"/>
        </w:rPr>
        <w:t>, T</w:t>
      </w:r>
      <w:r w:rsidRPr="00C40B76">
        <w:rPr>
          <w:sz w:val="24"/>
          <w:lang w:val="sk-SK"/>
        </w:rPr>
        <w:noBreakHyphen/>
        <w:t>483/24, ECLI:EU:T:2025:1121.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9B66" w14:textId="77777777" w:rsidR="00064002" w:rsidRPr="00C40B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752F" w14:textId="77777777" w:rsidR="00064002" w:rsidRPr="00C40B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2168" w14:textId="77777777" w:rsidR="00064002" w:rsidRPr="00C40B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0444416">
    <w:abstractNumId w:val="9"/>
  </w:num>
  <w:num w:numId="2" w16cid:durableId="329984156">
    <w:abstractNumId w:val="9"/>
  </w:num>
  <w:num w:numId="3" w16cid:durableId="1076056591">
    <w:abstractNumId w:val="7"/>
  </w:num>
  <w:num w:numId="4" w16cid:durableId="971521703">
    <w:abstractNumId w:val="7"/>
  </w:num>
  <w:num w:numId="5" w16cid:durableId="493112066">
    <w:abstractNumId w:val="6"/>
  </w:num>
  <w:num w:numId="6" w16cid:durableId="1309549561">
    <w:abstractNumId w:val="6"/>
  </w:num>
  <w:num w:numId="7" w16cid:durableId="1452088448">
    <w:abstractNumId w:val="5"/>
  </w:num>
  <w:num w:numId="8" w16cid:durableId="1074091068">
    <w:abstractNumId w:val="5"/>
  </w:num>
  <w:num w:numId="9" w16cid:durableId="1773623807">
    <w:abstractNumId w:val="4"/>
  </w:num>
  <w:num w:numId="10" w16cid:durableId="925923508">
    <w:abstractNumId w:val="4"/>
  </w:num>
  <w:num w:numId="11" w16cid:durableId="1443299804">
    <w:abstractNumId w:val="8"/>
  </w:num>
  <w:num w:numId="12" w16cid:durableId="2105833580">
    <w:abstractNumId w:val="8"/>
  </w:num>
  <w:num w:numId="13" w16cid:durableId="1545174767">
    <w:abstractNumId w:val="3"/>
  </w:num>
  <w:num w:numId="14" w16cid:durableId="1219508716">
    <w:abstractNumId w:val="3"/>
  </w:num>
  <w:num w:numId="15" w16cid:durableId="1296252786">
    <w:abstractNumId w:val="2"/>
  </w:num>
  <w:num w:numId="16" w16cid:durableId="369112416">
    <w:abstractNumId w:val="2"/>
  </w:num>
  <w:num w:numId="17" w16cid:durableId="1685860138">
    <w:abstractNumId w:val="1"/>
  </w:num>
  <w:num w:numId="18" w16cid:durableId="1685791262">
    <w:abstractNumId w:val="1"/>
  </w:num>
  <w:num w:numId="19" w16cid:durableId="707796731">
    <w:abstractNumId w:val="0"/>
  </w:num>
  <w:num w:numId="20" w16cid:durableId="1676689295">
    <w:abstractNumId w:val="0"/>
  </w:num>
  <w:num w:numId="21" w16cid:durableId="958071857">
    <w:abstractNumId w:val="9"/>
  </w:num>
  <w:num w:numId="22" w16cid:durableId="1363751957">
    <w:abstractNumId w:val="7"/>
  </w:num>
  <w:num w:numId="23" w16cid:durableId="852645017">
    <w:abstractNumId w:val="6"/>
  </w:num>
  <w:num w:numId="24" w16cid:durableId="755439293">
    <w:abstractNumId w:val="5"/>
  </w:num>
  <w:num w:numId="25" w16cid:durableId="2053263139">
    <w:abstractNumId w:val="4"/>
  </w:num>
  <w:num w:numId="26" w16cid:durableId="864295687">
    <w:abstractNumId w:val="8"/>
  </w:num>
  <w:num w:numId="27" w16cid:durableId="1555005429">
    <w:abstractNumId w:val="3"/>
  </w:num>
  <w:num w:numId="28" w16cid:durableId="945160874">
    <w:abstractNumId w:val="2"/>
  </w:num>
  <w:num w:numId="29" w16cid:durableId="108552475">
    <w:abstractNumId w:val="1"/>
  </w:num>
  <w:num w:numId="30" w16cid:durableId="1961493098">
    <w:abstractNumId w:val="0"/>
  </w:num>
  <w:num w:numId="31" w16cid:durableId="325399874">
    <w:abstractNumId w:val="9"/>
  </w:num>
  <w:num w:numId="32" w16cid:durableId="487095105">
    <w:abstractNumId w:val="7"/>
  </w:num>
  <w:num w:numId="33" w16cid:durableId="1494492927">
    <w:abstractNumId w:val="6"/>
  </w:num>
  <w:num w:numId="34" w16cid:durableId="1424916324">
    <w:abstractNumId w:val="5"/>
  </w:num>
  <w:num w:numId="35" w16cid:durableId="2009938836">
    <w:abstractNumId w:val="4"/>
  </w:num>
  <w:num w:numId="36" w16cid:durableId="1845048587">
    <w:abstractNumId w:val="8"/>
  </w:num>
  <w:num w:numId="37" w16cid:durableId="1739354074">
    <w:abstractNumId w:val="3"/>
  </w:num>
  <w:num w:numId="38" w16cid:durableId="1004624265">
    <w:abstractNumId w:val="2"/>
  </w:num>
  <w:num w:numId="39" w16cid:durableId="1973707874">
    <w:abstractNumId w:val="1"/>
  </w:num>
  <w:num w:numId="40" w16cid:durableId="26222706">
    <w:abstractNumId w:val="0"/>
  </w:num>
  <w:num w:numId="41" w16cid:durableId="832112884">
    <w:abstractNumId w:val="10"/>
  </w:num>
  <w:num w:numId="42" w16cid:durableId="1927491012">
    <w:abstractNumId w:val="10"/>
  </w:num>
  <w:num w:numId="43" w16cid:durableId="48843596">
    <w:abstractNumId w:val="10"/>
  </w:num>
  <w:num w:numId="44" w16cid:durableId="5635615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6"/>
    <w:docVar w:name="dvlangue" w:val="SK"/>
    <w:docVar w:name="dvnumam" w:val="0"/>
    <w:docVar w:name="dvpe" w:val="785.303"/>
    <w:docVar w:name="dvrapporteur" w:val="Spravodajca: "/>
    <w:docVar w:name="dvtitre" w:val="Uznesenie Európskeho parlamentu z/zo xx. xxx 2026 o odhade príjmov a výdavkov Európskeho parlamentu na rozpočtový rok 2027(2025/2247(BUI))"/>
  </w:docVars>
  <w:rsids>
    <w:rsidRoot w:val="0098619E"/>
    <w:rsid w:val="00002272"/>
    <w:rsid w:val="0001174D"/>
    <w:rsid w:val="000556D9"/>
    <w:rsid w:val="00064002"/>
    <w:rsid w:val="000677B9"/>
    <w:rsid w:val="000831BA"/>
    <w:rsid w:val="000A17F7"/>
    <w:rsid w:val="000A42CC"/>
    <w:rsid w:val="000E7DD9"/>
    <w:rsid w:val="0010095E"/>
    <w:rsid w:val="00125B37"/>
    <w:rsid w:val="00187494"/>
    <w:rsid w:val="001F32AE"/>
    <w:rsid w:val="00254BB3"/>
    <w:rsid w:val="00266E30"/>
    <w:rsid w:val="002767FF"/>
    <w:rsid w:val="002B18FE"/>
    <w:rsid w:val="002B5493"/>
    <w:rsid w:val="00321B16"/>
    <w:rsid w:val="00343214"/>
    <w:rsid w:val="00361C00"/>
    <w:rsid w:val="00395FA1"/>
    <w:rsid w:val="003E15D4"/>
    <w:rsid w:val="00404F75"/>
    <w:rsid w:val="00411CCE"/>
    <w:rsid w:val="0041524B"/>
    <w:rsid w:val="0041666E"/>
    <w:rsid w:val="00421060"/>
    <w:rsid w:val="00471C19"/>
    <w:rsid w:val="004867E3"/>
    <w:rsid w:val="00494A28"/>
    <w:rsid w:val="004C0004"/>
    <w:rsid w:val="004C5D52"/>
    <w:rsid w:val="004E7787"/>
    <w:rsid w:val="004F336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92E"/>
    <w:rsid w:val="00680577"/>
    <w:rsid w:val="006A7D67"/>
    <w:rsid w:val="006D74F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D27"/>
    <w:rsid w:val="00865F67"/>
    <w:rsid w:val="00881A7B"/>
    <w:rsid w:val="008840E5"/>
    <w:rsid w:val="00887B3E"/>
    <w:rsid w:val="00891533"/>
    <w:rsid w:val="008C2AC6"/>
    <w:rsid w:val="008E7827"/>
    <w:rsid w:val="008F3F02"/>
    <w:rsid w:val="0091763B"/>
    <w:rsid w:val="00930C23"/>
    <w:rsid w:val="0093193B"/>
    <w:rsid w:val="009509D8"/>
    <w:rsid w:val="00950B64"/>
    <w:rsid w:val="00981893"/>
    <w:rsid w:val="0098619E"/>
    <w:rsid w:val="00A018F9"/>
    <w:rsid w:val="00A1687D"/>
    <w:rsid w:val="00A43E52"/>
    <w:rsid w:val="00A4678D"/>
    <w:rsid w:val="00A55079"/>
    <w:rsid w:val="00A778C7"/>
    <w:rsid w:val="00AB441E"/>
    <w:rsid w:val="00AB6293"/>
    <w:rsid w:val="00AD33A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B76"/>
    <w:rsid w:val="00C61C0C"/>
    <w:rsid w:val="00C941CB"/>
    <w:rsid w:val="00CC2357"/>
    <w:rsid w:val="00CF071A"/>
    <w:rsid w:val="00D058B8"/>
    <w:rsid w:val="00D56C11"/>
    <w:rsid w:val="00D6305F"/>
    <w:rsid w:val="00D834A0"/>
    <w:rsid w:val="00D872DF"/>
    <w:rsid w:val="00D91E21"/>
    <w:rsid w:val="00DA7FCD"/>
    <w:rsid w:val="00DF075A"/>
    <w:rsid w:val="00E300B5"/>
    <w:rsid w:val="00E365E1"/>
    <w:rsid w:val="00E820A4"/>
    <w:rsid w:val="00E83FE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1CED5"/>
  <w15:chartTrackingRefBased/>
  <w15:docId w15:val="{54BE791E-73BA-4954-A0EA-9F043D67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6769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67692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7692E"/>
    <w:rPr>
      <w:color w:val="0563C1" w:themeColor="hyperlink"/>
      <w:u w:val="single"/>
    </w:rPr>
  </w:style>
  <w:style w:type="paragraph" w:customStyle="1" w:styleId="Action">
    <w:name w:val="Action"/>
    <w:basedOn w:val="Normal"/>
    <w:rsid w:val="0067692E"/>
    <w:pPr>
      <w:tabs>
        <w:tab w:val="left" w:pos="357"/>
      </w:tabs>
      <w:spacing w:after="240"/>
      <w:ind w:left="357" w:hanging="357"/>
    </w:pPr>
    <w:rPr>
      <w:lang w:eastAsia="en-US"/>
    </w:rPr>
  </w:style>
  <w:style w:type="paragraph" w:customStyle="1" w:styleId="action0">
    <w:name w:val="action"/>
    <w:basedOn w:val="Normal"/>
    <w:rsid w:val="0067692E"/>
    <w:pPr>
      <w:widowControl/>
      <w:spacing w:after="240"/>
      <w:ind w:left="357" w:hanging="357"/>
    </w:pPr>
    <w:rPr>
      <w:rFonts w:eastAsiaTheme="minorHAnsi"/>
      <w:szCs w:val="24"/>
    </w:rPr>
  </w:style>
  <w:style w:type="paragraph" w:customStyle="1" w:styleId="Institutionquiagit">
    <w:name w:val="Institution qui agit"/>
    <w:basedOn w:val="Normal"/>
    <w:next w:val="Normal"/>
    <w:rsid w:val="0067692E"/>
    <w:pPr>
      <w:keepNext/>
      <w:snapToGrid w:val="0"/>
      <w:spacing w:after="240"/>
    </w:pPr>
    <w:rPr>
      <w:i/>
      <w:lang w:eastAsia="en-US"/>
    </w:rPr>
  </w:style>
  <w:style w:type="paragraph" w:customStyle="1" w:styleId="FootnoteReference1">
    <w:name w:val="Footnote Reference1"/>
    <w:basedOn w:val="Normal"/>
    <w:link w:val="FootnoteReference"/>
    <w:rsid w:val="0067692E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A018F9"/>
    <w:rPr>
      <w:sz w:val="24"/>
      <w:lang w:val="sk-SK"/>
    </w:rPr>
  </w:style>
  <w:style w:type="character" w:styleId="FollowedHyperlink">
    <w:name w:val="FollowedHyperlink"/>
    <w:basedOn w:val="DefaultParagraphFont"/>
    <w:rsid w:val="00404F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budget/2026/72/oj" TargetMode="External"/><Relationship Id="rId3" Type="http://schemas.openxmlformats.org/officeDocument/2006/relationships/hyperlink" Target="http://data.europa.eu/eli/reg/2022/2496/oj" TargetMode="External"/><Relationship Id="rId7" Type="http://schemas.openxmlformats.org/officeDocument/2006/relationships/hyperlink" Target="http://data.europa.eu/eli/C/2024/6751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C/2024/1195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3818</Words>
  <Characters>23523</Characters>
  <Application>Microsoft Office Word</Application>
  <DocSecurity>0</DocSecurity>
  <Lines>196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2026-07-10T10:09:00Z</dcterms:created>
  <dcterms:modified xsi:type="dcterms:W3CDTF">2026-07-10T10:09:00Z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A10-0124/2026</vt:lpwstr>
  </property>
  <property fmtid="{D5CDD505-2E9C-101B-9397-08002B2CF9AE}" pid="4" name="&lt;Type&gt;">
    <vt:lpwstr>RR</vt:lpwstr>
  </property>
</Properties>
</file>