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2FB2" w14:paraId="1151623E" w14:textId="77777777" w:rsidTr="0010095E">
        <w:trPr>
          <w:trHeight w:hRule="exact" w:val="1418"/>
        </w:trPr>
        <w:tc>
          <w:tcPr>
            <w:tcW w:w="6804" w:type="dxa"/>
            <w:shd w:val="clear" w:color="auto" w:fill="auto"/>
            <w:vAlign w:val="center"/>
          </w:tcPr>
          <w:p w14:paraId="1615C9C7" w14:textId="77777777" w:rsidR="00751A4A" w:rsidRPr="00622FB2" w:rsidRDefault="00727A4B" w:rsidP="0010095E">
            <w:pPr>
              <w:pStyle w:val="EPName"/>
            </w:pPr>
            <w:r w:rsidRPr="00622FB2">
              <w:t>Evropski parlament</w:t>
            </w:r>
          </w:p>
          <w:p w14:paraId="5CEA9076" w14:textId="77777777" w:rsidR="00751A4A" w:rsidRPr="00622FB2" w:rsidRDefault="005F1B17" w:rsidP="005F1B17">
            <w:pPr>
              <w:pStyle w:val="EPTerm"/>
              <w:rPr>
                <w:rStyle w:val="HideTWBExt"/>
                <w:noProof w:val="0"/>
                <w:vanish w:val="0"/>
                <w:color w:val="auto"/>
              </w:rPr>
            </w:pPr>
            <w:r w:rsidRPr="00622FB2">
              <w:t>2024</w:t>
            </w:r>
            <w:r w:rsidR="00817416" w:rsidRPr="00622FB2">
              <w:t>-202</w:t>
            </w:r>
            <w:r w:rsidRPr="00622FB2">
              <w:t>9</w:t>
            </w:r>
          </w:p>
        </w:tc>
        <w:tc>
          <w:tcPr>
            <w:tcW w:w="2268" w:type="dxa"/>
            <w:shd w:val="clear" w:color="auto" w:fill="auto"/>
          </w:tcPr>
          <w:p w14:paraId="2DB4EF69" w14:textId="77777777" w:rsidR="00751A4A" w:rsidRPr="00622FB2" w:rsidRDefault="00187494" w:rsidP="0010095E">
            <w:pPr>
              <w:pStyle w:val="EPLogo"/>
            </w:pPr>
            <w:r w:rsidRPr="00622FB2">
              <w:rPr>
                <w:noProof/>
                <w:lang w:eastAsia="ja-JP"/>
              </w:rPr>
              <w:drawing>
                <wp:inline distT="0" distB="0" distL="0" distR="0" wp14:anchorId="39C9043B" wp14:editId="6FB42BD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A32A8DB" w14:textId="77777777" w:rsidR="00D058B8" w:rsidRPr="00622FB2" w:rsidRDefault="00D058B8" w:rsidP="004C5D52">
      <w:pPr>
        <w:pStyle w:val="LineTop"/>
      </w:pPr>
    </w:p>
    <w:p w14:paraId="0484CC94" w14:textId="77777777" w:rsidR="00680577" w:rsidRPr="00622FB2" w:rsidRDefault="00727A4B" w:rsidP="00680577">
      <w:pPr>
        <w:pStyle w:val="EPBodyTA1"/>
      </w:pPr>
      <w:r w:rsidRPr="00622FB2">
        <w:t>SPREJETA BESEDILA</w:t>
      </w:r>
    </w:p>
    <w:p w14:paraId="75A8F658" w14:textId="77777777" w:rsidR="00D058B8" w:rsidRPr="00622FB2" w:rsidRDefault="00D058B8" w:rsidP="00D058B8">
      <w:pPr>
        <w:pStyle w:val="LineBottom"/>
      </w:pPr>
    </w:p>
    <w:p w14:paraId="6DFF9117" w14:textId="01F19CCD" w:rsidR="00727A4B" w:rsidRPr="00622FB2" w:rsidRDefault="00727A4B" w:rsidP="00727A4B">
      <w:pPr>
        <w:pStyle w:val="ATHeading1"/>
      </w:pPr>
      <w:bookmarkStart w:id="0" w:name="TANumber"/>
      <w:r w:rsidRPr="00622FB2">
        <w:t>P10_TA(2026)0</w:t>
      </w:r>
      <w:bookmarkEnd w:id="0"/>
      <w:r w:rsidR="0065208A" w:rsidRPr="00622FB2">
        <w:t>155</w:t>
      </w:r>
    </w:p>
    <w:p w14:paraId="006E1AC4" w14:textId="77777777" w:rsidR="00727A4B" w:rsidRPr="00622FB2" w:rsidRDefault="00727A4B" w:rsidP="00727A4B">
      <w:pPr>
        <w:pStyle w:val="ATHeading2"/>
      </w:pPr>
      <w:bookmarkStart w:id="1" w:name="title"/>
      <w:r w:rsidRPr="00622FB2">
        <w:t>Načrt prihodkov in odhodkov za proračunsko leto 2027 – oddelek I – Evropski parlament</w:t>
      </w:r>
      <w:bookmarkEnd w:id="1"/>
    </w:p>
    <w:p w14:paraId="1B058AFA" w14:textId="77777777" w:rsidR="00727A4B" w:rsidRPr="00622FB2" w:rsidRDefault="00727A4B" w:rsidP="00727A4B">
      <w:pPr>
        <w:rPr>
          <w:i/>
          <w:vanish/>
        </w:rPr>
      </w:pPr>
      <w:r w:rsidRPr="00622FB2">
        <w:rPr>
          <w:i/>
        </w:rPr>
        <w:fldChar w:fldCharType="begin"/>
      </w:r>
      <w:r w:rsidRPr="00622FB2">
        <w:rPr>
          <w:i/>
        </w:rPr>
        <w:instrText xml:space="preserve"> TC"(</w:instrText>
      </w:r>
      <w:bookmarkStart w:id="2" w:name="DocNumber"/>
      <w:r w:rsidRPr="00622FB2">
        <w:rPr>
          <w:i/>
        </w:rPr>
        <w:instrText>A10-0124/2026</w:instrText>
      </w:r>
      <w:bookmarkEnd w:id="2"/>
      <w:r w:rsidRPr="00622FB2">
        <w:rPr>
          <w:i/>
        </w:rPr>
        <w:instrText xml:space="preserve"> - Poročevalec: </w:instrText>
      </w:r>
      <w:proofErr w:type="spellStart"/>
      <w:r w:rsidRPr="00622FB2">
        <w:rPr>
          <w:i/>
        </w:rPr>
        <w:instrText>Michalis</w:instrText>
      </w:r>
      <w:proofErr w:type="spellEnd"/>
      <w:r w:rsidRPr="00622FB2">
        <w:rPr>
          <w:i/>
        </w:rPr>
        <w:instrText xml:space="preserve"> </w:instrText>
      </w:r>
      <w:proofErr w:type="spellStart"/>
      <w:r w:rsidRPr="00622FB2">
        <w:rPr>
          <w:i/>
        </w:rPr>
        <w:instrText>Hadjipantela</w:instrText>
      </w:r>
      <w:proofErr w:type="spellEnd"/>
      <w:r w:rsidRPr="00622FB2">
        <w:rPr>
          <w:i/>
        </w:rPr>
        <w:instrText xml:space="preserve">)"\l3 \n&gt; \* MERGEFORMAT </w:instrText>
      </w:r>
      <w:r w:rsidRPr="00622FB2">
        <w:rPr>
          <w:i/>
        </w:rPr>
        <w:fldChar w:fldCharType="end"/>
      </w:r>
    </w:p>
    <w:p w14:paraId="3EB14E05" w14:textId="77777777" w:rsidR="00727A4B" w:rsidRPr="00622FB2" w:rsidRDefault="00727A4B" w:rsidP="00727A4B">
      <w:pPr>
        <w:rPr>
          <w:vanish/>
        </w:rPr>
      </w:pPr>
      <w:bookmarkStart w:id="3" w:name="Commission"/>
      <w:r w:rsidRPr="00622FB2">
        <w:rPr>
          <w:vanish/>
        </w:rPr>
        <w:t>Odbor za proračun</w:t>
      </w:r>
      <w:bookmarkEnd w:id="3"/>
    </w:p>
    <w:p w14:paraId="330AF9CF" w14:textId="77777777" w:rsidR="00727A4B" w:rsidRPr="00622FB2" w:rsidRDefault="00727A4B" w:rsidP="00727A4B">
      <w:pPr>
        <w:rPr>
          <w:vanish/>
        </w:rPr>
      </w:pPr>
      <w:bookmarkStart w:id="4" w:name="PE"/>
      <w:r w:rsidRPr="00622FB2">
        <w:rPr>
          <w:vanish/>
        </w:rPr>
        <w:t>PE785.303</w:t>
      </w:r>
      <w:bookmarkEnd w:id="4"/>
    </w:p>
    <w:p w14:paraId="471E5037" w14:textId="77777777" w:rsidR="00727A4B" w:rsidRPr="00622FB2" w:rsidRDefault="00727A4B" w:rsidP="00727A4B">
      <w:pPr>
        <w:pStyle w:val="ATHeading3"/>
      </w:pPr>
      <w:bookmarkStart w:id="5" w:name="Sujet"/>
      <w:r w:rsidRPr="00622FB2">
        <w:t>Resolucija Evropskega parlamenta z dne 30. aprila 2026 o načrtu prihodkov in odhodkov Evropskega parlamenta za proračunsko leto 2027</w:t>
      </w:r>
      <w:bookmarkEnd w:id="5"/>
      <w:r w:rsidRPr="00622FB2">
        <w:t xml:space="preserve"> </w:t>
      </w:r>
      <w:bookmarkStart w:id="6" w:name="References"/>
      <w:r w:rsidRPr="00622FB2">
        <w:t>(2025/2247(BUI))</w:t>
      </w:r>
      <w:bookmarkEnd w:id="6"/>
    </w:p>
    <w:p w14:paraId="228C40EF" w14:textId="77777777" w:rsidR="00EA7764" w:rsidRPr="00622FB2" w:rsidRDefault="00EA7764" w:rsidP="00EA7764">
      <w:pPr>
        <w:pStyle w:val="Institutionquiagit"/>
        <w:spacing w:before="480"/>
        <w:rPr>
          <w:i w:val="0"/>
        </w:rPr>
      </w:pPr>
      <w:bookmarkStart w:id="7" w:name="TextBodyBegin"/>
      <w:bookmarkEnd w:id="7"/>
      <w:r w:rsidRPr="00622FB2">
        <w:t>Evropski parlament,</w:t>
      </w:r>
    </w:p>
    <w:p w14:paraId="79A3E8A3" w14:textId="77777777" w:rsidR="00EA7764" w:rsidRPr="00622FB2" w:rsidRDefault="00EA7764" w:rsidP="00B41722">
      <w:pPr>
        <w:pStyle w:val="Action"/>
        <w:tabs>
          <w:tab w:val="clear" w:pos="357"/>
        </w:tabs>
        <w:spacing w:after="120"/>
        <w:ind w:left="567" w:hanging="567"/>
        <w:outlineLvl w:val="0"/>
      </w:pPr>
      <w:r w:rsidRPr="00622FB2">
        <w:t>–</w:t>
      </w:r>
      <w:r w:rsidRPr="00622FB2">
        <w:tab/>
        <w:t>ob upoštevanju člena 314 Pogodbe o delovanju Evropske unije,</w:t>
      </w:r>
    </w:p>
    <w:p w14:paraId="2020B0EC" w14:textId="77777777" w:rsidR="00EA7764" w:rsidRPr="00622FB2" w:rsidRDefault="00EA7764" w:rsidP="00B41722">
      <w:pPr>
        <w:widowControl/>
        <w:spacing w:after="240"/>
        <w:ind w:left="567" w:hanging="567"/>
        <w:rPr>
          <w:color w:val="000000"/>
        </w:rPr>
      </w:pPr>
      <w:r w:rsidRPr="00622FB2">
        <w:rPr>
          <w:color w:val="000000"/>
        </w:rPr>
        <w:t>–</w:t>
      </w:r>
      <w:r w:rsidRPr="00622FB2">
        <w:rPr>
          <w:color w:val="000000"/>
        </w:rPr>
        <w:tab/>
        <w:t>ob upoštevanju Uredbe (EU, Euratom) 2024/2509 Evropskega parlamenta in Sveta z dne 23. septembra 2024 o finančnih pravilih, ki se uporabljajo za splošni proračun Unije (prenovitev)</w:t>
      </w:r>
      <w:r w:rsidRPr="00622FB2">
        <w:rPr>
          <w:color w:val="000000"/>
          <w:vertAlign w:val="superscript"/>
        </w:rPr>
        <w:footnoteReference w:id="1"/>
      </w:r>
      <w:r w:rsidRPr="00622FB2">
        <w:rPr>
          <w:color w:val="000000"/>
        </w:rPr>
        <w:t xml:space="preserve"> (v nadaljnjem besedilu: finančna uredba),</w:t>
      </w:r>
    </w:p>
    <w:p w14:paraId="21302361" w14:textId="77777777" w:rsidR="00EA7764" w:rsidRPr="00622FB2" w:rsidRDefault="00EA7764" w:rsidP="00B41722">
      <w:pPr>
        <w:spacing w:after="240"/>
        <w:ind w:left="567" w:hanging="567"/>
        <w:rPr>
          <w:color w:val="000000"/>
        </w:rPr>
      </w:pPr>
      <w:r w:rsidRPr="00622FB2">
        <w:rPr>
          <w:color w:val="000000"/>
        </w:rPr>
        <w:t>–</w:t>
      </w:r>
      <w:r w:rsidRPr="00622FB2">
        <w:rPr>
          <w:color w:val="000000"/>
        </w:rPr>
        <w:tab/>
      </w:r>
      <w:r w:rsidRPr="00622FB2">
        <w:t xml:space="preserve">ob upoštevanju Uredbe Sveta (EU, Euratom) 2020/2093 z dne 17. decembra 2020 o določitvi </w:t>
      </w:r>
      <w:sdt>
        <w:sdtPr>
          <w:tag w:val="goog_rdk_0"/>
          <w:id w:val="399490220"/>
        </w:sdtPr>
        <w:sdtEndPr/>
        <w:sdtContent/>
      </w:sdt>
      <w:sdt>
        <w:sdtPr>
          <w:tag w:val="goog_rdk_1"/>
          <w:id w:val="-2088213729"/>
        </w:sdtPr>
        <w:sdtEndPr/>
        <w:sdtContent/>
      </w:sdt>
      <w:r w:rsidRPr="00622FB2">
        <w:t>večletnega finančnega okvira za obdobje 2021–2027</w:t>
      </w:r>
      <w:r w:rsidRPr="00622FB2">
        <w:rPr>
          <w:color w:val="000000"/>
          <w:vertAlign w:val="superscript"/>
        </w:rPr>
        <w:footnoteReference w:id="2"/>
      </w:r>
      <w:r w:rsidRPr="00622FB2">
        <w:t>, skupnih izjav Parlamenta, Sveta in Komisije v zvezi s tem</w:t>
      </w:r>
      <w:r w:rsidRPr="00622FB2">
        <w:rPr>
          <w:color w:val="000000"/>
          <w:vertAlign w:val="superscript"/>
        </w:rPr>
        <w:footnoteReference w:id="3"/>
      </w:r>
      <w:r w:rsidRPr="00622FB2">
        <w:t xml:space="preserve"> ter povezanih enostranskih izjav</w:t>
      </w:r>
      <w:r w:rsidRPr="00622FB2">
        <w:rPr>
          <w:color w:val="000000"/>
          <w:vertAlign w:val="superscript"/>
        </w:rPr>
        <w:footnoteReference w:id="4"/>
      </w:r>
      <w:r w:rsidRPr="00622FB2">
        <w:t>,</w:t>
      </w:r>
    </w:p>
    <w:p w14:paraId="4ECA0B51" w14:textId="77777777" w:rsidR="00EA7764" w:rsidRPr="00622FB2" w:rsidRDefault="00EA7764" w:rsidP="00B41722">
      <w:pPr>
        <w:spacing w:after="240"/>
        <w:ind w:left="567" w:hanging="567"/>
        <w:rPr>
          <w:color w:val="000000" w:themeColor="text1"/>
        </w:rPr>
      </w:pPr>
      <w:r w:rsidRPr="00622FB2">
        <w:rPr>
          <w:color w:val="000000"/>
        </w:rPr>
        <w:t>–</w:t>
      </w:r>
      <w:r w:rsidRPr="00622FB2">
        <w:rPr>
          <w:color w:val="000000"/>
        </w:rPr>
        <w:tab/>
        <w:t>ob upoštevanju Uredbe Sveta (EU, Euratom) 2022/2496 z dne 15. decembra 2022 o spremembi Uredbe (EU, Euratom) 2020/2093 o določitvi večletnega finančnega okvira za obdobje 2021–2027</w:t>
      </w:r>
      <w:r w:rsidRPr="00622FB2">
        <w:rPr>
          <w:color w:val="000000"/>
          <w:vertAlign w:val="superscript"/>
        </w:rPr>
        <w:footnoteReference w:id="5"/>
      </w:r>
      <w:r w:rsidRPr="00622FB2">
        <w:rPr>
          <w:color w:val="000000"/>
        </w:rPr>
        <w:t>,</w:t>
      </w:r>
    </w:p>
    <w:p w14:paraId="3820FC6A" w14:textId="77777777" w:rsidR="00EA7764" w:rsidRPr="00622FB2" w:rsidRDefault="00EA7764" w:rsidP="00B41722">
      <w:pPr>
        <w:spacing w:after="240"/>
        <w:ind w:left="567" w:hanging="567"/>
      </w:pPr>
      <w:r w:rsidRPr="00622FB2">
        <w:t>–</w:t>
      </w:r>
      <w:r w:rsidRPr="00622FB2">
        <w:tab/>
      </w:r>
      <w:r w:rsidRPr="00622FB2">
        <w:rPr>
          <w:color w:val="000000"/>
        </w:rPr>
        <w:t>ob upoštevanju Uredbe Sveta (EU, Euratom) 2024/765 o spremembi Uredbe (EU, Euratom) 2020/2093 o določitvi večletnega finančnega okvira za obdobje 2021–2027</w:t>
      </w:r>
      <w:r w:rsidRPr="00622FB2">
        <w:rPr>
          <w:rStyle w:val="FootnoteReference"/>
          <w:color w:val="000000"/>
        </w:rPr>
        <w:footnoteReference w:id="6"/>
      </w:r>
      <w:r w:rsidRPr="00622FB2">
        <w:rPr>
          <w:color w:val="000000"/>
        </w:rPr>
        <w:t xml:space="preserve"> (revizija večletnega finančnega okvira),</w:t>
      </w:r>
    </w:p>
    <w:p w14:paraId="64804E1D" w14:textId="77777777" w:rsidR="00EA7764" w:rsidRPr="00622FB2" w:rsidRDefault="00EA7764" w:rsidP="00B41722">
      <w:pPr>
        <w:spacing w:after="240"/>
        <w:ind w:left="567" w:hanging="567"/>
        <w:rPr>
          <w:color w:val="000000"/>
        </w:rPr>
      </w:pPr>
      <w:r w:rsidRPr="00622FB2">
        <w:rPr>
          <w:color w:val="000000"/>
        </w:rPr>
        <w:t>–</w:t>
      </w:r>
      <w:r w:rsidRPr="00622FB2">
        <w:rPr>
          <w:color w:val="000000"/>
        </w:rPr>
        <w:tab/>
        <w:t xml:space="preserve">ob upoštevanju Medinstitucionalnega sporazuma z dne 16. decembra 2020 med Evropskim parlamentom, Svetom in Komisijo o proračunski disciplini, sodelovanju v proračunskih zadevah in dobrem finančnem </w:t>
      </w:r>
      <w:proofErr w:type="spellStart"/>
      <w:r w:rsidRPr="00622FB2">
        <w:rPr>
          <w:color w:val="000000"/>
        </w:rPr>
        <w:t>poslovodenju</w:t>
      </w:r>
      <w:proofErr w:type="spellEnd"/>
      <w:r w:rsidRPr="00622FB2">
        <w:rPr>
          <w:color w:val="000000"/>
        </w:rPr>
        <w:t xml:space="preserve"> ter novih virih lastnih </w:t>
      </w:r>
      <w:r w:rsidRPr="00622FB2">
        <w:rPr>
          <w:color w:val="000000"/>
        </w:rPr>
        <w:lastRenderedPageBreak/>
        <w:t>sredstev, vključno s časovnim načrtom za njihovo uvedbo</w:t>
      </w:r>
      <w:r w:rsidRPr="00622FB2">
        <w:rPr>
          <w:color w:val="000000"/>
          <w:vertAlign w:val="superscript"/>
        </w:rPr>
        <w:footnoteReference w:id="7"/>
      </w:r>
      <w:r w:rsidRPr="00622FB2">
        <w:rPr>
          <w:color w:val="000000"/>
        </w:rPr>
        <w:t>,</w:t>
      </w:r>
    </w:p>
    <w:p w14:paraId="2941A60C" w14:textId="77777777" w:rsidR="00EA7764" w:rsidRPr="00622FB2" w:rsidRDefault="00EA7764" w:rsidP="00B41722">
      <w:pPr>
        <w:spacing w:after="240"/>
        <w:ind w:left="567" w:hanging="567"/>
      </w:pPr>
      <w:r w:rsidRPr="00622FB2">
        <w:t>–</w:t>
      </w:r>
      <w:r w:rsidRPr="00622FB2">
        <w:tab/>
        <w:t>ob upoštevanju svoje resolucije z dne 16. decembra 2020 o osnutku uredbe Sveta o določitvi večletnega finančnega okvira za obdobje 2021–2027</w:t>
      </w:r>
      <w:r w:rsidRPr="00622FB2">
        <w:rPr>
          <w:vertAlign w:val="superscript"/>
        </w:rPr>
        <w:footnoteReference w:id="8"/>
      </w:r>
      <w:r w:rsidRPr="00622FB2">
        <w:t>,</w:t>
      </w:r>
    </w:p>
    <w:p w14:paraId="568BE955" w14:textId="77777777" w:rsidR="00EA7764" w:rsidRPr="00622FB2" w:rsidRDefault="00EA7764" w:rsidP="00B41722">
      <w:pPr>
        <w:spacing w:after="240"/>
        <w:ind w:left="567" w:hanging="567"/>
        <w:rPr>
          <w:color w:val="000000"/>
        </w:rPr>
      </w:pPr>
      <w:r w:rsidRPr="00622FB2">
        <w:rPr>
          <w:color w:val="000000"/>
        </w:rPr>
        <w:t>–</w:t>
      </w:r>
      <w:r w:rsidRPr="00622FB2">
        <w:rPr>
          <w:color w:val="000000"/>
        </w:rPr>
        <w:tab/>
        <w:t>ob upoštevanju svoje resolucije z dne 15. decembra 2022 o nadgradnji večletnega finančnega okvira za obdobje 2021–2027: odporen proračun EU, primeren za nove izzive</w:t>
      </w:r>
      <w:r w:rsidRPr="00622FB2">
        <w:rPr>
          <w:color w:val="000000"/>
          <w:vertAlign w:val="superscript"/>
        </w:rPr>
        <w:footnoteReference w:id="9"/>
      </w:r>
      <w:r w:rsidRPr="00622FB2">
        <w:rPr>
          <w:color w:val="000000"/>
        </w:rPr>
        <w:t>,</w:t>
      </w:r>
    </w:p>
    <w:p w14:paraId="50834CF3" w14:textId="77777777" w:rsidR="00EA7764" w:rsidRPr="00622FB2" w:rsidRDefault="00EA7764" w:rsidP="00B41722">
      <w:pPr>
        <w:spacing w:after="240"/>
        <w:ind w:left="567" w:hanging="567"/>
      </w:pPr>
      <w:r w:rsidRPr="00622FB2">
        <w:t>–</w:t>
      </w:r>
      <w:r w:rsidRPr="00622FB2">
        <w:tab/>
        <w:t>ob upoštevanju svoje resolucije z dne 3. oktobra 2023 o predlogu za vmesni pregled večletnega finančnega okvira za obdobje 2021–2027</w:t>
      </w:r>
      <w:r w:rsidRPr="00622FB2">
        <w:rPr>
          <w:vertAlign w:val="superscript"/>
        </w:rPr>
        <w:footnoteReference w:id="10"/>
      </w:r>
      <w:r w:rsidRPr="00622FB2">
        <w:t>,</w:t>
      </w:r>
    </w:p>
    <w:p w14:paraId="582BF5C5" w14:textId="77777777" w:rsidR="00EA7764" w:rsidRPr="00622FB2" w:rsidRDefault="00EA7764" w:rsidP="00B41722">
      <w:pPr>
        <w:spacing w:after="240"/>
        <w:ind w:left="567" w:hanging="567"/>
        <w:rPr>
          <w:color w:val="000000"/>
        </w:rPr>
      </w:pPr>
      <w:r w:rsidRPr="00622FB2">
        <w:rPr>
          <w:color w:val="000000"/>
        </w:rPr>
        <w:t>–</w:t>
      </w:r>
      <w:r w:rsidRPr="00622FB2">
        <w:rPr>
          <w:color w:val="000000"/>
        </w:rPr>
        <w:tab/>
        <w:t>ob upoštevanju svoje resolucije z dne 27. februarja 2024 o osnutku uredbe Sveta o spremembi Uredbe (EU, Euratom) 2020/2093 o določitvi večletnega finančnega okvira za obdobje 2021–2027</w:t>
      </w:r>
      <w:r w:rsidRPr="00622FB2">
        <w:rPr>
          <w:color w:val="000000"/>
          <w:vertAlign w:val="superscript"/>
        </w:rPr>
        <w:footnoteReference w:id="11"/>
      </w:r>
      <w:r w:rsidRPr="00622FB2">
        <w:rPr>
          <w:color w:val="000000"/>
        </w:rPr>
        <w:t>,</w:t>
      </w:r>
    </w:p>
    <w:p w14:paraId="29806B32" w14:textId="77777777" w:rsidR="00EA7764" w:rsidRPr="00622FB2" w:rsidRDefault="00EA7764" w:rsidP="00B41722">
      <w:pPr>
        <w:spacing w:after="240"/>
        <w:ind w:left="567" w:hanging="567"/>
        <w:rPr>
          <w:color w:val="000000"/>
        </w:rPr>
      </w:pPr>
      <w:r w:rsidRPr="00622FB2">
        <w:rPr>
          <w:color w:val="000000"/>
        </w:rPr>
        <w:t>–</w:t>
      </w:r>
      <w:r w:rsidRPr="00622FB2">
        <w:rPr>
          <w:color w:val="000000"/>
        </w:rPr>
        <w:tab/>
      </w:r>
      <w:r w:rsidRPr="00622FB2">
        <w:t>ob upoštevanju splošnega proračuna Evropske unije za proračunsko leto 2026, ki je bil dokončno sprejet 26. novembra 2025</w:t>
      </w:r>
      <w:r w:rsidRPr="00622FB2">
        <w:rPr>
          <w:color w:val="000000"/>
          <w:vertAlign w:val="superscript"/>
        </w:rPr>
        <w:footnoteReference w:id="12"/>
      </w:r>
      <w:r w:rsidRPr="00622FB2">
        <w:t>, in skupnih izjav Parlamenta, Sveta in Komisije, ki so mu priložene,</w:t>
      </w:r>
    </w:p>
    <w:p w14:paraId="3E9D34D5" w14:textId="77777777" w:rsidR="00EA7764" w:rsidRPr="00622FB2" w:rsidRDefault="00EA7764" w:rsidP="00B41722">
      <w:pPr>
        <w:pStyle w:val="Action"/>
        <w:tabs>
          <w:tab w:val="clear" w:pos="357"/>
        </w:tabs>
        <w:spacing w:after="120"/>
        <w:ind w:left="567" w:hanging="567"/>
        <w:outlineLvl w:val="0"/>
      </w:pPr>
      <w:r w:rsidRPr="00622FB2">
        <w:t>–</w:t>
      </w:r>
      <w:r w:rsidRPr="00622FB2">
        <w:tab/>
        <w:t>ob upoštevanju poročila generalnega sekretarja predsedstvu glede priprave predhodnega predloga načrta prihodkov in odhodkov Evropskega parlamenta za proračunsko leto 2027,</w:t>
      </w:r>
    </w:p>
    <w:p w14:paraId="300096C9" w14:textId="0FE03096" w:rsidR="00EA7764" w:rsidRPr="00622FB2" w:rsidRDefault="00EA7764" w:rsidP="00B41722">
      <w:pPr>
        <w:pStyle w:val="Action"/>
        <w:tabs>
          <w:tab w:val="clear" w:pos="357"/>
        </w:tabs>
        <w:spacing w:after="120"/>
        <w:ind w:left="567" w:hanging="567"/>
        <w:outlineLvl w:val="0"/>
      </w:pPr>
      <w:r w:rsidRPr="00622FB2">
        <w:t>–</w:t>
      </w:r>
      <w:r w:rsidRPr="00622FB2">
        <w:tab/>
        <w:t xml:space="preserve">ob upoštevanju predhodnega predloga načrta prihodkov in odhodkov, ki ga je v skladu s členoma 25(7) in 104(1) Poslovnika predsedstvo pripravilo </w:t>
      </w:r>
      <w:r w:rsidR="00AE0520" w:rsidRPr="00622FB2">
        <w:t>9</w:t>
      </w:r>
      <w:r w:rsidRPr="00622FB2">
        <w:t>. marca 2026,</w:t>
      </w:r>
    </w:p>
    <w:p w14:paraId="21A57AD5" w14:textId="77777777" w:rsidR="00EA7764" w:rsidRPr="00622FB2" w:rsidRDefault="00EA7764" w:rsidP="00B41722">
      <w:pPr>
        <w:pStyle w:val="Action"/>
        <w:tabs>
          <w:tab w:val="clear" w:pos="357"/>
        </w:tabs>
        <w:spacing w:after="120"/>
        <w:ind w:left="567" w:hanging="567"/>
        <w:outlineLvl w:val="0"/>
      </w:pPr>
      <w:r w:rsidRPr="00622FB2">
        <w:t>–</w:t>
      </w:r>
      <w:r w:rsidRPr="00622FB2">
        <w:tab/>
        <w:t>ob upoštevanju predloga načrta prihodkov in odhodkov, ki ga je v skladu s členom 104(2) Poslovnika pripravil Odbor za proračun,</w:t>
      </w:r>
    </w:p>
    <w:p w14:paraId="646600BD" w14:textId="77777777" w:rsidR="00EA7764" w:rsidRPr="00622FB2" w:rsidRDefault="00EA7764" w:rsidP="00B41722">
      <w:pPr>
        <w:pStyle w:val="Action"/>
        <w:tabs>
          <w:tab w:val="clear" w:pos="357"/>
        </w:tabs>
        <w:spacing w:after="120"/>
        <w:ind w:left="567" w:hanging="567"/>
        <w:outlineLvl w:val="0"/>
      </w:pPr>
      <w:r w:rsidRPr="00622FB2">
        <w:t>–</w:t>
      </w:r>
      <w:r w:rsidRPr="00622FB2">
        <w:tab/>
        <w:t>ob upoštevanju člena 104 Poslovnika,</w:t>
      </w:r>
    </w:p>
    <w:p w14:paraId="383737D0" w14:textId="77777777" w:rsidR="00EA7764" w:rsidRPr="00622FB2" w:rsidRDefault="00EA7764" w:rsidP="00B41722">
      <w:pPr>
        <w:pStyle w:val="Action"/>
        <w:tabs>
          <w:tab w:val="clear" w:pos="357"/>
        </w:tabs>
        <w:ind w:left="567" w:hanging="567"/>
        <w:outlineLvl w:val="0"/>
      </w:pPr>
      <w:r w:rsidRPr="00622FB2">
        <w:t>–</w:t>
      </w:r>
      <w:r w:rsidRPr="00622FB2">
        <w:tab/>
        <w:t>ob upoštevanju poročila Odbora za proračun (A10</w:t>
      </w:r>
      <w:r w:rsidRPr="00622FB2">
        <w:noBreakHyphen/>
        <w:t>0124/2026),</w:t>
      </w:r>
    </w:p>
    <w:p w14:paraId="396508A5" w14:textId="77777777" w:rsidR="00EA7764" w:rsidRPr="00622FB2" w:rsidRDefault="00EA7764" w:rsidP="00B41722">
      <w:pPr>
        <w:pStyle w:val="Action"/>
        <w:tabs>
          <w:tab w:val="clear" w:pos="357"/>
        </w:tabs>
        <w:spacing w:after="120"/>
        <w:ind w:left="567" w:hanging="567"/>
        <w:outlineLvl w:val="0"/>
      </w:pPr>
      <w:r w:rsidRPr="00622FB2">
        <w:t>A.</w:t>
      </w:r>
      <w:r w:rsidRPr="00622FB2">
        <w:tab/>
        <w:t>ker proračun, ki ga je 9. februarja 2026 v predhodnem predlogu načrta prihodkov in odhodkov Parlamenta za leto 2027 predlagal generalni sekretar, znaša 2 665 474 853 EUR, kar je 2,33 % oziroma 60 618 266 EUR več kot v letu 2026;</w:t>
      </w:r>
    </w:p>
    <w:p w14:paraId="740972DC" w14:textId="77777777" w:rsidR="00EA7764" w:rsidRPr="00622FB2" w:rsidRDefault="00EA7764" w:rsidP="00B41722">
      <w:pPr>
        <w:pStyle w:val="Action"/>
        <w:tabs>
          <w:tab w:val="clear" w:pos="357"/>
        </w:tabs>
        <w:spacing w:after="120"/>
        <w:ind w:left="567" w:hanging="567"/>
        <w:outlineLvl w:val="0"/>
      </w:pPr>
      <w:r w:rsidRPr="00622FB2">
        <w:t>B.</w:t>
      </w:r>
      <w:r w:rsidRPr="00622FB2">
        <w:tab/>
        <w:t>ker je povečanje za 2,33 %, kot ga je predlagal generalni sekretar, posledica 2,01-odstotnega povečanja zakonskih finančnih obveznosti in 2,89-odstotnega povečanja neobveznih odhodkov;</w:t>
      </w:r>
    </w:p>
    <w:p w14:paraId="298868B8" w14:textId="77777777" w:rsidR="00EA7764" w:rsidRPr="00622FB2" w:rsidRDefault="00EA7764" w:rsidP="00B41722">
      <w:pPr>
        <w:pStyle w:val="Action"/>
        <w:tabs>
          <w:tab w:val="clear" w:pos="357"/>
        </w:tabs>
        <w:ind w:left="567" w:hanging="567"/>
        <w:outlineLvl w:val="0"/>
      </w:pPr>
      <w:r w:rsidRPr="00622FB2">
        <w:t>C.</w:t>
      </w:r>
      <w:r w:rsidRPr="00622FB2">
        <w:tab/>
        <w:t>ker je letna inflacija v Uniji po podatkih Eurostata decembra 2025 znašala 2,3 %, decembra 2024 pa 2,7 %; ker je bil znesek odhodkov v razdelku 7 večletnega finančnega okvira za obdobje 2021–2027 izračunan ob upoštevanju 2-odstotnega letnega povečanja;</w:t>
      </w:r>
    </w:p>
    <w:p w14:paraId="71262BFD" w14:textId="77777777" w:rsidR="00EA7764" w:rsidRPr="00622FB2" w:rsidRDefault="00EA7764" w:rsidP="00B41722">
      <w:pPr>
        <w:pStyle w:val="Action"/>
        <w:tabs>
          <w:tab w:val="clear" w:pos="357"/>
        </w:tabs>
        <w:ind w:left="567" w:hanging="567"/>
        <w:outlineLvl w:val="0"/>
      </w:pPr>
      <w:r w:rsidRPr="00622FB2">
        <w:t>D.</w:t>
      </w:r>
      <w:r w:rsidRPr="00622FB2">
        <w:tab/>
        <w:t xml:space="preserve">ker je verodostojnost Parlamenta odvisna od njegove sposobnosti, da opravi svoje </w:t>
      </w:r>
      <w:r w:rsidRPr="00622FB2">
        <w:lastRenderedPageBreak/>
        <w:t>osrednje proračunsko, zakonodajno in nadzorno delo v skladu z najvišjimi standardi, hkrati pa daje zgled drugim institucijam Unije, kako preudarno in učinkovito načrtovati in izvrševati svoje odhodke v skladu s prevladujočimi gospodarskimi razmerami;</w:t>
      </w:r>
    </w:p>
    <w:p w14:paraId="60727E3F" w14:textId="77777777" w:rsidR="00EA7764" w:rsidRPr="00622FB2" w:rsidRDefault="00EA7764" w:rsidP="00B41722">
      <w:pPr>
        <w:pStyle w:val="NormalHanging12a"/>
        <w:rPr>
          <w:b/>
          <w:i/>
        </w:rPr>
      </w:pPr>
      <w:r w:rsidRPr="00622FB2">
        <w:rPr>
          <w:b/>
          <w:i/>
        </w:rPr>
        <w:t>Splošni okvir</w:t>
      </w:r>
    </w:p>
    <w:p w14:paraId="2362221C" w14:textId="77777777" w:rsidR="00EA7764" w:rsidRPr="00622FB2" w:rsidRDefault="00EA7764" w:rsidP="00B41722">
      <w:pPr>
        <w:widowControl/>
        <w:spacing w:after="240"/>
        <w:ind w:left="567" w:hanging="567"/>
        <w:rPr>
          <w:color w:val="000000"/>
        </w:rPr>
      </w:pPr>
      <w:r w:rsidRPr="00622FB2">
        <w:rPr>
          <w:color w:val="000000"/>
        </w:rPr>
        <w:t>1.</w:t>
      </w:r>
      <w:r w:rsidRPr="00622FB2">
        <w:rPr>
          <w:color w:val="000000"/>
        </w:rPr>
        <w:tab/>
        <w:t>je zaskrbljen zaradi stanja razdelka 7 v sedanjem večletnem finančnem okviru; želi spomniti, da so omejitve posledica rezov, ki jih je Svet med dogovarjanjem o večletnem finančnem okviru za obdobje 2021–2027 naredil v že tako zelo skromnem prvotnem predlogu Komisije, pa tudi kumulativnega učinka inflacije, ki je bila več let višja od pričakovane; obžaluje, da je Svet pri reviziji večletnega finančnega okvira nasprotoval predlogu Komisije, da se z letom 2024 zgornja meja razdelka 7 poveča; opozarja, da zgornja meja razdelka 7 med revizijo sploh ni bila obravnavana; poudarja, da napovedana negativna razlika do zgornje meje za leto 2027 pomeni, da bo treba v razdelku 7 uporabiti posebne instrumente; poudarja, da bi morala uporaba posebnih instrumentov ostati izjemna, ustrezno utemeljena in omejena na nepredvidene okoliščine;</w:t>
      </w:r>
    </w:p>
    <w:p w14:paraId="06C3633E" w14:textId="77777777" w:rsidR="00EA7764" w:rsidRPr="00622FB2" w:rsidRDefault="00EA7764" w:rsidP="00B41722">
      <w:pPr>
        <w:widowControl/>
        <w:spacing w:after="240"/>
        <w:ind w:left="567" w:hanging="567"/>
        <w:rPr>
          <w:color w:val="000000"/>
        </w:rPr>
      </w:pPr>
      <w:r w:rsidRPr="00622FB2">
        <w:rPr>
          <w:color w:val="000000"/>
        </w:rPr>
        <w:t>2.</w:t>
      </w:r>
      <w:r w:rsidRPr="00622FB2">
        <w:rPr>
          <w:color w:val="000000"/>
        </w:rPr>
        <w:tab/>
        <w:t xml:space="preserve">podpira dogovor, dosežen med predsedstvom in Odborom za proračun v spravnem postopku 15. aprila 2026, da se proračun v primerjavi z letom 2023 poveča za 1,98 %, kar ustreza skupni ravni načrta prihodkov in odhodkov za leto 2027 v višini 2 656 435 753 EUR, in da se skladno s tem zmanjšajo odobritve v skupnem znesku 10 554 000 EUR, predlagane v naslednjih proračunskih vrsticah: </w:t>
      </w:r>
    </w:p>
    <w:p w14:paraId="10C2F78D" w14:textId="0454D95E" w:rsidR="00EA7764" w:rsidRPr="00622FB2" w:rsidRDefault="00EA7764" w:rsidP="00B41722">
      <w:pPr>
        <w:widowControl/>
        <w:spacing w:after="240"/>
        <w:ind w:left="567"/>
        <w:rPr>
          <w:color w:val="000000"/>
        </w:rPr>
      </w:pPr>
      <w:r w:rsidRPr="00622FB2">
        <w:rPr>
          <w:color w:val="000000"/>
        </w:rPr>
        <w:t xml:space="preserve">1 0 0 6 — Nadomestilo splošnih stroškov, 1 4 0 5 01 — Odhodki za tolmačenje: zunanje tolmačenje, 1 4 2 — Zunanje prevajalske storitve, 1 6 1 2 07 — Usposabljanje in razvoj: zunanje usposabljanje za GD ITEC, 2 0 0 7 04 — Gradnja nepremičnin in opremljanje prostorov: pisarne za stike/središča Doživi Evropo, 2 1 0 0 02 — Upravljanje IT in kibernetska varnost — varnost, tveganja in skladnost IKT, 2 1 0 0 03 — Upravljanje IT in kibernetska varnost — nastajajoča tehnologija, 2 1 0 1 02 — Upravljanje poslovnih aplikacij — zagotavljanje rešitev IT, 2 1 0 1 13 — Upravljanje poslovnih aplikacij — DG FINS, 2 1 0 2 03 — Infrastruktura in operativno upravljanje — telekomunikacije, 2 1 0 2 04 — Infrastruktura in operativno upravljanje — poslovna infrastruktura, 2 1 0 2 05 — Infrastruktura in operativno upravljanje — programska oprema — infrastruktura, 2 1 0 2 07 — Infrastruktura in operativno upravljanje — upravljanje tiskanja, 2 1 0 3 01 — Storitve in oprema za digitalno delovno okolje — posamezna oprema IT, 2 1 2 0 01 — Pohištvo: nakup, najem, obnova, vzdrževanje in popravila pohištva, 2 1 6 0 01 — Prevoz poslancev, drugih oseb in blaga: prevoz poslancev (najem in uporaba), 3 0 0 0 02 — Stroški službenih potovanj in potovanj med tremi kraji dela: službena potovanja zunaj treh krajev dela, 3 0 0 0 03 — Stroški službenih potovanj in potovanj med tremi kraji dela: usposabljanje in razvoj, 3 2 1 0 01 — Odhodki za parlamentarno raziskovalno službo, vključno s knjižnico, zgodovinskim arhivom, enoto za presojo znanstvenih in tehnoloških izbir (STOA) ter Evropskim vozliščem za znanstvene medije: ocena učinka in evropska dodana vrednost, 3 2 2 0 09 — Odhodki za dokumentacijo: naročnine in spremljanje medijev, 3 2 4 2 01 — Odhodki za publikacije, informiranje in udeležbo na javnih prireditvah: kampanje obveščanja, 3 2 4 3 01 — Središča za obiskovalce Evropskega parlamenta: Parlamentarium in “Doživi Evropo”, 3 2 4 3 02 — Središča za obiskovalce Evropskega parlamenta: Hiša evropske zgodovine, 101 — Rezerva za nepredvidene izdatke. </w:t>
      </w:r>
    </w:p>
    <w:p w14:paraId="229F8E47" w14:textId="77777777" w:rsidR="00EA7764" w:rsidRPr="00622FB2" w:rsidRDefault="00EA7764" w:rsidP="00B41722">
      <w:pPr>
        <w:widowControl/>
        <w:spacing w:after="240"/>
        <w:ind w:left="567"/>
        <w:rPr>
          <w:color w:val="000000"/>
        </w:rPr>
      </w:pPr>
      <w:r w:rsidRPr="00622FB2">
        <w:rPr>
          <w:color w:val="000000"/>
        </w:rPr>
        <w:t xml:space="preserve">Poleg tega je bila sprejeta odločitev, da se raven odhodkov iz predhodnega predloga načrta prihodkov in odhodkov, ki ga je predsedstvo odobrilo 9. marca 2026, poveča za </w:t>
      </w:r>
      <w:r w:rsidRPr="00622FB2">
        <w:rPr>
          <w:color w:val="000000"/>
        </w:rPr>
        <w:lastRenderedPageBreak/>
        <w:t>1 514 900 EUR in da se skladno s tem povečajo odobritve, predlagane v naslednji proračunski vrstici:</w:t>
      </w:r>
    </w:p>
    <w:p w14:paraId="5E21FA28" w14:textId="77777777" w:rsidR="00EA7764" w:rsidRPr="00622FB2" w:rsidRDefault="00EA7764" w:rsidP="00B41722">
      <w:pPr>
        <w:widowControl/>
        <w:spacing w:after="240"/>
        <w:ind w:left="567"/>
        <w:rPr>
          <w:color w:val="000000"/>
        </w:rPr>
      </w:pPr>
      <w:r w:rsidRPr="00622FB2">
        <w:rPr>
          <w:color w:val="000000"/>
        </w:rPr>
        <w:t xml:space="preserve">4 0 3 — Financiranje evropskih političnih fundacij in 4 4 0 — Stroški sej in drugih dejavnosti nekdanjih poslancev. </w:t>
      </w:r>
    </w:p>
    <w:p w14:paraId="5886AB7E" w14:textId="77777777" w:rsidR="00EA7764" w:rsidRPr="00622FB2" w:rsidRDefault="00EA7764" w:rsidP="00B41722">
      <w:pPr>
        <w:widowControl/>
        <w:spacing w:after="240"/>
        <w:ind w:left="567" w:hanging="567"/>
        <w:rPr>
          <w:color w:val="000000"/>
        </w:rPr>
      </w:pPr>
      <w:r w:rsidRPr="00622FB2">
        <w:rPr>
          <w:color w:val="000000"/>
        </w:rPr>
        <w:t>3.</w:t>
      </w:r>
      <w:r w:rsidRPr="00622FB2">
        <w:rPr>
          <w:color w:val="000000"/>
        </w:rPr>
        <w:tab/>
        <w:t>želi spomniti, da sta skoraj dve tretjini proračuna določeni z zakonskimi obveznostmi; opozarja, da naj bi indeksacija plač v skladu s kadrovskimi predpisi in statutom poslancev Evropskega parlamenta po sedanjih napovedih Komisije julija 2026 znašala 2,2 %, julija 2027 pa 2,3 %;</w:t>
      </w:r>
    </w:p>
    <w:p w14:paraId="416DEE3E" w14:textId="77777777" w:rsidR="00EA7764" w:rsidRPr="00622FB2" w:rsidRDefault="00EA7764" w:rsidP="00B41722">
      <w:pPr>
        <w:widowControl/>
        <w:spacing w:after="240"/>
        <w:ind w:left="567" w:hanging="567"/>
        <w:rPr>
          <w:color w:val="000000"/>
        </w:rPr>
      </w:pPr>
      <w:r w:rsidRPr="00622FB2">
        <w:rPr>
          <w:color w:val="000000"/>
        </w:rPr>
        <w:t>4.</w:t>
      </w:r>
      <w:r w:rsidRPr="00622FB2">
        <w:rPr>
          <w:color w:val="000000"/>
        </w:rPr>
        <w:tab/>
        <w:t>ugotavlja, da od skupnega povečanja za 51,6 milijona EUR glede na proračun za leto 2026 zakonske finančne obveznosti znašajo 32,6 milijona EUR, od česar bo največ namenjeno za indeksacijo plač uradnikov in začasnih uslužbencev (16,2 milijona EUR) ter pogodbenih uslužbencev (1,7 milijona EUR); pozdravlja, da je od leta 2027 predvidena izredna neposredna pomoč za vsakega praktikanta v Luksemburgu (do 500 EUR na mesec prakse), da bodo lažje krili naraščajoče stanovanjske stroške; poziva, naj se glede na naraščajoče življenjske stroške zagotovi dostopnost praks za mlade ne glede na kraj dela; pozdravlja sklep predsedstva o opustitvi indeksacije nadomestila splošnih stroškov za leto 2026;</w:t>
      </w:r>
    </w:p>
    <w:p w14:paraId="3159A8D3" w14:textId="77777777" w:rsidR="00EA7764" w:rsidRPr="00622FB2" w:rsidRDefault="00EA7764" w:rsidP="00B41722">
      <w:pPr>
        <w:widowControl/>
        <w:spacing w:after="240"/>
        <w:ind w:left="567" w:hanging="567"/>
        <w:rPr>
          <w:b/>
          <w:i/>
          <w:color w:val="000000"/>
        </w:rPr>
      </w:pPr>
      <w:r w:rsidRPr="00622FB2">
        <w:rPr>
          <w:color w:val="000000"/>
        </w:rPr>
        <w:t>5.</w:t>
      </w:r>
      <w:r w:rsidRPr="00622FB2">
        <w:rPr>
          <w:b/>
          <w:i/>
          <w:color w:val="000000"/>
        </w:rPr>
        <w:tab/>
      </w:r>
      <w:r w:rsidRPr="00622FB2">
        <w:rPr>
          <w:color w:val="000000"/>
        </w:rPr>
        <w:t>je seznanjen, da je predvideni znesek za nadomestilo za parlamentarno pomoč ocenjen na podlagi preteklih trendov; poudarja, da poslancem v nobenem primeru ne sme biti odvzeta pravica, da v skladu z ustreznimi pravili v celoti izkoristijo to nadomestilo, ker ni na voljo v tej proračunski vrstici; poziva generalnega sekretarja, naj pozorno spremlja razmere, obvešča Odbor za proračun o izvrševanju proračunske vrstice in sprejme ustrezne ukrepe, kadar obstaja tveganje nezadostnih finančnih sredstev;</w:t>
      </w:r>
    </w:p>
    <w:p w14:paraId="57AE7A7F" w14:textId="77777777" w:rsidR="00EA7764" w:rsidRPr="00622FB2" w:rsidRDefault="00EA7764" w:rsidP="00B41722">
      <w:pPr>
        <w:widowControl/>
        <w:spacing w:after="240"/>
        <w:ind w:left="567" w:hanging="567"/>
        <w:rPr>
          <w:color w:val="000000"/>
        </w:rPr>
      </w:pPr>
      <w:r w:rsidRPr="00622FB2">
        <w:rPr>
          <w:color w:val="000000"/>
        </w:rPr>
        <w:t>6.</w:t>
      </w:r>
      <w:r w:rsidRPr="00622FB2">
        <w:rPr>
          <w:color w:val="000000"/>
        </w:rPr>
        <w:tab/>
        <w:t xml:space="preserve">ugotavlja, da Parlament za leto 2027, tj. že četrto leto zapored, ne zahteva dodatnih delovnih mest; </w:t>
      </w:r>
    </w:p>
    <w:p w14:paraId="5B9E3DCA" w14:textId="77777777" w:rsidR="00EA7764" w:rsidRPr="00622FB2" w:rsidRDefault="00EA7764" w:rsidP="00B41722">
      <w:pPr>
        <w:widowControl/>
        <w:spacing w:after="240"/>
        <w:ind w:left="567" w:hanging="567"/>
        <w:rPr>
          <w:color w:val="000000"/>
        </w:rPr>
      </w:pPr>
      <w:r w:rsidRPr="00622FB2">
        <w:rPr>
          <w:color w:val="000000"/>
        </w:rPr>
        <w:t>7.</w:t>
      </w:r>
      <w:r w:rsidRPr="00622FB2">
        <w:rPr>
          <w:color w:val="000000"/>
        </w:rPr>
        <w:tab/>
        <w:t xml:space="preserve">ugotavlja, da naj bi bili neobvezni odhodki v letu 2027 za 2 % večji kot v letu 2026; </w:t>
      </w:r>
    </w:p>
    <w:p w14:paraId="60B55E8C" w14:textId="77777777" w:rsidR="00EA7764" w:rsidRPr="00622FB2" w:rsidRDefault="00EA7764" w:rsidP="00B41722">
      <w:pPr>
        <w:widowControl/>
        <w:spacing w:after="240"/>
        <w:ind w:left="567" w:hanging="567"/>
        <w:rPr>
          <w:color w:val="000000"/>
        </w:rPr>
      </w:pPr>
      <w:r w:rsidRPr="00622FB2">
        <w:rPr>
          <w:color w:val="000000"/>
        </w:rPr>
        <w:t>8.</w:t>
      </w:r>
      <w:r w:rsidRPr="00622FB2">
        <w:rPr>
          <w:color w:val="000000"/>
        </w:rPr>
        <w:tab/>
        <w:t xml:space="preserve">pozdravlja tekoče delo generalnega sekretarja v skladu z reformami, ki jih je 16. junija 2025 predlagala predsednica Roberta </w:t>
      </w:r>
      <w:proofErr w:type="spellStart"/>
      <w:r w:rsidRPr="00622FB2">
        <w:rPr>
          <w:color w:val="000000"/>
        </w:rPr>
        <w:t>Metsola</w:t>
      </w:r>
      <w:proofErr w:type="spellEnd"/>
      <w:r w:rsidRPr="00622FB2">
        <w:rPr>
          <w:color w:val="000000"/>
        </w:rPr>
        <w:t>, in sicer v zvezi z upravnim sodelovanjem, načrtovanjem in poenostavitvijo, da bi povečali učinkovitost, učinkovito uporabljali vire in dosegli prihranke, kjer je to mogoče; poziva k okrepljenim mehanizmom poročanja, da bi povečali preglednost in odgovornost; poziva ga, naj Odboru za proračun redno posreduje najnovejše informacije o izvajanju akcijskega načrta za upravno poenostavitev ter o njegovih posledicah za proračun in zaposlene;</w:t>
      </w:r>
    </w:p>
    <w:p w14:paraId="28F91DD7" w14:textId="77777777" w:rsidR="00EA7764" w:rsidRPr="00622FB2" w:rsidRDefault="00EA7764" w:rsidP="00B41722">
      <w:pPr>
        <w:pStyle w:val="action0"/>
        <w:ind w:left="0" w:firstLine="0"/>
        <w:rPr>
          <w:b/>
          <w:i/>
        </w:rPr>
      </w:pPr>
      <w:r w:rsidRPr="00622FB2">
        <w:rPr>
          <w:b/>
          <w:i/>
        </w:rPr>
        <w:t>Krepitev glavnih funkcij Parlamenta</w:t>
      </w:r>
    </w:p>
    <w:p w14:paraId="77FA9A0B" w14:textId="77777777" w:rsidR="00EA7764" w:rsidRPr="00622FB2" w:rsidRDefault="00EA7764" w:rsidP="00B41722">
      <w:pPr>
        <w:widowControl/>
        <w:spacing w:after="240"/>
        <w:ind w:left="567" w:hanging="567"/>
        <w:rPr>
          <w:color w:val="000000"/>
        </w:rPr>
      </w:pPr>
      <w:r w:rsidRPr="00622FB2">
        <w:t>9.</w:t>
      </w:r>
      <w:r w:rsidRPr="00622FB2">
        <w:tab/>
        <w:t xml:space="preserve">je seznanjen, da od januarja 2025 obstajajo štirje novi tematski generalni direktorati, odgovorni za zakonodajne, proračunske in nadzorne dejavnosti, kar naj bi izboljšalo delovanje Parlamenta kot </w:t>
      </w:r>
      <w:proofErr w:type="spellStart"/>
      <w:r w:rsidRPr="00622FB2">
        <w:t>sozakonodajalca</w:t>
      </w:r>
      <w:proofErr w:type="spellEnd"/>
      <w:r w:rsidRPr="00622FB2">
        <w:t>, veje proračunskega organa in organa za podelitev razrešnice;</w:t>
      </w:r>
    </w:p>
    <w:p w14:paraId="63F48923" w14:textId="77777777" w:rsidR="00EA7764" w:rsidRDefault="00EA7764" w:rsidP="00B41722">
      <w:pPr>
        <w:widowControl/>
        <w:spacing w:after="240"/>
        <w:ind w:left="567" w:hanging="567"/>
        <w:rPr>
          <w:b/>
          <w:i/>
        </w:rPr>
      </w:pPr>
      <w:r w:rsidRPr="00622FB2">
        <w:t>10.</w:t>
      </w:r>
      <w:r w:rsidRPr="00622FB2">
        <w:tab/>
        <w:t xml:space="preserve">je seznanjen s prerazporeditvijo notranjih virov, kar zadeva število dodeljenih delovnih mest (+15 % med letoma 2024 in 2026), proračunska sredstva za zunanje sodelavce (postavka 1400, s 3,2 milijona EUR v letu 2024 na 8 milijonov EUR v letu 2027) in proračun za zunanja strokovna mnenja (postavka 3200, s 3,2 milijona EUR v letu 2024 na 7,7 milijona EUR v letu 2027), da bi izboljšali strokovno svetovanje poslancem; </w:t>
      </w:r>
      <w:r w:rsidRPr="00622FB2">
        <w:lastRenderedPageBreak/>
        <w:t xml:space="preserve">poudarja, da je treba zagotoviti, da bo to povečanje še naprej upravičeno, sorazmerno in bo prineslo jasno dodano vrednost; poziva generalnega sekretarja, naj Odboru za proračun redno posreduje najnovejše informacije o razvoju in uporabi virov v teh štirih novih direktoratih; poudarja, da je treba izpolniti pomemben cilj krepitve zmogljivosti Parlamenta za podporo delu poslancev; poudarja tudi ključno vlogo političnih skupin </w:t>
      </w:r>
      <w:bookmarkStart w:id="8" w:name="_Hlk227243597"/>
      <w:r w:rsidRPr="00622FB2">
        <w:t>pri zagotavljanju strokovnega znanja in politične podpore</w:t>
      </w:r>
      <w:bookmarkEnd w:id="8"/>
      <w:r w:rsidRPr="00622FB2">
        <w:t xml:space="preserve"> poslancem pri njihovem zakonodajnem in parlamentarnem delu;</w:t>
      </w:r>
      <w:r w:rsidRPr="00622FB2">
        <w:rPr>
          <w:b/>
          <w:i/>
        </w:rPr>
        <w:t xml:space="preserve"> </w:t>
      </w:r>
    </w:p>
    <w:p w14:paraId="13DE8490" w14:textId="339ADBB4" w:rsidR="00814D47" w:rsidRPr="00622FB2" w:rsidRDefault="00814D47" w:rsidP="00B41722">
      <w:pPr>
        <w:widowControl/>
        <w:spacing w:after="240"/>
        <w:ind w:left="567" w:hanging="567"/>
      </w:pPr>
      <w:r w:rsidRPr="00814D47">
        <w:t>1</w:t>
      </w:r>
      <w:r>
        <w:t>1</w:t>
      </w:r>
      <w:r w:rsidRPr="00814D47">
        <w:t xml:space="preserve">. </w:t>
      </w:r>
      <w:r w:rsidRPr="00814D47">
        <w:tab/>
        <w:t>opozarja, da dolžnost zaščite finančnih interesov Unije velja enako za vse upravičence do sredstev Unije, vključno s političnimi skupinami, ki delujejo v Parlamentu; ugotavlja, da preiskave in ukrepi za izterjavo v zvezi s sumi zlorabe sredstev Unije s strani nekdanje skupine Identiteta in demokracija, ki je bila preoblikovana in je danes skupina Domoljubi za Evropo, poudarjajo pomen čvrstih notranjih kontrol, učinkovitega naknadnega preverjanja in mehanizmov za hitro izterjavo v upravi Parlamenta; poziva upravo Parlamenta, naj nemudoma zaključi vse nedokončane postopke izterjave ter uradu OLAF in EJT posreduje vse dokaze o nepravilnih odhodkih; poudarja, da je verodostojnost strukture Unije za boj proti goljufijam odvisna od njene dosledne uporabe za vse upravičence, tudi tiste v samem Parlamentu;</w:t>
      </w:r>
    </w:p>
    <w:p w14:paraId="373DE858" w14:textId="77777777" w:rsidR="00EA7764" w:rsidRPr="00622FB2" w:rsidRDefault="00EA7764" w:rsidP="00B41722">
      <w:pPr>
        <w:spacing w:after="240"/>
        <w:rPr>
          <w:b/>
          <w:i/>
          <w:color w:val="000000"/>
        </w:rPr>
      </w:pPr>
      <w:r w:rsidRPr="00622FB2">
        <w:rPr>
          <w:b/>
          <w:i/>
          <w:color w:val="000000"/>
        </w:rPr>
        <w:t xml:space="preserve">Digitalni prehod </w:t>
      </w:r>
    </w:p>
    <w:p w14:paraId="647D92D0" w14:textId="33CAF9E6" w:rsidR="00814D47" w:rsidRPr="00622FB2" w:rsidRDefault="009F0472" w:rsidP="00B41722">
      <w:pPr>
        <w:pStyle w:val="action0"/>
        <w:ind w:left="567" w:hanging="567"/>
      </w:pPr>
      <w:r>
        <w:t>12</w:t>
      </w:r>
      <w:r w:rsidR="00EA7764" w:rsidRPr="00622FB2">
        <w:t>.</w:t>
      </w:r>
      <w:r w:rsidR="00EA7764" w:rsidRPr="00622FB2">
        <w:tab/>
      </w:r>
      <w:r w:rsidR="00EA7764" w:rsidRPr="00622FB2">
        <w:rPr>
          <w:color w:val="000000"/>
        </w:rPr>
        <w:t>ugotavlja, da proračun za informacijsko tehnologijo predstavlja 7,6 % skupnega proračuna v načrtu prihodkov in odhodkov za leto 2027 in znaša 202,4 milijona EUR; poudarja, da je zanesljiva infrastruktura bistvena za kibernetsko varnost v geopolitično nemirnih časih; opozarja na načrtovano postopno povečevanje finančnih sredstev za kibernetsko varnost na 10 % proračuna Parlamenta za IKT;</w:t>
      </w:r>
      <w:r w:rsidR="00EA7764" w:rsidRPr="00622FB2">
        <w:t xml:space="preserve"> ugotavlja, da bi bilo treba to povečanje izvesti čim prej;</w:t>
      </w:r>
    </w:p>
    <w:p w14:paraId="7C86E79E" w14:textId="0CE1C7F8" w:rsidR="00EA7764" w:rsidRPr="00622FB2" w:rsidRDefault="009F0472" w:rsidP="00B41722">
      <w:pPr>
        <w:pStyle w:val="action0"/>
        <w:ind w:left="567" w:hanging="567"/>
      </w:pPr>
      <w:r>
        <w:t>13</w:t>
      </w:r>
      <w:r w:rsidR="00EA7764" w:rsidRPr="00622FB2">
        <w:t>.</w:t>
      </w:r>
      <w:r w:rsidR="00EA7764" w:rsidRPr="00622FB2">
        <w:tab/>
        <w:t>poudarja, da je kibernetska varnost Parlamenta ključna prednostna naloga v času geopolitične negotovosti; ugotavlja, da je skupni znesek za kibernetsko varnost 16,9 milijona EUR, pri čemer se je centralizirana vrstica za kibernetsko varnost v primerjavi z letom 2026 povečala za 54 %; opozarja, da so naložbe v kibernetsko varnost ključne za zaščito demokratičnega glasu Parlamenta in Unije ter zagotavljanje pravilnega delovanja Parlamenta;</w:t>
      </w:r>
    </w:p>
    <w:p w14:paraId="5E709C92" w14:textId="4CC13FA6" w:rsidR="00EA7764" w:rsidRPr="00622FB2" w:rsidRDefault="009F0472" w:rsidP="00B41722">
      <w:pPr>
        <w:pStyle w:val="action0"/>
        <w:ind w:left="567" w:hanging="567"/>
      </w:pPr>
      <w:r>
        <w:t>14</w:t>
      </w:r>
      <w:r w:rsidR="00EA7764" w:rsidRPr="00622FB2">
        <w:t>.</w:t>
      </w:r>
      <w:r w:rsidR="00EA7764" w:rsidRPr="00622FB2">
        <w:tab/>
        <w:t>poudarja, da mora imeti Parlament vodilno vlogo pri sprejemanju bolj digitalnih delovnih metod; pozdravlja naložbe v umetno inteligenco v višini 1 milijona EUR; poziva k obsežnejši uporabi umetne inteligence, da bi povečali učinkovitost in suverenost na tem področju, pri tem pa upoštevali s tem povezana tveganja, vključno z etiko in varstvom podatkov; poudarja, da mora uvajanje umetne inteligence uravnotežiti inovacije s potrebnimi zaščitnimi ukrepi; poudarja, da bi lahko umetna inteligenca racionalizirala upravne postopke; spodbuja razvoj jasnih smernic in zaščitnih ukrepov, da bi zagotovili odgovorno in pregledno uporabo umetne inteligence ter spodbujali inovacije ob spoštovanju temeljnih pravic, varnosti in odgovornosti; ugotavlja, da se bo razvoj umetne inteligence pozorno spremljal v skladu z načeli, ki jih je določilo predsedstvo; poudarja, da se naložbe v umetno inteligenco ne bi smele osredotočati le na upravno učinkovitost, temveč tudi na povečanje demokratične preglednosti in sodelovanja državljanov;</w:t>
      </w:r>
    </w:p>
    <w:p w14:paraId="213376C4" w14:textId="2CB392E1" w:rsidR="00EA7764" w:rsidRPr="00622FB2" w:rsidRDefault="009F0472" w:rsidP="00364748">
      <w:pPr>
        <w:pStyle w:val="action0"/>
        <w:spacing w:after="0"/>
        <w:ind w:left="567" w:hanging="567"/>
        <w:rPr>
          <w:bCs/>
          <w:iCs/>
        </w:rPr>
      </w:pPr>
      <w:r>
        <w:t>15</w:t>
      </w:r>
      <w:r w:rsidR="00EA7764" w:rsidRPr="00622FB2">
        <w:t>.</w:t>
      </w:r>
      <w:r w:rsidR="00EA7764" w:rsidRPr="00622FB2">
        <w:tab/>
        <w:t xml:space="preserve">poudarja, da mora biti Evropski parlament glede na geopolitične razmere in naložbe, ki jih bo morala Evropska unija izvesti za svojo strateško avtonomijo, zgled; je seznanjen s pripravo konsolidiranega akcijskega načrta za utrditev stališča Parlamenta glede </w:t>
      </w:r>
      <w:r w:rsidR="00EA7764" w:rsidRPr="00622FB2">
        <w:lastRenderedPageBreak/>
        <w:t>digitalne suverenosti; pričakuje, da bo redno prejemal najnovejše informacije o doseženem napredku; poudarja, kako pomembno je zagotoviti visoko raven kibernetske varnosti, varstva podatkov in odpornosti v digitalni infrastrukturi Parlamenta; poudarja, da je treba skrbno oceniti tveganja, povezana z zanašanjem na neevropske ponudnike, tudi z ocenami tveganja; poudarja pomen ohranjanja varnih, konkurenčnih in zanesljivih rešitev, po možnosti tudi z dajanjem prednosti evropskim ponudnikom; poziva k rednemu ocenjevanju komunikacijskih kanalov in digitalnih orodij Parlamenta na podlagi varnosti in skladnosti s pravom EU, in sicer usklajeno z drugimi institucijami EU, da bi zagotovili varstvo parlamentarnih podatkov in celovitost komunikacije;</w:t>
      </w:r>
    </w:p>
    <w:p w14:paraId="5353215B" w14:textId="77777777" w:rsidR="00EA7764" w:rsidRPr="00622FB2" w:rsidRDefault="00EA7764" w:rsidP="00814D47">
      <w:pPr>
        <w:pStyle w:val="action0"/>
        <w:ind w:left="0" w:firstLine="0"/>
        <w:rPr>
          <w:b/>
          <w:i/>
        </w:rPr>
      </w:pPr>
      <w:r w:rsidRPr="00622FB2">
        <w:rPr>
          <w:b/>
          <w:i/>
        </w:rPr>
        <w:t>Infrastruktura</w:t>
      </w:r>
    </w:p>
    <w:p w14:paraId="373370FB" w14:textId="001697D6" w:rsidR="00EA7764" w:rsidRPr="00622FB2" w:rsidRDefault="009F0472" w:rsidP="00B41722">
      <w:pPr>
        <w:pStyle w:val="action0"/>
        <w:ind w:left="567" w:hanging="567"/>
        <w:rPr>
          <w:color w:val="000000"/>
        </w:rPr>
      </w:pPr>
      <w:r>
        <w:rPr>
          <w:color w:val="000000"/>
        </w:rPr>
        <w:t>16</w:t>
      </w:r>
      <w:r w:rsidR="00EA7764" w:rsidRPr="00622FB2">
        <w:rPr>
          <w:color w:val="000000"/>
        </w:rPr>
        <w:t>.</w:t>
      </w:r>
      <w:r w:rsidR="00EA7764" w:rsidRPr="00622FB2">
        <w:rPr>
          <w:color w:val="000000"/>
        </w:rPr>
        <w:tab/>
        <w:t xml:space="preserve">pozdravlja novi pristop v zvezi z nepremičninami, ki je namesto na nakupovanje novih stavb osredotočen na konsolidacijo, ob upoštevanju </w:t>
      </w:r>
      <w:proofErr w:type="spellStart"/>
      <w:r w:rsidR="00EA7764" w:rsidRPr="00622FB2">
        <w:rPr>
          <w:color w:val="000000"/>
        </w:rPr>
        <w:t>trajnostnosti</w:t>
      </w:r>
      <w:proofErr w:type="spellEnd"/>
      <w:r w:rsidR="00EA7764" w:rsidRPr="00622FB2">
        <w:rPr>
          <w:color w:val="000000"/>
        </w:rPr>
        <w:t>, dostopnosti in mobilnosti poslancev in zaposlenih ter obiskovalcev;</w:t>
      </w:r>
    </w:p>
    <w:p w14:paraId="4B822D9E" w14:textId="7DCB94E6" w:rsidR="00EA7764" w:rsidRPr="00622FB2" w:rsidRDefault="009F0472" w:rsidP="00B41722">
      <w:pPr>
        <w:pStyle w:val="action0"/>
        <w:ind w:left="567" w:hanging="567"/>
        <w:rPr>
          <w:color w:val="000000"/>
        </w:rPr>
      </w:pPr>
      <w:r>
        <w:rPr>
          <w:color w:val="000000"/>
        </w:rPr>
        <w:t>17</w:t>
      </w:r>
      <w:r w:rsidR="00EA7764" w:rsidRPr="00622FB2">
        <w:rPr>
          <w:color w:val="000000"/>
        </w:rPr>
        <w:t>.</w:t>
      </w:r>
      <w:r w:rsidR="00EA7764" w:rsidRPr="00622FB2">
        <w:rPr>
          <w:color w:val="000000"/>
        </w:rPr>
        <w:tab/>
        <w:t xml:space="preserve">je seznanjen, da se bo prenova stavbe SPAAK začela leta 2027; ugotavlja, da načrtovani skupni proračun za prenovo znaša 455 milijonov EUR in da je v letu 2027 v ta namen predvidenih 77,67 milijona EUR; poudarja, da ti stroški niso del proračuna za leto 2027; </w:t>
      </w:r>
      <w:bookmarkStart w:id="9" w:name="_Hlk227680019"/>
      <w:r w:rsidR="00EA7764" w:rsidRPr="00622FB2">
        <w:rPr>
          <w:color w:val="000000"/>
        </w:rPr>
        <w:t>poudarja, da je treba zagotoviti strog nadzor nad stroški, preglednost in upoštevanje načrtovanega proračuna;</w:t>
      </w:r>
      <w:r w:rsidR="00EA7764" w:rsidRPr="00622FB2">
        <w:rPr>
          <w:b/>
          <w:i/>
          <w:color w:val="000000"/>
        </w:rPr>
        <w:t xml:space="preserve"> </w:t>
      </w:r>
      <w:bookmarkEnd w:id="9"/>
    </w:p>
    <w:p w14:paraId="5C1CD778" w14:textId="061C498D" w:rsidR="00EA7764" w:rsidRPr="00622FB2" w:rsidRDefault="009F0472" w:rsidP="00B41722">
      <w:pPr>
        <w:pStyle w:val="action0"/>
        <w:ind w:left="567" w:hanging="567"/>
        <w:rPr>
          <w:color w:val="000000"/>
        </w:rPr>
      </w:pPr>
      <w:r>
        <w:rPr>
          <w:color w:val="000000"/>
        </w:rPr>
        <w:t>18</w:t>
      </w:r>
      <w:r w:rsidR="00EA7764" w:rsidRPr="00622FB2">
        <w:rPr>
          <w:color w:val="000000"/>
        </w:rPr>
        <w:t>.</w:t>
      </w:r>
      <w:r w:rsidR="00EA7764" w:rsidRPr="00622FB2">
        <w:rPr>
          <w:color w:val="000000"/>
        </w:rPr>
        <w:tab/>
        <w:t>je seznanjen, da namerava Parlament za financiranje prenove stavbe SPAAK najeti posojila, tudi pri Evropski investicijski banki; je seznanjen, da so v proračun vključeni samo stroški za obresti (3,17 milijona EUR) in odplačilo glavnice (0,65 milijona EUR); poziva, da bi bilo treba po potrebi jasno navesti tudi stroške, ki niso neposredno povezani s prenovitvenimi deli, in jih vključiti v proračun; poziva upravo, naj Odbor za proračun podrobno obvešča o obrestnih merah za ta posojila in dolgoročnem načrtovanju odplačevanja glavnice; poudarja, da je treba zagotoviti preudarno upravljanje dolga;</w:t>
      </w:r>
    </w:p>
    <w:p w14:paraId="598304F6" w14:textId="063E4911" w:rsidR="00EA7764" w:rsidRPr="00622FB2" w:rsidRDefault="009F0472" w:rsidP="00B41722">
      <w:pPr>
        <w:pStyle w:val="action0"/>
        <w:ind w:left="567" w:hanging="567"/>
        <w:rPr>
          <w:b/>
          <w:bCs/>
          <w:i/>
          <w:iCs/>
          <w:color w:val="000000"/>
        </w:rPr>
      </w:pPr>
      <w:r>
        <w:rPr>
          <w:color w:val="000000"/>
        </w:rPr>
        <w:t>19</w:t>
      </w:r>
      <w:r w:rsidR="00EA7764" w:rsidRPr="00622FB2">
        <w:rPr>
          <w:color w:val="000000"/>
        </w:rPr>
        <w:t>.</w:t>
      </w:r>
      <w:r w:rsidR="00EA7764" w:rsidRPr="00622FB2">
        <w:rPr>
          <w:color w:val="000000"/>
        </w:rPr>
        <w:tab/>
        <w:t>obžaluje zamude pri odpiranju središč Doživi Evropo v vseh državah članicah; pozdravlja novi koncept za optimizacijo uporabe prostorov Doživi Evropo, ki ga je predsedstvo potrdilo 31. marca 2025, pri čemer je upoštevalo različne razmere v državah članicah; poudarja, kako pomembno je, da središča Doživi Evropo ponujajo zanimivo izkušnjo, ki bo privabila državljane; poziva, naj se središča Doživi Evropo najprej ustanavljajo v državah članicah, ki so najbolj oddaljene od treh krajev dela, hkrati pa je treba poskrbeti, da bosta njihova vzpostavitev in delovanje ostala stroškovno učinkovita; ponovno poudarja, da naj bi se državljani v teh središčih bolje seznanili z delovanjem evropskih institucij in našimi skupnimi vrednotami; poudarja, da je treba proračunska sredstva teh središč uporabljati smotrno, da bi zagotovili učinkovito komunikacijo in odnose z javnostjo, zlasti z mladimi in ranljivimi skupinami; poudarja, da bi bilo treba financirati predvsem razširjanje konkretnih in dostopnih informacij o lokalnem učinku politik EU, saj so stroškovno učinkovito orodje za zaščito demokratične integritete Unije pred dezinformacijami;</w:t>
      </w:r>
    </w:p>
    <w:p w14:paraId="12624090" w14:textId="1E85D669" w:rsidR="00EA7764" w:rsidRPr="00622FB2" w:rsidRDefault="009F0472" w:rsidP="00B41722">
      <w:pPr>
        <w:pStyle w:val="action0"/>
        <w:ind w:left="567" w:hanging="567"/>
        <w:rPr>
          <w:bCs/>
          <w:iCs/>
          <w:color w:val="000000"/>
        </w:rPr>
      </w:pPr>
      <w:r>
        <w:rPr>
          <w:color w:val="000000"/>
        </w:rPr>
        <w:t>20</w:t>
      </w:r>
      <w:r w:rsidR="00EA7764" w:rsidRPr="00622FB2">
        <w:rPr>
          <w:color w:val="000000"/>
        </w:rPr>
        <w:t>.</w:t>
      </w:r>
      <w:r w:rsidR="00EA7764" w:rsidRPr="00622FB2">
        <w:rPr>
          <w:color w:val="000000"/>
        </w:rPr>
        <w:tab/>
        <w:t xml:space="preserve">opozarja na pomen programa Šole ambasadorke Evropskega parlamenta za spodbujanje dejavnega udejstvovanja mladih Evropejcev in programa usposabljanja za mlade novinarje, poimenovanega po Davidu </w:t>
      </w:r>
      <w:proofErr w:type="spellStart"/>
      <w:r w:rsidR="00EA7764" w:rsidRPr="00622FB2">
        <w:rPr>
          <w:color w:val="000000"/>
        </w:rPr>
        <w:t>Sassoliju</w:t>
      </w:r>
      <w:proofErr w:type="spellEnd"/>
      <w:r w:rsidR="00EA7764" w:rsidRPr="00622FB2">
        <w:rPr>
          <w:color w:val="000000"/>
        </w:rPr>
        <w:t>, da bi med novinarji izboljšali poznavanje Unije in njenega delovanja, saj gre za najboljše sredstvo proti dezinformacijam glede na nedavne trende, ki kažejo skrb vzbujajoč upad medijske svobode in neodvisnosti po vsej Uniji;</w:t>
      </w:r>
    </w:p>
    <w:p w14:paraId="5E539D11" w14:textId="0F7F4DB1" w:rsidR="00EA7764" w:rsidRPr="00622FB2" w:rsidRDefault="009F0472" w:rsidP="00B41722">
      <w:pPr>
        <w:pStyle w:val="action0"/>
        <w:ind w:left="567" w:hanging="567"/>
        <w:rPr>
          <w:bCs/>
          <w:iCs/>
          <w:color w:val="000000"/>
        </w:rPr>
      </w:pPr>
      <w:r>
        <w:rPr>
          <w:color w:val="000000"/>
        </w:rPr>
        <w:lastRenderedPageBreak/>
        <w:t>21</w:t>
      </w:r>
      <w:r w:rsidR="00EA7764" w:rsidRPr="00622FB2">
        <w:rPr>
          <w:color w:val="000000"/>
        </w:rPr>
        <w:t>.</w:t>
      </w:r>
      <w:r w:rsidR="00EA7764" w:rsidRPr="00622FB2">
        <w:rPr>
          <w:color w:val="000000"/>
        </w:rPr>
        <w:tab/>
        <w:t>znova izraža podporo izgradnji vseevropskega spomenika žrtvam totalitarnih režimov 20. stoletja v Bruslju, ki bo odražal raznolikost zgodovinskih izkušenj; poziva predsedstvo, naj to zadevo preuči in sprejme sklep, pri čemer naj ustrezno upošteva proračunske omejitve zadnjih let sedanjega večletnega finančnega okvira in gospodarske težave, s katerimi se soočajo evropski državljani;</w:t>
      </w:r>
    </w:p>
    <w:p w14:paraId="48BD7D53" w14:textId="21D44716" w:rsidR="00EA7764" w:rsidRPr="00622FB2" w:rsidRDefault="009F0472" w:rsidP="00B41722">
      <w:pPr>
        <w:pStyle w:val="action0"/>
        <w:ind w:left="567" w:hanging="567"/>
        <w:rPr>
          <w:bCs/>
          <w:iCs/>
          <w:color w:val="000000"/>
        </w:rPr>
      </w:pPr>
      <w:r>
        <w:rPr>
          <w:color w:val="000000"/>
        </w:rPr>
        <w:t>22</w:t>
      </w:r>
      <w:r w:rsidR="00EA7764" w:rsidRPr="00622FB2">
        <w:rPr>
          <w:color w:val="000000"/>
        </w:rPr>
        <w:t>.</w:t>
      </w:r>
      <w:r w:rsidR="00EA7764" w:rsidRPr="00622FB2">
        <w:rPr>
          <w:color w:val="000000"/>
        </w:rPr>
        <w:tab/>
        <w:t xml:space="preserve">poudarja, da bi lahko Parlament z enim samim sedežem zmanjšal finančne in </w:t>
      </w:r>
      <w:proofErr w:type="spellStart"/>
      <w:r w:rsidR="00EA7764" w:rsidRPr="00622FB2">
        <w:rPr>
          <w:color w:val="000000"/>
        </w:rPr>
        <w:t>okoljske</w:t>
      </w:r>
      <w:proofErr w:type="spellEnd"/>
      <w:r w:rsidR="00EA7764" w:rsidRPr="00622FB2">
        <w:rPr>
          <w:color w:val="000000"/>
        </w:rPr>
        <w:t xml:space="preserve"> stroške; opozarja, da bi moral biti sedež Evropskega parlamenta v skladu s Pogodbo o Evropski uniji v Strasbourgu; ugotavlja, da bi bilo treba za uvedbo trajnih sprememb to pogodbo spremeniti, za kar je potrebno soglasje;</w:t>
      </w:r>
    </w:p>
    <w:p w14:paraId="287DC56D" w14:textId="77777777" w:rsidR="00EA7764" w:rsidRPr="00622FB2" w:rsidRDefault="00EA7764" w:rsidP="00B41722">
      <w:pPr>
        <w:pStyle w:val="action0"/>
        <w:ind w:left="0" w:firstLine="0"/>
        <w:rPr>
          <w:b/>
          <w:i/>
          <w:color w:val="000000"/>
        </w:rPr>
      </w:pPr>
      <w:r w:rsidRPr="00622FB2">
        <w:rPr>
          <w:b/>
          <w:i/>
          <w:color w:val="000000"/>
        </w:rPr>
        <w:t xml:space="preserve">Zeleni Parlament </w:t>
      </w:r>
    </w:p>
    <w:p w14:paraId="7C0BAC21" w14:textId="67B7CAEA" w:rsidR="00EA7764" w:rsidRPr="00622FB2" w:rsidRDefault="009F0472" w:rsidP="00B41722">
      <w:pPr>
        <w:widowControl/>
        <w:spacing w:after="240"/>
        <w:ind w:left="567" w:hanging="567"/>
        <w:rPr>
          <w:color w:val="000000"/>
        </w:rPr>
      </w:pPr>
      <w:r>
        <w:rPr>
          <w:color w:val="000000"/>
        </w:rPr>
        <w:t>23</w:t>
      </w:r>
      <w:r w:rsidR="00EA7764" w:rsidRPr="00622FB2">
        <w:rPr>
          <w:color w:val="000000"/>
        </w:rPr>
        <w:t>.</w:t>
      </w:r>
      <w:r w:rsidR="00EA7764" w:rsidRPr="00622FB2">
        <w:rPr>
          <w:color w:val="000000"/>
        </w:rPr>
        <w:tab/>
        <w:t xml:space="preserve">pozdravlja cilje Parlamenta v sistemu </w:t>
      </w:r>
      <w:proofErr w:type="spellStart"/>
      <w:r w:rsidR="00EA7764" w:rsidRPr="00622FB2">
        <w:rPr>
          <w:color w:val="000000"/>
        </w:rPr>
        <w:t>okoljskega</w:t>
      </w:r>
      <w:proofErr w:type="spellEnd"/>
      <w:r w:rsidR="00EA7764" w:rsidRPr="00622FB2">
        <w:rPr>
          <w:color w:val="000000"/>
        </w:rPr>
        <w:t xml:space="preserve"> upravljanja (EMAS) za obdobje 2025-2029; pozdravlja naložbe v infrastrukturo v okviru načrtovanih ukrepov za energijsko učinkovitost in okoljsko prenovo, predvidenih med letoma 2025 in 2029, kar je dober način za doseganje stroškovne učinkovitosti; je seznanjen, da je v načrtu prihodkov in odhodkov za leto 2027 predviden proračun v višini 8,97 milijona EUR za naložbe v energetsko učinkovitost in okolje, da bi še izboljšali okoljsko učinkovitost stavb; ugotavlja, da gre za 6,1-odstotno povečanje v primerjavi s proračunom za leto 2026; je seznanjen, da je Evropski parlament že namestil in še namešča </w:t>
      </w:r>
      <w:proofErr w:type="spellStart"/>
      <w:r w:rsidR="00EA7764" w:rsidRPr="00622FB2">
        <w:rPr>
          <w:color w:val="000000"/>
        </w:rPr>
        <w:t>fotovoltaične</w:t>
      </w:r>
      <w:proofErr w:type="spellEnd"/>
      <w:r w:rsidR="00EA7764" w:rsidRPr="00622FB2">
        <w:rPr>
          <w:color w:val="000000"/>
        </w:rPr>
        <w:t xml:space="preserve"> sončne panele, da bi še povečal delež energije iz obnovljivih virov, proizvedene na kraju samem; poudarja, da je treba poskrbeti, da bodo te naložbe tudi zaradi geopolitičnih razmer prinesle merljivo povečanje učinkovitosti in dolgoročne prihranke pri stroških;</w:t>
      </w:r>
    </w:p>
    <w:p w14:paraId="66D75D68" w14:textId="10F06E7E" w:rsidR="00EA7764" w:rsidRPr="00622FB2" w:rsidRDefault="009F0472" w:rsidP="00B41722">
      <w:pPr>
        <w:widowControl/>
        <w:spacing w:after="240"/>
        <w:ind w:left="567" w:hanging="567"/>
        <w:rPr>
          <w:bCs/>
          <w:iCs/>
          <w:color w:val="000000"/>
        </w:rPr>
      </w:pPr>
      <w:r>
        <w:rPr>
          <w:color w:val="000000"/>
        </w:rPr>
        <w:t>24</w:t>
      </w:r>
      <w:r w:rsidR="00EA7764" w:rsidRPr="00622FB2">
        <w:rPr>
          <w:color w:val="000000"/>
        </w:rPr>
        <w:t>.</w:t>
      </w:r>
      <w:r w:rsidR="00EA7764" w:rsidRPr="00622FB2">
        <w:rPr>
          <w:color w:val="000000"/>
        </w:rPr>
        <w:tab/>
        <w:t xml:space="preserve">opozarja, da skoraj dve tretjini </w:t>
      </w:r>
      <w:proofErr w:type="spellStart"/>
      <w:r w:rsidR="00EA7764" w:rsidRPr="00622FB2">
        <w:rPr>
          <w:color w:val="000000"/>
        </w:rPr>
        <w:t>ogljičnega</w:t>
      </w:r>
      <w:proofErr w:type="spellEnd"/>
      <w:r w:rsidR="00EA7764" w:rsidRPr="00622FB2">
        <w:rPr>
          <w:color w:val="000000"/>
        </w:rPr>
        <w:t xml:space="preserve"> odtisa Parlamenta nastaneta zaradi prevoza ljudi; ugotavlja, da se znaten delež proračuna Parlamenta (162,1 </w:t>
      </w:r>
      <w:r w:rsidR="00771E31" w:rsidRPr="00622FB2">
        <w:rPr>
          <w:color w:val="000000"/>
        </w:rPr>
        <w:t>milijona</w:t>
      </w:r>
      <w:r w:rsidR="00EA7764" w:rsidRPr="00622FB2">
        <w:rPr>
          <w:color w:val="000000"/>
        </w:rPr>
        <w:t xml:space="preserve"> EUR v letu 2027) porabi za kritje stroškov službenih potovanj poslancev in uslužbencev; poziva organe Parlamenta, naj razmislijo o praktičnih vidikih službenih potovanj zunaj treh krajev dela ter o reviziji pravil in prakse, da bi zmanjšali število teh potovanj ter s tem povezane finančne in </w:t>
      </w:r>
      <w:proofErr w:type="spellStart"/>
      <w:r w:rsidR="00EA7764" w:rsidRPr="00622FB2">
        <w:rPr>
          <w:color w:val="000000"/>
        </w:rPr>
        <w:t>okoljske</w:t>
      </w:r>
      <w:proofErr w:type="spellEnd"/>
      <w:r w:rsidR="00EA7764" w:rsidRPr="00622FB2">
        <w:rPr>
          <w:color w:val="000000"/>
        </w:rPr>
        <w:t xml:space="preserve"> stroške; spodbuja poslance, naj uporabljajo </w:t>
      </w:r>
      <w:proofErr w:type="spellStart"/>
      <w:r w:rsidR="00EA7764" w:rsidRPr="00622FB2">
        <w:rPr>
          <w:color w:val="000000"/>
        </w:rPr>
        <w:t>nizkoogljična</w:t>
      </w:r>
      <w:proofErr w:type="spellEnd"/>
      <w:r w:rsidR="00EA7764" w:rsidRPr="00622FB2">
        <w:rPr>
          <w:color w:val="000000"/>
        </w:rPr>
        <w:t xml:space="preserve"> prevozna sredstva in ekonomsko najugodnejše polete;</w:t>
      </w:r>
    </w:p>
    <w:p w14:paraId="6F273C84" w14:textId="72CB986F" w:rsidR="00EA7764" w:rsidRPr="00622FB2" w:rsidRDefault="009F0472" w:rsidP="00B41722">
      <w:pPr>
        <w:widowControl/>
        <w:spacing w:after="240"/>
        <w:ind w:left="567" w:hanging="567"/>
        <w:rPr>
          <w:bCs/>
          <w:iCs/>
          <w:color w:val="000000"/>
        </w:rPr>
      </w:pPr>
      <w:r>
        <w:rPr>
          <w:color w:val="000000"/>
        </w:rPr>
        <w:t>25</w:t>
      </w:r>
      <w:r w:rsidR="00EA7764" w:rsidRPr="00622FB2">
        <w:rPr>
          <w:color w:val="000000"/>
        </w:rPr>
        <w:t>.</w:t>
      </w:r>
      <w:r w:rsidR="00EA7764" w:rsidRPr="00622FB2">
        <w:rPr>
          <w:color w:val="000000"/>
        </w:rPr>
        <w:tab/>
        <w:t>pozdravlja pogostejšo uporabo javnih prevoznih sredstev za pot v službo in hkrati ugotavlja, da se je povečalo povpraševanje po finančnih subvencijah za sezonske vozovnice za javni prevoz, zlasti v Bruslju, zaradi česar se je povečal tudi proračun; meni, da mora Parlament dajati zgled, tako da spodbuja možne ukrepe za učinkovito rabo virov z izboljšanjem trajnostnih načinov prevoza na delo in ustvarjanjem dodatnih spodbud za prevoz na delo s kolesi;</w:t>
      </w:r>
    </w:p>
    <w:p w14:paraId="4F4976B5" w14:textId="07A3D12A" w:rsidR="00EA7764" w:rsidRPr="00622FB2" w:rsidRDefault="009F0472" w:rsidP="00B41722">
      <w:pPr>
        <w:widowControl/>
        <w:spacing w:after="240"/>
        <w:ind w:left="567" w:hanging="567"/>
        <w:rPr>
          <w:color w:val="000000"/>
        </w:rPr>
      </w:pPr>
      <w:r>
        <w:rPr>
          <w:color w:val="000000"/>
        </w:rPr>
        <w:t>26</w:t>
      </w:r>
      <w:r w:rsidR="00EA7764" w:rsidRPr="00622FB2">
        <w:rPr>
          <w:color w:val="000000"/>
        </w:rPr>
        <w:t>.</w:t>
      </w:r>
      <w:r w:rsidR="00EA7764" w:rsidRPr="00622FB2">
        <w:rPr>
          <w:color w:val="000000"/>
        </w:rPr>
        <w:tab/>
        <w:t>je seznanjen z znatnim zvišanjem cen emisijskih kuponov, za katere bi glede na sedanje ravni emisij za leto 2027 potrebovali 950 000 EUR; poziva upravo, naj namesto nakupa emisijskih dobropisov raje zmanjša emisije Parlamenta, tudi s povečanjem naložb v sisteme čistega ogrevanja, prezračevanja in hlajenja, zlasti v naprave toplotnih črpalk v Bruslju, ter z drugimi sorazmernimi in stroškovno učinkovitimi ukrepi za zmanjšanje emisij, kjer je to razumno; pozdravlja razširjeno ponudbo vlakov za službena potovanja v Strasbourg od junija 2025, kar je pozitiven korak k zmanjšanju emisij CO</w:t>
      </w:r>
      <w:r w:rsidR="00EA7764" w:rsidRPr="00622FB2">
        <w:rPr>
          <w:color w:val="000000"/>
          <w:vertAlign w:val="subscript"/>
        </w:rPr>
        <w:t>2</w:t>
      </w:r>
      <w:r w:rsidR="00EA7764" w:rsidRPr="00622FB2">
        <w:rPr>
          <w:color w:val="000000"/>
        </w:rPr>
        <w:t xml:space="preserve">; </w:t>
      </w:r>
    </w:p>
    <w:p w14:paraId="505BE72D" w14:textId="77777777" w:rsidR="00EA7764" w:rsidRPr="00622FB2" w:rsidRDefault="00EA7764" w:rsidP="00B41722">
      <w:pPr>
        <w:pStyle w:val="action0"/>
        <w:ind w:left="0" w:firstLine="0"/>
        <w:rPr>
          <w:b/>
          <w:i/>
          <w:color w:val="000000"/>
        </w:rPr>
      </w:pPr>
      <w:r w:rsidRPr="00622FB2">
        <w:rPr>
          <w:b/>
          <w:i/>
          <w:color w:val="000000"/>
        </w:rPr>
        <w:t>Drugo</w:t>
      </w:r>
    </w:p>
    <w:p w14:paraId="70C098FD" w14:textId="329BEF08" w:rsidR="00EA7764" w:rsidRPr="00622FB2" w:rsidRDefault="009F0472" w:rsidP="00B41722">
      <w:pPr>
        <w:pStyle w:val="action0"/>
        <w:ind w:left="567" w:hanging="567"/>
        <w:rPr>
          <w:bCs/>
          <w:iCs/>
          <w:color w:val="000000"/>
        </w:rPr>
      </w:pPr>
      <w:r>
        <w:rPr>
          <w:color w:val="000000"/>
        </w:rPr>
        <w:t>27</w:t>
      </w:r>
      <w:r w:rsidR="00EA7764" w:rsidRPr="00622FB2">
        <w:rPr>
          <w:color w:val="000000"/>
        </w:rPr>
        <w:t>.</w:t>
      </w:r>
      <w:r w:rsidR="00EA7764" w:rsidRPr="00622FB2">
        <w:rPr>
          <w:color w:val="000000"/>
        </w:rPr>
        <w:tab/>
        <w:t xml:space="preserve">znova poziva konferenco predsednikov, naj nemudoma sprejme sklep o ustreznih členih svojega notranjega pravilnika o sodelovanju akreditiranih parlamentarnih pomočnikov, </w:t>
      </w:r>
      <w:r w:rsidR="00EA7764" w:rsidRPr="00622FB2">
        <w:rPr>
          <w:color w:val="000000"/>
        </w:rPr>
        <w:lastRenderedPageBreak/>
        <w:t>ki spremljajo poslance na uradnih službenih potovanjih in delegacijah zunaj treh krajev dela Parlamenta, če sekretariat Parlamenta ni bil uradno obveščen, da se jih bo udeležil uslužbenec njihove politične skupine;</w:t>
      </w:r>
    </w:p>
    <w:p w14:paraId="27BA147A" w14:textId="232DD748" w:rsidR="00EA7764" w:rsidRPr="00622FB2" w:rsidRDefault="009F0472" w:rsidP="00B41722">
      <w:pPr>
        <w:spacing w:after="240"/>
        <w:ind w:left="567" w:hanging="567"/>
        <w:rPr>
          <w:b/>
          <w:i/>
          <w:color w:val="000000"/>
        </w:rPr>
      </w:pPr>
      <w:r>
        <w:rPr>
          <w:color w:val="000000"/>
        </w:rPr>
        <w:t>28</w:t>
      </w:r>
      <w:r w:rsidR="00EA7764" w:rsidRPr="00622FB2">
        <w:rPr>
          <w:color w:val="000000"/>
        </w:rPr>
        <w:t>.</w:t>
      </w:r>
      <w:r w:rsidR="00EA7764" w:rsidRPr="00622FB2">
        <w:rPr>
          <w:color w:val="000000"/>
        </w:rPr>
        <w:tab/>
        <w:t>meni, da bi moral biti Parlament kot delodajalec in javna institucija zgled za spoštovanje pravic invalidov; pozdravlja politiko, s katero želi Parlament poskrbeti, da bodo lahko invalidi popolnoma neodvisno uporabljali parlamentarne stavbe, ter podpira potrebne nadaljnje ukrepe in prilagoditve v zvezi s tem; ugotavlja, da je v proračunu v ta namen predvidenih 2,07 milijona EUR za stavbe v Strasbourgu; poudarja, da bi morala biti dostopnost ključno merilo pri prenovi stavbe SPAAK in razvoju vseh digitalnih platform;</w:t>
      </w:r>
      <w:r w:rsidR="00EA7764" w:rsidRPr="00622FB2">
        <w:rPr>
          <w:b/>
          <w:i/>
          <w:color w:val="000000"/>
        </w:rPr>
        <w:t xml:space="preserve"> </w:t>
      </w:r>
    </w:p>
    <w:p w14:paraId="799243EE" w14:textId="495DED37" w:rsidR="00A4075D" w:rsidRDefault="00A4075D" w:rsidP="00B41722">
      <w:pPr>
        <w:spacing w:after="240"/>
        <w:ind w:left="567" w:hanging="567"/>
        <w:rPr>
          <w:color w:val="000000"/>
        </w:rPr>
      </w:pPr>
      <w:r>
        <w:rPr>
          <w:color w:val="000000"/>
        </w:rPr>
        <w:t>29</w:t>
      </w:r>
      <w:r w:rsidRPr="00A4075D">
        <w:rPr>
          <w:color w:val="000000"/>
        </w:rPr>
        <w:t xml:space="preserve">. </w:t>
      </w:r>
      <w:r w:rsidRPr="00A4075D">
        <w:rPr>
          <w:color w:val="000000"/>
        </w:rPr>
        <w:tab/>
        <w:t>pozdravlja nedavne pobude, ki sta jih potrdila konferenca predsednikov in predsedstvo, da se poslankam v perinatalnem obdobju omogoči glasovanje prek pooblaščenca, in to priznava kot pozitiven korak k večji vključenosti v parlamentarno delo ter poziva vse strani k hitri izvedbi tega ukrepa; vendar vztraja, da ta ukrep ne izpolnjuje večkratnih zahtev Parlamenta, naj se možnost glasovanja na daljavo ne zagotovi le poslankam v perinatalnem obdobju, temveč tudi poslankam in poslancem, ki so na starševskem ali očetovskem dopustu oziroma imajo potrjeno dolgotrajno bolezen;</w:t>
      </w:r>
    </w:p>
    <w:p w14:paraId="28B05BD2" w14:textId="469D6B6B" w:rsidR="00EA7764" w:rsidRPr="00622FB2" w:rsidRDefault="0025061B" w:rsidP="00B41722">
      <w:pPr>
        <w:spacing w:after="240"/>
        <w:ind w:left="567" w:hanging="567"/>
        <w:rPr>
          <w:bCs/>
          <w:iCs/>
          <w:color w:val="000000"/>
        </w:rPr>
      </w:pPr>
      <w:r>
        <w:rPr>
          <w:color w:val="000000"/>
        </w:rPr>
        <w:t>30</w:t>
      </w:r>
      <w:r w:rsidR="00EA7764" w:rsidRPr="00622FB2">
        <w:rPr>
          <w:color w:val="000000"/>
        </w:rPr>
        <w:t>.</w:t>
      </w:r>
      <w:r w:rsidR="00EA7764" w:rsidRPr="00622FB2">
        <w:rPr>
          <w:color w:val="000000"/>
        </w:rPr>
        <w:tab/>
      </w:r>
      <w:r w:rsidR="00364748" w:rsidRPr="00364748">
        <w:rPr>
          <w:color w:val="000000"/>
        </w:rPr>
        <w:t xml:space="preserve">je zaskrbljen, ker so na kakovost in neprekinjenost storitev v parlamentarnem vrtcu </w:t>
      </w:r>
      <w:proofErr w:type="spellStart"/>
      <w:r w:rsidR="00364748" w:rsidRPr="00364748">
        <w:rPr>
          <w:color w:val="000000"/>
        </w:rPr>
        <w:t>Wayenberg</w:t>
      </w:r>
      <w:proofErr w:type="spellEnd"/>
      <w:r w:rsidR="00364748" w:rsidRPr="00364748">
        <w:rPr>
          <w:color w:val="000000"/>
        </w:rPr>
        <w:t xml:space="preserve"> od leta 2020 vplivale pogoste zamenjave ponudnikov storitev, pa tudi izzivi zaradi pomanjkanja osebja, pogoste odsotnosti z dela in fluktuacije zaposlenih; je seznanjen, da je bila sedanja pogodba za otroško varstvo Parlamenta v Bruslju sklenjena z novim podjetjem, ki je bilo ustanovljeno kmalu po objavi razpisa in naj bi bilo povezano s prejšnjim ponudnikom </w:t>
      </w:r>
      <w:proofErr w:type="spellStart"/>
      <w:r w:rsidR="00364748" w:rsidRPr="00364748">
        <w:rPr>
          <w:color w:val="000000"/>
        </w:rPr>
        <w:t>Esedro</w:t>
      </w:r>
      <w:proofErr w:type="spellEnd"/>
      <w:r w:rsidR="00364748" w:rsidRPr="00364748">
        <w:rPr>
          <w:color w:val="000000"/>
        </w:rPr>
        <w:t xml:space="preserve">; opominja, da je Parlament pogodbo s prejšnjim izvajalcem v vrtcu </w:t>
      </w:r>
      <w:proofErr w:type="spellStart"/>
      <w:r w:rsidR="00364748" w:rsidRPr="00364748">
        <w:rPr>
          <w:color w:val="000000"/>
        </w:rPr>
        <w:t>Crèche</w:t>
      </w:r>
      <w:proofErr w:type="spellEnd"/>
      <w:r w:rsidR="00364748" w:rsidRPr="00364748">
        <w:rPr>
          <w:color w:val="000000"/>
        </w:rPr>
        <w:t xml:space="preserve"> </w:t>
      </w:r>
      <w:proofErr w:type="spellStart"/>
      <w:r w:rsidR="00364748" w:rsidRPr="00364748">
        <w:rPr>
          <w:color w:val="000000"/>
        </w:rPr>
        <w:t>Wayenberg</w:t>
      </w:r>
      <w:proofErr w:type="spellEnd"/>
      <w:r w:rsidR="00364748" w:rsidRPr="00364748">
        <w:rPr>
          <w:color w:val="000000"/>
        </w:rPr>
        <w:t xml:space="preserve">, podjetjem </w:t>
      </w:r>
      <w:proofErr w:type="spellStart"/>
      <w:r w:rsidR="00364748" w:rsidRPr="00364748">
        <w:rPr>
          <w:color w:val="000000"/>
        </w:rPr>
        <w:t>Esedra</w:t>
      </w:r>
      <w:proofErr w:type="spellEnd"/>
      <w:r w:rsidR="00364748" w:rsidRPr="00364748">
        <w:rPr>
          <w:color w:val="000000"/>
        </w:rPr>
        <w:t>, predčasno prekinil, saj so bile zoper njega podane resne obtožbe; ponovno poudarja, da bi morali biti dostojni delovni pogoji in ustrezno plačilo za zunanje sodelavce, med drugim usposabljanje, razvoj znanj in spretnosti, ukrepi zoper nasilje in nadlegovanje, resničen socialni dialog ter naložbe v dobro počutje zaposlenih, načeloma prednostna naloga pri javnih naročilih Parlamenta, kjer je to ustrezno;</w:t>
      </w:r>
    </w:p>
    <w:p w14:paraId="10BF566B" w14:textId="202EC1F0" w:rsidR="00EA7764" w:rsidRPr="00622FB2" w:rsidRDefault="009F0472" w:rsidP="00B41722">
      <w:pPr>
        <w:spacing w:after="240"/>
        <w:ind w:left="567" w:hanging="567"/>
        <w:rPr>
          <w:bCs/>
          <w:iCs/>
          <w:color w:val="000000"/>
        </w:rPr>
      </w:pPr>
      <w:r>
        <w:rPr>
          <w:color w:val="000000"/>
        </w:rPr>
        <w:t>3</w:t>
      </w:r>
      <w:r w:rsidR="0025061B">
        <w:rPr>
          <w:color w:val="000000"/>
        </w:rPr>
        <w:t>1</w:t>
      </w:r>
      <w:r w:rsidR="00EA7764" w:rsidRPr="00622FB2">
        <w:rPr>
          <w:color w:val="000000"/>
        </w:rPr>
        <w:t>.</w:t>
      </w:r>
      <w:r w:rsidR="00EA7764" w:rsidRPr="00622FB2">
        <w:rPr>
          <w:color w:val="000000"/>
        </w:rPr>
        <w:tab/>
        <w:t>pozdravlja družinsko sobo v Strasbourgu kot dragoceno podporo poslancem in zaposlenim z majhnimi otroki pri njihovih parlamentarnih dejavnostih; vendar ugotavlja, da lahko sprejme samo 30 otrok; ugotavlja, da se je povprečna starost poslancev in uslužbencev Evropskega parlamenta v zadnjih letih znižala, zaradi česar se je povečalo število mladih družin in povpraševanje po otroškem varstvu; poziva predsedstvo in generalnega sekretarja, naj opredelita in izvedeta rešitve za nadaljnje izboljšanje otroškega varstva v Strasbourgu;</w:t>
      </w:r>
    </w:p>
    <w:p w14:paraId="1762F328" w14:textId="3CD2D467" w:rsidR="00EA7764" w:rsidRPr="00622FB2" w:rsidRDefault="009F0472" w:rsidP="00B41722">
      <w:pPr>
        <w:spacing w:after="240"/>
        <w:ind w:left="567" w:hanging="567"/>
        <w:rPr>
          <w:color w:val="000000"/>
        </w:rPr>
      </w:pPr>
      <w:r>
        <w:rPr>
          <w:color w:val="000000"/>
        </w:rPr>
        <w:t>3</w:t>
      </w:r>
      <w:r w:rsidR="0025061B">
        <w:rPr>
          <w:color w:val="000000"/>
        </w:rPr>
        <w:t>2</w:t>
      </w:r>
      <w:r w:rsidR="00EA7764" w:rsidRPr="00622FB2">
        <w:rPr>
          <w:color w:val="000000"/>
        </w:rPr>
        <w:t>.</w:t>
      </w:r>
      <w:r w:rsidR="00EA7764" w:rsidRPr="00622FB2">
        <w:rPr>
          <w:color w:val="000000"/>
        </w:rPr>
        <w:tab/>
        <w:t xml:space="preserve">znova poziva generalnega sekretarja, naj poudari temeljno načelo, po katerem bi moralo zaposlovanje v celoti temeljiti na kompetencah, hkrati pa je treba ohraniti geografsko uravnoteženost med vsemi državami članicami na vseh kadrovskih ravneh; poudarja, da je pravična geografska zastopanost na vseh ravneh uprave, tudi z vidika starosti in spola, bistvena za spodbujanje resnično evropske javne uprave; ugotavlja, da je Parlament sprejel ukrepe v podporo temu cilju, vključno z organizacijo natečajev za posamezne države; poudarja, da je treba natečaje pospešiti, ob tem pa ohraniti izbirni pristop, pri katerem se strogo upoštevajo dosežki; </w:t>
      </w:r>
    </w:p>
    <w:p w14:paraId="4A17066B" w14:textId="7F2B4071" w:rsidR="00EA7764" w:rsidRPr="00622FB2" w:rsidRDefault="009F0472" w:rsidP="00B41722">
      <w:pPr>
        <w:spacing w:after="240"/>
        <w:ind w:left="567" w:hanging="567"/>
        <w:rPr>
          <w:color w:val="000000"/>
        </w:rPr>
      </w:pPr>
      <w:r>
        <w:rPr>
          <w:color w:val="000000"/>
        </w:rPr>
        <w:t>3</w:t>
      </w:r>
      <w:r w:rsidR="0025061B">
        <w:rPr>
          <w:color w:val="000000"/>
        </w:rPr>
        <w:t>3</w:t>
      </w:r>
      <w:r w:rsidR="00EA7764" w:rsidRPr="00622FB2">
        <w:rPr>
          <w:color w:val="000000"/>
        </w:rPr>
        <w:t>.</w:t>
      </w:r>
      <w:r w:rsidR="00EA7764" w:rsidRPr="00622FB2">
        <w:rPr>
          <w:color w:val="000000"/>
        </w:rPr>
        <w:tab/>
        <w:t xml:space="preserve">poudarja, da je večjezičnost osrednje načelo, ki ga Parlament upošteva pri delu; poziva Parlament, naj po potrebi izkoristi pomemben tehnološki razvoj storitev, povezanih z </w:t>
      </w:r>
      <w:r w:rsidR="00EA7764" w:rsidRPr="00622FB2">
        <w:rPr>
          <w:color w:val="000000"/>
        </w:rPr>
        <w:lastRenderedPageBreak/>
        <w:t xml:space="preserve">večjezičnostjo, vključno z razvojem in uporabo umetne inteligence; </w:t>
      </w:r>
    </w:p>
    <w:p w14:paraId="705E1C3F" w14:textId="395424C4" w:rsidR="00EA7764" w:rsidRPr="00622FB2" w:rsidRDefault="009F0472" w:rsidP="00B41722">
      <w:pPr>
        <w:spacing w:after="240"/>
        <w:ind w:left="567" w:hanging="567"/>
        <w:rPr>
          <w:bCs/>
          <w:iCs/>
          <w:color w:val="000000"/>
        </w:rPr>
      </w:pPr>
      <w:r>
        <w:rPr>
          <w:color w:val="000000"/>
        </w:rPr>
        <w:t>3</w:t>
      </w:r>
      <w:r w:rsidR="0025061B">
        <w:rPr>
          <w:color w:val="000000"/>
        </w:rPr>
        <w:t>4</w:t>
      </w:r>
      <w:r w:rsidR="00EA7764" w:rsidRPr="00622FB2">
        <w:rPr>
          <w:color w:val="000000"/>
        </w:rPr>
        <w:t>.</w:t>
      </w:r>
      <w:r w:rsidR="00EA7764" w:rsidRPr="00622FB2">
        <w:rPr>
          <w:color w:val="000000"/>
        </w:rPr>
        <w:tab/>
        <w:t xml:space="preserve">je seznanjen s sodbo </w:t>
      </w:r>
      <w:r w:rsidR="00CA0B8B" w:rsidRPr="00622FB2">
        <w:rPr>
          <w:color w:val="000000"/>
        </w:rPr>
        <w:t>S</w:t>
      </w:r>
      <w:r w:rsidR="00EA7764" w:rsidRPr="00622FB2">
        <w:rPr>
          <w:color w:val="000000"/>
        </w:rPr>
        <w:t>plošnega sodišča</w:t>
      </w:r>
      <w:r w:rsidR="00BD194F" w:rsidRPr="00622FB2">
        <w:rPr>
          <w:color w:val="000000"/>
        </w:rPr>
        <w:t>, sodnega organa</w:t>
      </w:r>
      <w:r w:rsidR="00EA7764" w:rsidRPr="00622FB2">
        <w:rPr>
          <w:color w:val="000000"/>
        </w:rPr>
        <w:t xml:space="preserve"> Sodišč</w:t>
      </w:r>
      <w:r w:rsidR="00BD194F" w:rsidRPr="00622FB2">
        <w:rPr>
          <w:color w:val="000000"/>
        </w:rPr>
        <w:t>a</w:t>
      </w:r>
      <w:r w:rsidR="00EA7764" w:rsidRPr="00622FB2">
        <w:rPr>
          <w:color w:val="000000"/>
        </w:rPr>
        <w:t xml:space="preserve"> Evropske unije</w:t>
      </w:r>
      <w:r w:rsidR="00BD194F" w:rsidRPr="00622FB2">
        <w:rPr>
          <w:color w:val="000000"/>
        </w:rPr>
        <w:t>,</w:t>
      </w:r>
      <w:r w:rsidR="00EA7764" w:rsidRPr="00622FB2">
        <w:rPr>
          <w:color w:val="000000"/>
        </w:rPr>
        <w:t xml:space="preserve"> z dne 17. decembra 2025, ki potrjuje zakonitost ukrepov, ki jih je predsedstvo sprejelo leta 2023 v zvezi s prostovoljnim pokojninskim skladom za poslance</w:t>
      </w:r>
      <w:r w:rsidR="00EA7764" w:rsidRPr="00622FB2">
        <w:rPr>
          <w:rStyle w:val="FootnoteReference"/>
          <w:bCs/>
          <w:iCs/>
          <w:color w:val="000000"/>
        </w:rPr>
        <w:footnoteReference w:id="13"/>
      </w:r>
      <w:r w:rsidR="00EA7764" w:rsidRPr="00622FB2">
        <w:rPr>
          <w:color w:val="000000"/>
        </w:rPr>
        <w:t>; opozarja, da se je s temi ukrepi obveznost glede prejemkov sicer zmanjšala za 63 %, vendar je sklad še vedno v zelo nestabilnem finančnem položaju; pričakuje, da bo prejel najnovejše informacije o nadaljnjem dogajanju v zvezi s prostovoljnim pokojninskim sistemom;</w:t>
      </w:r>
    </w:p>
    <w:p w14:paraId="656E93DF" w14:textId="6C133477" w:rsidR="00EA7764" w:rsidRPr="00622FB2" w:rsidRDefault="009F0472" w:rsidP="00B41722">
      <w:pPr>
        <w:spacing w:after="240"/>
        <w:ind w:left="567" w:hanging="567"/>
        <w:rPr>
          <w:bCs/>
          <w:iCs/>
          <w:color w:val="000000"/>
        </w:rPr>
      </w:pPr>
      <w:r>
        <w:rPr>
          <w:color w:val="000000"/>
        </w:rPr>
        <w:t>3</w:t>
      </w:r>
      <w:r w:rsidR="0025061B">
        <w:rPr>
          <w:color w:val="000000"/>
        </w:rPr>
        <w:t>5</w:t>
      </w:r>
      <w:r w:rsidR="00EA7764" w:rsidRPr="00622FB2">
        <w:rPr>
          <w:color w:val="000000"/>
        </w:rPr>
        <w:t>.</w:t>
      </w:r>
      <w:r w:rsidR="00EA7764" w:rsidRPr="00622FB2">
        <w:rPr>
          <w:color w:val="000000"/>
        </w:rPr>
        <w:tab/>
        <w:t>poudarja, da bi morale biti zahteve, o katerih se glasuje na plenarnem zasedanju, prednostno izpolnjene;</w:t>
      </w:r>
    </w:p>
    <w:p w14:paraId="5E2BBCEF" w14:textId="37D09B16" w:rsidR="00EA7764" w:rsidRPr="00622FB2" w:rsidRDefault="009F0472" w:rsidP="00B41722">
      <w:pPr>
        <w:spacing w:after="240"/>
        <w:ind w:left="567" w:hanging="567"/>
      </w:pPr>
      <w:r>
        <w:t>3</w:t>
      </w:r>
      <w:r w:rsidR="0025061B">
        <w:t>6</w:t>
      </w:r>
      <w:r w:rsidR="00EA7764" w:rsidRPr="00622FB2">
        <w:t>.</w:t>
      </w:r>
      <w:r w:rsidR="00EA7764" w:rsidRPr="00622FB2">
        <w:tab/>
        <w:t>sprejme načrt za proračunsko leto 2027;</w:t>
      </w:r>
    </w:p>
    <w:p w14:paraId="7F76B59A" w14:textId="58DA7D86" w:rsidR="00E365E1" w:rsidRPr="00622FB2" w:rsidRDefault="009F0472" w:rsidP="00B41722">
      <w:pPr>
        <w:ind w:left="567" w:hanging="567"/>
      </w:pPr>
      <w:r>
        <w:t>3</w:t>
      </w:r>
      <w:r w:rsidR="0025061B">
        <w:t>7</w:t>
      </w:r>
      <w:r w:rsidR="00EA7764" w:rsidRPr="00622FB2">
        <w:t>.</w:t>
      </w:r>
      <w:r w:rsidR="00EA7764" w:rsidRPr="00622FB2">
        <w:tab/>
        <w:t>naroči svoji predsednici, naj to resolucijo in načrt posreduje Svetu in Komisiji.</w:t>
      </w:r>
    </w:p>
    <w:sectPr w:rsidR="00E365E1" w:rsidRPr="00622FB2" w:rsidSect="00AF27B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C1989D" w14:textId="77777777" w:rsidR="00727A4B" w:rsidRPr="00AF27B3" w:rsidRDefault="00727A4B">
      <w:r w:rsidRPr="00AF27B3">
        <w:separator/>
      </w:r>
    </w:p>
  </w:endnote>
  <w:endnote w:type="continuationSeparator" w:id="0">
    <w:p w14:paraId="3B9E06F3" w14:textId="77777777" w:rsidR="00727A4B" w:rsidRPr="00AF27B3" w:rsidRDefault="00727A4B">
      <w:r w:rsidRPr="00AF27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8E55E" w14:textId="77777777" w:rsidR="00727A4B" w:rsidRPr="00AF27B3" w:rsidRDefault="00727A4B">
      <w:r w:rsidRPr="00AF27B3">
        <w:separator/>
      </w:r>
    </w:p>
  </w:footnote>
  <w:footnote w:type="continuationSeparator" w:id="0">
    <w:p w14:paraId="4CFFA2F8" w14:textId="77777777" w:rsidR="00727A4B" w:rsidRPr="00AF27B3" w:rsidRDefault="00727A4B">
      <w:r w:rsidRPr="00AF27B3">
        <w:continuationSeparator/>
      </w:r>
    </w:p>
  </w:footnote>
  <w:footnote w:id="1">
    <w:p w14:paraId="345ABC1C" w14:textId="24524C59"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L, 2024/2509, 26.9.2024, ELI: </w:t>
      </w:r>
      <w:r w:rsidRPr="00AF27B3">
        <w:rPr>
          <w:color w:val="337AB7"/>
          <w:u w:val="single"/>
        </w:rPr>
        <w:t>http://data.europa.eu/eli/reg/2024/2509/oj.</w:t>
      </w:r>
    </w:p>
  </w:footnote>
  <w:footnote w:id="2">
    <w:p w14:paraId="17EF5517" w14:textId="4E8DC6E4"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L 433 I, 22.12.2020, str. 11, ELI: </w:t>
      </w:r>
      <w:hyperlink r:id="rId1" w:history="1">
        <w:r w:rsidRPr="00AF27B3">
          <w:rPr>
            <w:rStyle w:val="Hyperlink"/>
          </w:rPr>
          <w:t>http://data.europa.eu/eli/reg/2020/2093/oj</w:t>
        </w:r>
      </w:hyperlink>
      <w:r w:rsidRPr="00AF27B3">
        <w:rPr>
          <w:color w:val="000000"/>
        </w:rPr>
        <w:t>.</w:t>
      </w:r>
    </w:p>
  </w:footnote>
  <w:footnote w:id="3">
    <w:p w14:paraId="53A021CE" w14:textId="0BBE145A"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UL C 444 I, 22.12.2020, str. 4.</w:t>
      </w:r>
    </w:p>
  </w:footnote>
  <w:footnote w:id="4">
    <w:p w14:paraId="413DBC7E" w14:textId="51031EC8"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UL C 445, 29.10.2021, str. 252.</w:t>
      </w:r>
    </w:p>
  </w:footnote>
  <w:footnote w:id="5">
    <w:p w14:paraId="787513BF" w14:textId="2318E7C8" w:rsidR="00EA7764" w:rsidRPr="00AF27B3" w:rsidRDefault="00EA7764" w:rsidP="00AF27B3">
      <w:pPr>
        <w:ind w:left="567" w:hanging="567"/>
      </w:pPr>
      <w:r w:rsidRPr="00AF27B3">
        <w:rPr>
          <w:rStyle w:val="FootnoteReference"/>
          <w:rFonts w:eastAsiaTheme="majorEastAsia"/>
        </w:rPr>
        <w:footnoteRef/>
      </w:r>
      <w:r w:rsidR="00AF27B3" w:rsidRPr="00AF27B3">
        <w:t xml:space="preserve"> </w:t>
      </w:r>
      <w:r w:rsidR="00AF27B3" w:rsidRPr="00AF27B3">
        <w:tab/>
      </w:r>
      <w:r w:rsidRPr="00AF27B3">
        <w:t xml:space="preserve">UL L 325, 20.12.2022, str. 11, ELI: </w:t>
      </w:r>
      <w:hyperlink r:id="rId2" w:history="1">
        <w:r w:rsidRPr="00AF27B3">
          <w:rPr>
            <w:rStyle w:val="Hyperlink"/>
          </w:rPr>
          <w:t>http://data.europa.eu/eli/reg/2022/2496/oj</w:t>
        </w:r>
      </w:hyperlink>
      <w:r w:rsidRPr="00AF27B3">
        <w:t>.</w:t>
      </w:r>
    </w:p>
  </w:footnote>
  <w:footnote w:id="6">
    <w:p w14:paraId="3E838EC2" w14:textId="19A5BFDA" w:rsidR="00EA7764" w:rsidRPr="00AF27B3" w:rsidRDefault="00EA7764" w:rsidP="00AF27B3">
      <w:pPr>
        <w:ind w:left="567" w:hanging="567"/>
      </w:pPr>
      <w:r w:rsidRPr="00AF27B3">
        <w:rPr>
          <w:rStyle w:val="FootnoteReference"/>
        </w:rPr>
        <w:footnoteRef/>
      </w:r>
      <w:r w:rsidR="00AF27B3" w:rsidRPr="00AF27B3">
        <w:t xml:space="preserve"> </w:t>
      </w:r>
      <w:r w:rsidR="00AF27B3" w:rsidRPr="00AF27B3">
        <w:tab/>
      </w:r>
      <w:r w:rsidRPr="00AF27B3">
        <w:t xml:space="preserve">UL L, 2024/765, 29.2.2024, ELI: </w:t>
      </w:r>
      <w:hyperlink r:id="rId3" w:history="1">
        <w:r w:rsidRPr="00AF27B3">
          <w:rPr>
            <w:rStyle w:val="Hyperlink"/>
          </w:rPr>
          <w:t>http://data.europa.eu/eli/reg/2024/765/oj</w:t>
        </w:r>
      </w:hyperlink>
      <w:r w:rsidRPr="00AF27B3">
        <w:t>.</w:t>
      </w:r>
    </w:p>
  </w:footnote>
  <w:footnote w:id="7">
    <w:p w14:paraId="5808726E" w14:textId="3CB54760"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L 433 I, 22.12.2020, str. 28, ELI: </w:t>
      </w:r>
      <w:hyperlink r:id="rId4" w:history="1">
        <w:r w:rsidRPr="00AF27B3">
          <w:rPr>
            <w:rStyle w:val="Hyperlink"/>
          </w:rPr>
          <w:t>http://data.europa.eu/eli/agree_interinstit/2020/1222/oj</w:t>
        </w:r>
      </w:hyperlink>
      <w:r w:rsidRPr="00AF27B3">
        <w:rPr>
          <w:color w:val="000000"/>
        </w:rPr>
        <w:t>.</w:t>
      </w:r>
    </w:p>
  </w:footnote>
  <w:footnote w:id="8">
    <w:p w14:paraId="571ACA83" w14:textId="777B4BBC"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UL C 445, 29.10.2021, str. 240.</w:t>
      </w:r>
    </w:p>
  </w:footnote>
  <w:footnote w:id="9">
    <w:p w14:paraId="39D7FAA7" w14:textId="61931631"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UL C 177, 17.5.2023, str. 115.</w:t>
      </w:r>
    </w:p>
  </w:footnote>
  <w:footnote w:id="10">
    <w:p w14:paraId="2DB7A432" w14:textId="6E1FA67B"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C, C/2024/1195, </w:t>
      </w:r>
      <w:r w:rsidRPr="00AF27B3">
        <w:rPr>
          <w:color w:val="000000"/>
        </w:rPr>
        <w:t xml:space="preserve">23.2.2024, ELI: </w:t>
      </w:r>
      <w:hyperlink r:id="rId5" w:history="1">
        <w:r w:rsidRPr="00AF27B3">
          <w:rPr>
            <w:rStyle w:val="Hyperlink"/>
          </w:rPr>
          <w:t>http://data.europa.eu/eli/C/2024/1195/oj</w:t>
        </w:r>
      </w:hyperlink>
      <w:r w:rsidRPr="00AF27B3">
        <w:rPr>
          <w:color w:val="000000"/>
        </w:rPr>
        <w:t>.</w:t>
      </w:r>
    </w:p>
  </w:footnote>
  <w:footnote w:id="11">
    <w:p w14:paraId="7922EF99" w14:textId="1FB99D54"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C, C/2024/6751, 26.11.2024, ELI: </w:t>
      </w:r>
      <w:hyperlink r:id="rId6" w:history="1">
        <w:r w:rsidRPr="00AF27B3">
          <w:rPr>
            <w:rStyle w:val="Hyperlink"/>
          </w:rPr>
          <w:t>http://data.europa.eu/eli/C/2024/6751/oj</w:t>
        </w:r>
      </w:hyperlink>
      <w:r w:rsidRPr="00AF27B3">
        <w:rPr>
          <w:color w:val="000000"/>
        </w:rPr>
        <w:t>.</w:t>
      </w:r>
    </w:p>
  </w:footnote>
  <w:footnote w:id="12">
    <w:p w14:paraId="4C4EADD4" w14:textId="493C87AD" w:rsidR="00EA7764" w:rsidRPr="00AF27B3" w:rsidRDefault="00EA7764" w:rsidP="00AF27B3">
      <w:pPr>
        <w:ind w:left="567" w:hanging="567"/>
        <w:rPr>
          <w:color w:val="000000"/>
        </w:rPr>
      </w:pPr>
      <w:r w:rsidRPr="00AF27B3">
        <w:rPr>
          <w:rStyle w:val="FootnoteReference"/>
        </w:rPr>
        <w:footnoteRef/>
      </w:r>
      <w:r w:rsidR="00AF27B3" w:rsidRPr="00AF27B3">
        <w:rPr>
          <w:color w:val="000000"/>
        </w:rPr>
        <w:t xml:space="preserve"> </w:t>
      </w:r>
      <w:r w:rsidR="00AF27B3" w:rsidRPr="00AF27B3">
        <w:rPr>
          <w:color w:val="000000"/>
        </w:rPr>
        <w:tab/>
      </w:r>
      <w:r w:rsidRPr="00AF27B3">
        <w:rPr>
          <w:color w:val="000000"/>
        </w:rPr>
        <w:t xml:space="preserve">UL L, 2026/72, 26.2.2026, ELI: </w:t>
      </w:r>
      <w:hyperlink r:id="rId7" w:history="1">
        <w:r w:rsidRPr="00AF27B3">
          <w:rPr>
            <w:rStyle w:val="Hyperlink"/>
          </w:rPr>
          <w:t>http://data.europa.eu/eli/budget/2026/72/oj</w:t>
        </w:r>
      </w:hyperlink>
      <w:r w:rsidRPr="00AF27B3">
        <w:rPr>
          <w:color w:val="000000"/>
        </w:rPr>
        <w:t xml:space="preserve">. </w:t>
      </w:r>
    </w:p>
  </w:footnote>
  <w:footnote w:id="13">
    <w:p w14:paraId="016F7191" w14:textId="24207AD8" w:rsidR="00EA7764" w:rsidRPr="00AF27B3" w:rsidRDefault="00EA7764" w:rsidP="00AF27B3">
      <w:pPr>
        <w:pStyle w:val="FootnoteText"/>
        <w:ind w:left="567" w:hanging="567"/>
        <w:rPr>
          <w:sz w:val="24"/>
          <w:lang w:val="sl-SI"/>
        </w:rPr>
      </w:pPr>
      <w:r w:rsidRPr="00AF27B3">
        <w:rPr>
          <w:rStyle w:val="FootnoteReference"/>
          <w:sz w:val="24"/>
          <w:lang w:val="sl-SI"/>
        </w:rPr>
        <w:footnoteRef/>
      </w:r>
      <w:r w:rsidR="00AF27B3" w:rsidRPr="00AF27B3">
        <w:rPr>
          <w:sz w:val="24"/>
          <w:lang w:val="sl-SI"/>
        </w:rPr>
        <w:t xml:space="preserve"> </w:t>
      </w:r>
      <w:r w:rsidR="00AF27B3" w:rsidRPr="00AF27B3">
        <w:rPr>
          <w:sz w:val="24"/>
          <w:lang w:val="sl-SI"/>
        </w:rPr>
        <w:tab/>
      </w:r>
      <w:r w:rsidRPr="00AF27B3">
        <w:rPr>
          <w:sz w:val="24"/>
          <w:lang w:val="sl-SI"/>
        </w:rPr>
        <w:t xml:space="preserve">Sodba </w:t>
      </w:r>
      <w:r w:rsidR="00F9506F">
        <w:rPr>
          <w:sz w:val="24"/>
          <w:lang w:val="sl-SI"/>
        </w:rPr>
        <w:t>S</w:t>
      </w:r>
      <w:r w:rsidR="00913398">
        <w:rPr>
          <w:sz w:val="24"/>
          <w:lang w:val="sl-SI"/>
        </w:rPr>
        <w:t>plošnega s</w:t>
      </w:r>
      <w:r w:rsidRPr="00AF27B3">
        <w:rPr>
          <w:sz w:val="24"/>
          <w:lang w:val="sl-SI"/>
        </w:rPr>
        <w:t>odišča z dne 17. decembra 2025, </w:t>
      </w:r>
      <w:r w:rsidRPr="00B41722">
        <w:rPr>
          <w:sz w:val="24"/>
          <w:lang w:val="sl-SI"/>
        </w:rPr>
        <w:t>FE/Parlament</w:t>
      </w:r>
      <w:r w:rsidRPr="00AF27B3">
        <w:rPr>
          <w:sz w:val="24"/>
          <w:lang w:val="sl-SI"/>
        </w:rPr>
        <w:t>, T</w:t>
      </w:r>
      <w:r w:rsidRPr="00AF27B3">
        <w:rPr>
          <w:sz w:val="24"/>
          <w:lang w:val="sl-SI"/>
        </w:rPr>
        <w:noBreakHyphen/>
        <w:t>483/24, ECLI:EU:T:2025:1121.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997425">
    <w:abstractNumId w:val="9"/>
  </w:num>
  <w:num w:numId="2" w16cid:durableId="1571386644">
    <w:abstractNumId w:val="9"/>
  </w:num>
  <w:num w:numId="3" w16cid:durableId="602109015">
    <w:abstractNumId w:val="7"/>
  </w:num>
  <w:num w:numId="4" w16cid:durableId="1814519594">
    <w:abstractNumId w:val="7"/>
  </w:num>
  <w:num w:numId="5" w16cid:durableId="100998869">
    <w:abstractNumId w:val="6"/>
  </w:num>
  <w:num w:numId="6" w16cid:durableId="623853403">
    <w:abstractNumId w:val="6"/>
  </w:num>
  <w:num w:numId="7" w16cid:durableId="1852252723">
    <w:abstractNumId w:val="5"/>
  </w:num>
  <w:num w:numId="8" w16cid:durableId="267078432">
    <w:abstractNumId w:val="5"/>
  </w:num>
  <w:num w:numId="9" w16cid:durableId="623271518">
    <w:abstractNumId w:val="4"/>
  </w:num>
  <w:num w:numId="10" w16cid:durableId="1935285803">
    <w:abstractNumId w:val="4"/>
  </w:num>
  <w:num w:numId="11" w16cid:durableId="1561206660">
    <w:abstractNumId w:val="8"/>
  </w:num>
  <w:num w:numId="12" w16cid:durableId="1551573058">
    <w:abstractNumId w:val="8"/>
  </w:num>
  <w:num w:numId="13" w16cid:durableId="845174330">
    <w:abstractNumId w:val="3"/>
  </w:num>
  <w:num w:numId="14" w16cid:durableId="1508252537">
    <w:abstractNumId w:val="3"/>
  </w:num>
  <w:num w:numId="15" w16cid:durableId="1935016873">
    <w:abstractNumId w:val="2"/>
  </w:num>
  <w:num w:numId="16" w16cid:durableId="133068744">
    <w:abstractNumId w:val="2"/>
  </w:num>
  <w:num w:numId="17" w16cid:durableId="1302885118">
    <w:abstractNumId w:val="1"/>
  </w:num>
  <w:num w:numId="18" w16cid:durableId="1487161965">
    <w:abstractNumId w:val="1"/>
  </w:num>
  <w:num w:numId="19" w16cid:durableId="693655043">
    <w:abstractNumId w:val="0"/>
  </w:num>
  <w:num w:numId="20" w16cid:durableId="434446299">
    <w:abstractNumId w:val="0"/>
  </w:num>
  <w:num w:numId="21" w16cid:durableId="1779064818">
    <w:abstractNumId w:val="9"/>
  </w:num>
  <w:num w:numId="22" w16cid:durableId="1583446978">
    <w:abstractNumId w:val="7"/>
  </w:num>
  <w:num w:numId="23" w16cid:durableId="644703299">
    <w:abstractNumId w:val="6"/>
  </w:num>
  <w:num w:numId="24" w16cid:durableId="1488404240">
    <w:abstractNumId w:val="5"/>
  </w:num>
  <w:num w:numId="25" w16cid:durableId="68121731">
    <w:abstractNumId w:val="4"/>
  </w:num>
  <w:num w:numId="26" w16cid:durableId="921261643">
    <w:abstractNumId w:val="8"/>
  </w:num>
  <w:num w:numId="27" w16cid:durableId="1802729448">
    <w:abstractNumId w:val="3"/>
  </w:num>
  <w:num w:numId="28" w16cid:durableId="1016349171">
    <w:abstractNumId w:val="2"/>
  </w:num>
  <w:num w:numId="29" w16cid:durableId="1752119171">
    <w:abstractNumId w:val="1"/>
  </w:num>
  <w:num w:numId="30" w16cid:durableId="1912735707">
    <w:abstractNumId w:val="0"/>
  </w:num>
  <w:num w:numId="31" w16cid:durableId="414667595">
    <w:abstractNumId w:val="9"/>
  </w:num>
  <w:num w:numId="32" w16cid:durableId="573126439">
    <w:abstractNumId w:val="7"/>
  </w:num>
  <w:num w:numId="33" w16cid:durableId="1131940368">
    <w:abstractNumId w:val="6"/>
  </w:num>
  <w:num w:numId="34" w16cid:durableId="926887982">
    <w:abstractNumId w:val="5"/>
  </w:num>
  <w:num w:numId="35" w16cid:durableId="336033328">
    <w:abstractNumId w:val="4"/>
  </w:num>
  <w:num w:numId="36" w16cid:durableId="826437869">
    <w:abstractNumId w:val="8"/>
  </w:num>
  <w:num w:numId="37" w16cid:durableId="1238857496">
    <w:abstractNumId w:val="3"/>
  </w:num>
  <w:num w:numId="38" w16cid:durableId="285082305">
    <w:abstractNumId w:val="2"/>
  </w:num>
  <w:num w:numId="39" w16cid:durableId="1644460618">
    <w:abstractNumId w:val="1"/>
  </w:num>
  <w:num w:numId="40" w16cid:durableId="2141415201">
    <w:abstractNumId w:val="0"/>
  </w:num>
  <w:num w:numId="41" w16cid:durableId="1725178191">
    <w:abstractNumId w:val="10"/>
  </w:num>
  <w:num w:numId="42" w16cid:durableId="1922059096">
    <w:abstractNumId w:val="10"/>
  </w:num>
  <w:num w:numId="43" w16cid:durableId="1403026094">
    <w:abstractNumId w:val="10"/>
  </w:num>
  <w:num w:numId="44" w16cid:durableId="1907061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6"/>
    <w:docVar w:name="dvlangue" w:val="SL"/>
    <w:docVar w:name="dvnumam" w:val="0"/>
    <w:docVar w:name="dvpe" w:val="785.303"/>
    <w:docVar w:name="dvrapporteur" w:val="Poročevalec: "/>
    <w:docVar w:name="dvtitre" w:val="Resolucija Evropskega parlamenta z dne 30. aprila 2026 o načrtu prihodkov in odhodkov Evropskega parlamenta za proračunsko leto 2027(2025/2247(BUI))"/>
  </w:docVars>
  <w:rsids>
    <w:rsidRoot w:val="00727A4B"/>
    <w:rsid w:val="00002272"/>
    <w:rsid w:val="00064002"/>
    <w:rsid w:val="000677B9"/>
    <w:rsid w:val="000831BA"/>
    <w:rsid w:val="000A42CC"/>
    <w:rsid w:val="000E4E46"/>
    <w:rsid w:val="000E7DD9"/>
    <w:rsid w:val="0010095E"/>
    <w:rsid w:val="00125B37"/>
    <w:rsid w:val="00187494"/>
    <w:rsid w:val="001E0E7C"/>
    <w:rsid w:val="001F32AE"/>
    <w:rsid w:val="0025061B"/>
    <w:rsid w:val="002767FF"/>
    <w:rsid w:val="002B18FE"/>
    <w:rsid w:val="002B5493"/>
    <w:rsid w:val="00343214"/>
    <w:rsid w:val="00361C00"/>
    <w:rsid w:val="00364748"/>
    <w:rsid w:val="00395FA1"/>
    <w:rsid w:val="003E15D4"/>
    <w:rsid w:val="00411CCE"/>
    <w:rsid w:val="0041666E"/>
    <w:rsid w:val="00421060"/>
    <w:rsid w:val="00471C19"/>
    <w:rsid w:val="00484D85"/>
    <w:rsid w:val="004867E3"/>
    <w:rsid w:val="00494A28"/>
    <w:rsid w:val="004C0004"/>
    <w:rsid w:val="004C5D52"/>
    <w:rsid w:val="0050519A"/>
    <w:rsid w:val="005072A1"/>
    <w:rsid w:val="00514517"/>
    <w:rsid w:val="00545827"/>
    <w:rsid w:val="00560270"/>
    <w:rsid w:val="005C2568"/>
    <w:rsid w:val="005F1B17"/>
    <w:rsid w:val="006037C0"/>
    <w:rsid w:val="00622FB2"/>
    <w:rsid w:val="0065208A"/>
    <w:rsid w:val="006631B6"/>
    <w:rsid w:val="00680577"/>
    <w:rsid w:val="006F74FA"/>
    <w:rsid w:val="00727A4B"/>
    <w:rsid w:val="00731ADD"/>
    <w:rsid w:val="00734777"/>
    <w:rsid w:val="00747932"/>
    <w:rsid w:val="00751A4A"/>
    <w:rsid w:val="00756632"/>
    <w:rsid w:val="00762C74"/>
    <w:rsid w:val="00771E31"/>
    <w:rsid w:val="00786EC0"/>
    <w:rsid w:val="007D1690"/>
    <w:rsid w:val="007E22AD"/>
    <w:rsid w:val="00814D47"/>
    <w:rsid w:val="00817416"/>
    <w:rsid w:val="00833255"/>
    <w:rsid w:val="00842779"/>
    <w:rsid w:val="00865F67"/>
    <w:rsid w:val="00881A7B"/>
    <w:rsid w:val="008840E5"/>
    <w:rsid w:val="00887B3E"/>
    <w:rsid w:val="008C2AC6"/>
    <w:rsid w:val="00913398"/>
    <w:rsid w:val="00930C23"/>
    <w:rsid w:val="0093193B"/>
    <w:rsid w:val="009509D8"/>
    <w:rsid w:val="00950B64"/>
    <w:rsid w:val="00981893"/>
    <w:rsid w:val="009F0472"/>
    <w:rsid w:val="00A1687D"/>
    <w:rsid w:val="00A4075D"/>
    <w:rsid w:val="00A43E52"/>
    <w:rsid w:val="00A4678D"/>
    <w:rsid w:val="00A778C7"/>
    <w:rsid w:val="00AB441E"/>
    <w:rsid w:val="00AB6293"/>
    <w:rsid w:val="00AD63D3"/>
    <w:rsid w:val="00AE0520"/>
    <w:rsid w:val="00AE0928"/>
    <w:rsid w:val="00AF27B3"/>
    <w:rsid w:val="00AF3B82"/>
    <w:rsid w:val="00B12E95"/>
    <w:rsid w:val="00B22876"/>
    <w:rsid w:val="00B41722"/>
    <w:rsid w:val="00B558F0"/>
    <w:rsid w:val="00BC3A84"/>
    <w:rsid w:val="00BD194F"/>
    <w:rsid w:val="00BD48FE"/>
    <w:rsid w:val="00BD7BD8"/>
    <w:rsid w:val="00BE6ADC"/>
    <w:rsid w:val="00C05BFE"/>
    <w:rsid w:val="00C23CD4"/>
    <w:rsid w:val="00C61C0C"/>
    <w:rsid w:val="00C941CB"/>
    <w:rsid w:val="00CA0B8B"/>
    <w:rsid w:val="00CC2357"/>
    <w:rsid w:val="00CF071A"/>
    <w:rsid w:val="00D058B8"/>
    <w:rsid w:val="00D56C11"/>
    <w:rsid w:val="00D834A0"/>
    <w:rsid w:val="00D872DF"/>
    <w:rsid w:val="00D91E21"/>
    <w:rsid w:val="00DA7FCD"/>
    <w:rsid w:val="00E166F0"/>
    <w:rsid w:val="00E365E1"/>
    <w:rsid w:val="00E820A4"/>
    <w:rsid w:val="00EA7764"/>
    <w:rsid w:val="00EB006A"/>
    <w:rsid w:val="00EB4772"/>
    <w:rsid w:val="00ED169E"/>
    <w:rsid w:val="00ED4235"/>
    <w:rsid w:val="00EF523D"/>
    <w:rsid w:val="00F04346"/>
    <w:rsid w:val="00F075DC"/>
    <w:rsid w:val="00F149E9"/>
    <w:rsid w:val="00F340F7"/>
    <w:rsid w:val="00F5134D"/>
    <w:rsid w:val="00F74202"/>
    <w:rsid w:val="00F87713"/>
    <w:rsid w:val="00F931E3"/>
    <w:rsid w:val="00F9506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E8B164"/>
  <w15:chartTrackingRefBased/>
  <w15:docId w15:val="{A5329738-153C-436F-B371-B04FDE50D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Footnote number,Footnote symbol,Footnote Reference Number,Footnote reference number,Times 10 Point,Exposant 3 Point,Voetnootverwijzing,fr,o,Footnotemark,FR,Footnotemark1,Footnotemark2,FR1,Footnotemark3,FR2,Footnotemark4,FR3"/>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7764"/>
    <w:pPr>
      <w:spacing w:after="240"/>
      <w:ind w:left="567" w:hanging="567"/>
    </w:pPr>
  </w:style>
  <w:style w:type="character" w:styleId="Hyperlink">
    <w:name w:val="Hyperlink"/>
    <w:basedOn w:val="DefaultParagraphFont"/>
    <w:uiPriority w:val="99"/>
    <w:rsid w:val="00EA7764"/>
    <w:rPr>
      <w:color w:val="0563C1" w:themeColor="hyperlink"/>
      <w:u w:val="single"/>
    </w:rPr>
  </w:style>
  <w:style w:type="paragraph" w:customStyle="1" w:styleId="Action">
    <w:name w:val="Action"/>
    <w:basedOn w:val="Normal"/>
    <w:rsid w:val="00EA7764"/>
    <w:pPr>
      <w:tabs>
        <w:tab w:val="left" w:pos="357"/>
      </w:tabs>
      <w:spacing w:after="240"/>
      <w:ind w:left="357" w:hanging="357"/>
    </w:pPr>
    <w:rPr>
      <w:lang w:eastAsia="en-US"/>
    </w:rPr>
  </w:style>
  <w:style w:type="paragraph" w:customStyle="1" w:styleId="action0">
    <w:name w:val="action"/>
    <w:basedOn w:val="Normal"/>
    <w:rsid w:val="00EA7764"/>
    <w:pPr>
      <w:widowControl/>
      <w:spacing w:after="240"/>
      <w:ind w:left="357" w:hanging="357"/>
    </w:pPr>
    <w:rPr>
      <w:rFonts w:eastAsiaTheme="minorHAnsi"/>
      <w:szCs w:val="24"/>
    </w:rPr>
  </w:style>
  <w:style w:type="paragraph" w:customStyle="1" w:styleId="Institutionquiagit">
    <w:name w:val="Institution qui agit"/>
    <w:basedOn w:val="Normal"/>
    <w:next w:val="Normal"/>
    <w:rsid w:val="00EA7764"/>
    <w:pPr>
      <w:keepNext/>
      <w:snapToGrid w:val="0"/>
      <w:spacing w:after="240"/>
    </w:pPr>
    <w:rPr>
      <w:i/>
      <w:lang w:eastAsia="en-US"/>
    </w:rPr>
  </w:style>
  <w:style w:type="paragraph" w:customStyle="1" w:styleId="FootnoteReference1">
    <w:name w:val="Footnote Reference1"/>
    <w:basedOn w:val="Normal"/>
    <w:link w:val="FootnoteReference"/>
    <w:rsid w:val="00EA7764"/>
    <w:pPr>
      <w:widowControl/>
      <w:spacing w:after="160" w:line="240" w:lineRule="exact"/>
    </w:pPr>
    <w:rPr>
      <w:sz w:val="20"/>
      <w:vertAlign w:val="superscript"/>
      <w:lang w:val="en-GB"/>
    </w:rPr>
  </w:style>
  <w:style w:type="paragraph" w:styleId="Revision">
    <w:name w:val="Revision"/>
    <w:hidden/>
    <w:uiPriority w:val="99"/>
    <w:semiHidden/>
    <w:rsid w:val="00AE0520"/>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7" Type="http://schemas.openxmlformats.org/officeDocument/2006/relationships/hyperlink" Target="http://data.europa.eu/eli/budget/2026/72/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data.europa.eu/eli/C/2024/6751/oj" TargetMode="External"/><Relationship Id="rId5" Type="http://schemas.openxmlformats.org/officeDocument/2006/relationships/hyperlink" Target="http://data.europa.eu/eli/C/2024/1195/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3713</Words>
  <Characters>22041</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2026-07-06T09:51:00Z</dcterms:created>
  <dcterms:modified xsi:type="dcterms:W3CDTF">2026-07-06T09:51:00Z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P10_TA(2026)0155_</vt:lpwstr>
  </property>
  <property fmtid="{D5CDD505-2E9C-101B-9397-08002B2CF9AE}" pid="4" name="&lt;Type&gt;">
    <vt:lpwstr>RR</vt:lpwstr>
  </property>
</Properties>
</file>