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540C" w14:paraId="6924FBB0" w14:textId="77777777" w:rsidTr="0010095E">
        <w:trPr>
          <w:trHeight w:hRule="exact" w:val="1418"/>
        </w:trPr>
        <w:tc>
          <w:tcPr>
            <w:tcW w:w="6804" w:type="dxa"/>
            <w:shd w:val="clear" w:color="auto" w:fill="auto"/>
            <w:vAlign w:val="center"/>
          </w:tcPr>
          <w:p w14:paraId="6B652D90" w14:textId="77777777" w:rsidR="00751A4A" w:rsidRPr="0089540C" w:rsidRDefault="00492155" w:rsidP="0010095E">
            <w:pPr>
              <w:pStyle w:val="EPName"/>
            </w:pPr>
            <w:r w:rsidRPr="0089540C">
              <w:t>Europaparlamentet</w:t>
            </w:r>
          </w:p>
          <w:p w14:paraId="2391DE3B" w14:textId="77777777" w:rsidR="00751A4A" w:rsidRPr="0089540C" w:rsidRDefault="005F1B17" w:rsidP="005F1B17">
            <w:pPr>
              <w:pStyle w:val="EPTerm"/>
              <w:rPr>
                <w:rStyle w:val="HideTWBExt"/>
                <w:noProof w:val="0"/>
                <w:vanish w:val="0"/>
                <w:color w:val="auto"/>
              </w:rPr>
            </w:pPr>
            <w:r w:rsidRPr="0089540C">
              <w:t>2024</w:t>
            </w:r>
            <w:r w:rsidR="00817416" w:rsidRPr="0089540C">
              <w:t>-202</w:t>
            </w:r>
            <w:r w:rsidRPr="0089540C">
              <w:t>9</w:t>
            </w:r>
          </w:p>
        </w:tc>
        <w:tc>
          <w:tcPr>
            <w:tcW w:w="2268" w:type="dxa"/>
            <w:shd w:val="clear" w:color="auto" w:fill="auto"/>
          </w:tcPr>
          <w:p w14:paraId="2E074D15" w14:textId="77777777" w:rsidR="00751A4A" w:rsidRPr="0089540C" w:rsidRDefault="00187494" w:rsidP="0010095E">
            <w:pPr>
              <w:pStyle w:val="EPLogo"/>
            </w:pPr>
            <w:r w:rsidRPr="0089540C">
              <w:rPr>
                <w:noProof/>
                <w:lang w:eastAsia="ja-JP"/>
              </w:rPr>
              <w:drawing>
                <wp:inline distT="0" distB="0" distL="0" distR="0" wp14:anchorId="580EF0F0" wp14:editId="503E04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D87FB4" w14:textId="77777777" w:rsidR="00D058B8" w:rsidRPr="0089540C" w:rsidRDefault="00D058B8" w:rsidP="004C5D52">
      <w:pPr>
        <w:pStyle w:val="LineTop"/>
      </w:pPr>
    </w:p>
    <w:p w14:paraId="6EA80463" w14:textId="77777777" w:rsidR="00680577" w:rsidRPr="0089540C" w:rsidRDefault="00492155" w:rsidP="00680577">
      <w:pPr>
        <w:pStyle w:val="EPBodyTA1"/>
      </w:pPr>
      <w:r w:rsidRPr="0089540C">
        <w:t>ANTAGNA TEXTER</w:t>
      </w:r>
    </w:p>
    <w:p w14:paraId="3EBD4EAA" w14:textId="77777777" w:rsidR="00D058B8" w:rsidRPr="0089540C" w:rsidRDefault="00D058B8" w:rsidP="00D058B8">
      <w:pPr>
        <w:pStyle w:val="LineBottom"/>
      </w:pPr>
    </w:p>
    <w:p w14:paraId="7F7F9D9B" w14:textId="3085037A" w:rsidR="00492155" w:rsidRPr="0089540C" w:rsidRDefault="00492155" w:rsidP="00492155">
      <w:pPr>
        <w:pStyle w:val="ATHeading1"/>
      </w:pPr>
      <w:bookmarkStart w:id="0" w:name="TANumber"/>
      <w:r w:rsidRPr="0089540C">
        <w:t>P10_TA(2026)</w:t>
      </w:r>
      <w:bookmarkEnd w:id="0"/>
      <w:r w:rsidR="00C938B8" w:rsidRPr="0089540C">
        <w:t>0</w:t>
      </w:r>
      <w:r w:rsidR="00C938B8">
        <w:t>155</w:t>
      </w:r>
    </w:p>
    <w:p w14:paraId="5DCE38F2" w14:textId="77777777" w:rsidR="00492155" w:rsidRPr="0089540C" w:rsidRDefault="00492155" w:rsidP="00492155">
      <w:pPr>
        <w:pStyle w:val="ATHeading2"/>
      </w:pPr>
      <w:bookmarkStart w:id="1" w:name="title"/>
      <w:r w:rsidRPr="0089540C">
        <w:t>Beräkning av inkomster och utgifter för budgetåret 2027 – avsnitt I – Europaparlamentet</w:t>
      </w:r>
      <w:bookmarkEnd w:id="1"/>
    </w:p>
    <w:p w14:paraId="4B6B7CA5" w14:textId="77777777" w:rsidR="00492155" w:rsidRPr="0089540C" w:rsidRDefault="00492155" w:rsidP="00492155">
      <w:pPr>
        <w:rPr>
          <w:i/>
          <w:vanish/>
        </w:rPr>
      </w:pPr>
      <w:r w:rsidRPr="0089540C">
        <w:rPr>
          <w:i/>
        </w:rPr>
        <w:fldChar w:fldCharType="begin"/>
      </w:r>
      <w:r w:rsidRPr="0089540C">
        <w:rPr>
          <w:i/>
        </w:rPr>
        <w:instrText xml:space="preserve"> TC"(</w:instrText>
      </w:r>
      <w:bookmarkStart w:id="2" w:name="DocNumber"/>
      <w:r w:rsidRPr="0089540C">
        <w:rPr>
          <w:i/>
        </w:rPr>
        <w:instrText>A10-0124/2026</w:instrText>
      </w:r>
      <w:bookmarkEnd w:id="2"/>
      <w:r w:rsidRPr="0089540C">
        <w:rPr>
          <w:i/>
        </w:rPr>
        <w:instrText xml:space="preserve"> - Föredragande: </w:instrText>
      </w:r>
      <w:proofErr w:type="spellStart"/>
      <w:r w:rsidRPr="0089540C">
        <w:rPr>
          <w:i/>
        </w:rPr>
        <w:instrText>Michalis</w:instrText>
      </w:r>
      <w:proofErr w:type="spellEnd"/>
      <w:r w:rsidRPr="0089540C">
        <w:rPr>
          <w:i/>
        </w:rPr>
        <w:instrText xml:space="preserve"> </w:instrText>
      </w:r>
      <w:proofErr w:type="spellStart"/>
      <w:r w:rsidRPr="0089540C">
        <w:rPr>
          <w:i/>
        </w:rPr>
        <w:instrText>Hadjipantela</w:instrText>
      </w:r>
      <w:proofErr w:type="spellEnd"/>
      <w:r w:rsidRPr="0089540C">
        <w:rPr>
          <w:i/>
        </w:rPr>
        <w:instrText xml:space="preserve">)"\l3 \n&gt; \* MERGEFORMAT </w:instrText>
      </w:r>
      <w:r w:rsidRPr="0089540C">
        <w:rPr>
          <w:i/>
        </w:rPr>
        <w:fldChar w:fldCharType="end"/>
      </w:r>
    </w:p>
    <w:p w14:paraId="7599B2E2" w14:textId="77777777" w:rsidR="00492155" w:rsidRPr="0089540C" w:rsidRDefault="00492155" w:rsidP="00492155">
      <w:pPr>
        <w:rPr>
          <w:vanish/>
        </w:rPr>
      </w:pPr>
      <w:bookmarkStart w:id="3" w:name="Commission"/>
      <w:r w:rsidRPr="0089540C">
        <w:rPr>
          <w:vanish/>
        </w:rPr>
        <w:t>Budgetutskottet</w:t>
      </w:r>
      <w:bookmarkEnd w:id="3"/>
    </w:p>
    <w:p w14:paraId="24708C5A" w14:textId="77777777" w:rsidR="00492155" w:rsidRPr="0089540C" w:rsidRDefault="00492155" w:rsidP="00492155">
      <w:pPr>
        <w:rPr>
          <w:vanish/>
        </w:rPr>
      </w:pPr>
      <w:bookmarkStart w:id="4" w:name="PE"/>
      <w:r w:rsidRPr="0089540C">
        <w:rPr>
          <w:vanish/>
        </w:rPr>
        <w:t>PE785.303</w:t>
      </w:r>
      <w:bookmarkEnd w:id="4"/>
    </w:p>
    <w:p w14:paraId="01E05E16" w14:textId="466AA8F4" w:rsidR="00492155" w:rsidRPr="0089540C" w:rsidRDefault="00492155" w:rsidP="00635F6A">
      <w:pPr>
        <w:pStyle w:val="ATHeading3"/>
      </w:pPr>
      <w:bookmarkStart w:id="5" w:name="Sujet"/>
      <w:r w:rsidRPr="0089540C">
        <w:t xml:space="preserve">Europaparlamentets resolution av den </w:t>
      </w:r>
      <w:r w:rsidR="00F35ADA">
        <w:t>30</w:t>
      </w:r>
      <w:r w:rsidR="00F35ADA" w:rsidRPr="0089540C">
        <w:t xml:space="preserve"> </w:t>
      </w:r>
      <w:r w:rsidR="00F35ADA">
        <w:t>april</w:t>
      </w:r>
      <w:r w:rsidR="00F35ADA" w:rsidRPr="0089540C">
        <w:t xml:space="preserve"> </w:t>
      </w:r>
      <w:r w:rsidRPr="0089540C">
        <w:t>2026 om beräkning av Europaparlamentets inkomster och utgifter för budgetåret 2027</w:t>
      </w:r>
      <w:bookmarkEnd w:id="5"/>
      <w:r w:rsidRPr="0089540C">
        <w:t xml:space="preserve"> </w:t>
      </w:r>
      <w:bookmarkStart w:id="6" w:name="References"/>
      <w:r w:rsidRPr="0089540C">
        <w:t>(2025/2247(BUI))</w:t>
      </w:r>
      <w:bookmarkEnd w:id="6"/>
    </w:p>
    <w:p w14:paraId="194CC484" w14:textId="77777777" w:rsidR="006A7A17" w:rsidRPr="0089540C" w:rsidRDefault="006A7A17" w:rsidP="006A7A17">
      <w:pPr>
        <w:pStyle w:val="Institutionquiagit"/>
        <w:spacing w:before="480"/>
        <w:rPr>
          <w:i w:val="0"/>
        </w:rPr>
      </w:pPr>
      <w:bookmarkStart w:id="7" w:name="TextBodyBegin"/>
      <w:bookmarkEnd w:id="7"/>
      <w:r w:rsidRPr="0089540C">
        <w:t>Europaparlamentet utfärdar denna resolution</w:t>
      </w:r>
    </w:p>
    <w:p w14:paraId="311BB6EC" w14:textId="77777777" w:rsidR="006A7A17" w:rsidRPr="0089540C" w:rsidRDefault="006A7A17" w:rsidP="006A7A17">
      <w:pPr>
        <w:pStyle w:val="Action"/>
        <w:tabs>
          <w:tab w:val="clear" w:pos="357"/>
        </w:tabs>
        <w:spacing w:after="120"/>
        <w:ind w:left="567" w:hanging="567"/>
        <w:outlineLvl w:val="0"/>
      </w:pPr>
      <w:r w:rsidRPr="0089540C">
        <w:t>–</w:t>
      </w:r>
      <w:r w:rsidRPr="0089540C">
        <w:tab/>
        <w:t>med beaktande av artikel 314 i fördraget om Europeiska unionens funktionssätt,</w:t>
      </w:r>
    </w:p>
    <w:p w14:paraId="0F4553B4" w14:textId="77777777" w:rsidR="006A7A17" w:rsidRPr="0089540C" w:rsidRDefault="006A7A17" w:rsidP="006A7A17">
      <w:pPr>
        <w:widowControl/>
        <w:spacing w:after="240"/>
        <w:ind w:left="567" w:hanging="567"/>
        <w:rPr>
          <w:color w:val="000000"/>
        </w:rPr>
      </w:pPr>
      <w:r w:rsidRPr="0089540C">
        <w:rPr>
          <w:color w:val="000000"/>
        </w:rPr>
        <w:t>–</w:t>
      </w:r>
      <w:r w:rsidRPr="0089540C">
        <w:rPr>
          <w:color w:val="000000"/>
        </w:rPr>
        <w:tab/>
        <w:t>med beaktande av Europaparlamentets och rådets förordning (EU, Euratom) 2024/2509 av den 23 september 2024 om finansiella regler för unionens allmänna budget (omarbetning)</w:t>
      </w:r>
      <w:r w:rsidRPr="0089540C">
        <w:rPr>
          <w:color w:val="000000"/>
          <w:vertAlign w:val="superscript"/>
        </w:rPr>
        <w:footnoteReference w:id="1"/>
      </w:r>
      <w:r w:rsidRPr="0089540C">
        <w:rPr>
          <w:color w:val="000000"/>
        </w:rPr>
        <w:t xml:space="preserve"> (</w:t>
      </w:r>
      <w:r w:rsidRPr="0089540C">
        <w:rPr>
          <w:i/>
          <w:iCs/>
          <w:color w:val="000000"/>
        </w:rPr>
        <w:t>budgetförordningen</w:t>
      </w:r>
      <w:r w:rsidRPr="0089540C">
        <w:rPr>
          <w:color w:val="000000"/>
        </w:rPr>
        <w:t>),</w:t>
      </w:r>
    </w:p>
    <w:p w14:paraId="71A8DD4E" w14:textId="77777777" w:rsidR="006A7A17" w:rsidRPr="0089540C" w:rsidRDefault="006A7A17" w:rsidP="006A7A17">
      <w:pPr>
        <w:spacing w:after="240"/>
        <w:ind w:left="567" w:hanging="567"/>
        <w:rPr>
          <w:color w:val="000000"/>
        </w:rPr>
      </w:pPr>
      <w:r w:rsidRPr="0089540C">
        <w:rPr>
          <w:color w:val="000000"/>
        </w:rPr>
        <w:t>–</w:t>
      </w:r>
      <w:r w:rsidRPr="0089540C">
        <w:rPr>
          <w:color w:val="000000"/>
        </w:rPr>
        <w:tab/>
      </w:r>
      <w:r w:rsidRPr="0089540C">
        <w:t xml:space="preserve">med beaktande av rådets förordning (EU, Euratom) 2020/2093 av den 17 december 2020 om den </w:t>
      </w:r>
      <w:sdt>
        <w:sdtPr>
          <w:tag w:val="goog_rdk_0"/>
          <w:id w:val="399490220"/>
        </w:sdtPr>
        <w:sdtEndPr/>
        <w:sdtContent/>
      </w:sdt>
      <w:sdt>
        <w:sdtPr>
          <w:tag w:val="goog_rdk_1"/>
          <w:id w:val="-2088213729"/>
        </w:sdtPr>
        <w:sdtEndPr/>
        <w:sdtContent/>
      </w:sdt>
      <w:r w:rsidRPr="0089540C">
        <w:t>fleråriga budgetramen för 2021–2027</w:t>
      </w:r>
      <w:r w:rsidRPr="0089540C">
        <w:rPr>
          <w:color w:val="000000"/>
          <w:vertAlign w:val="superscript"/>
        </w:rPr>
        <w:footnoteReference w:id="2"/>
      </w:r>
      <w:r w:rsidRPr="0089540C">
        <w:t xml:space="preserve"> och de gemensamma förklaringar som parlamentet, rådet och kommissionen enats om i detta sammanhang</w:t>
      </w:r>
      <w:r w:rsidRPr="0089540C">
        <w:rPr>
          <w:color w:val="000000"/>
          <w:vertAlign w:val="superscript"/>
        </w:rPr>
        <w:footnoteReference w:id="3"/>
      </w:r>
      <w:r w:rsidRPr="0089540C">
        <w:t>, samt de därmed sammanhängande ensidiga förklaringarna</w:t>
      </w:r>
      <w:r w:rsidRPr="0089540C">
        <w:rPr>
          <w:color w:val="000000"/>
          <w:vertAlign w:val="superscript"/>
        </w:rPr>
        <w:footnoteReference w:id="4"/>
      </w:r>
      <w:r w:rsidRPr="0089540C">
        <w:t>,</w:t>
      </w:r>
    </w:p>
    <w:p w14:paraId="763EED06" w14:textId="77777777" w:rsidR="006A7A17" w:rsidRPr="0089540C" w:rsidRDefault="006A7A17" w:rsidP="006A7A17">
      <w:pPr>
        <w:spacing w:after="240"/>
        <w:ind w:left="567" w:hanging="567"/>
        <w:rPr>
          <w:color w:val="000000" w:themeColor="text1"/>
        </w:rPr>
      </w:pPr>
      <w:r w:rsidRPr="0089540C">
        <w:rPr>
          <w:color w:val="000000"/>
        </w:rPr>
        <w:t>–</w:t>
      </w:r>
      <w:r w:rsidRPr="0089540C">
        <w:rPr>
          <w:color w:val="000000"/>
        </w:rPr>
        <w:tab/>
        <w:t>med beaktande av rådets förordning (EU, Euratom) 2022/2496 av den 15 december 2022 om ändring av förordning (EU, Euratom) 2020/2093 om den fleråriga budgetramen 2021–2027</w:t>
      </w:r>
      <w:r w:rsidRPr="0089540C">
        <w:rPr>
          <w:color w:val="000000"/>
          <w:vertAlign w:val="superscript"/>
        </w:rPr>
        <w:footnoteReference w:id="5"/>
      </w:r>
      <w:r w:rsidRPr="0089540C">
        <w:rPr>
          <w:color w:val="000000"/>
        </w:rPr>
        <w:t>,</w:t>
      </w:r>
    </w:p>
    <w:p w14:paraId="6717EA66" w14:textId="77777777" w:rsidR="006A7A17" w:rsidRPr="0089540C" w:rsidRDefault="006A7A17" w:rsidP="006A7A17">
      <w:pPr>
        <w:spacing w:after="240"/>
        <w:ind w:left="567" w:hanging="567"/>
      </w:pPr>
      <w:r w:rsidRPr="0089540C">
        <w:t>–</w:t>
      </w:r>
      <w:r w:rsidRPr="0089540C">
        <w:tab/>
      </w:r>
      <w:r w:rsidRPr="0089540C">
        <w:rPr>
          <w:color w:val="000000"/>
        </w:rPr>
        <w:t>med beaktande av rådets förordning (EU, Euratom) 2024/765 om ändring av förordning (EU, Euratom) 2020/2093 om den fleråriga budgetramen 2021–2027</w:t>
      </w:r>
      <w:r w:rsidRPr="0089540C">
        <w:rPr>
          <w:rStyle w:val="FootnoteReference"/>
          <w:color w:val="000000"/>
        </w:rPr>
        <w:footnoteReference w:id="6"/>
      </w:r>
      <w:r w:rsidRPr="0089540C">
        <w:rPr>
          <w:color w:val="000000"/>
        </w:rPr>
        <w:t xml:space="preserve"> (översynen av den fleråriga budgetramen),</w:t>
      </w:r>
    </w:p>
    <w:p w14:paraId="1B884890" w14:textId="77777777" w:rsidR="006A7A17" w:rsidRPr="0089540C" w:rsidRDefault="006A7A17" w:rsidP="006A7A17">
      <w:pPr>
        <w:spacing w:after="240"/>
        <w:ind w:left="567" w:hanging="567"/>
        <w:rPr>
          <w:color w:val="000000"/>
        </w:rPr>
      </w:pPr>
      <w:r w:rsidRPr="0089540C">
        <w:rPr>
          <w:color w:val="000000"/>
        </w:rPr>
        <w:t>–</w:t>
      </w:r>
      <w:r w:rsidRPr="0089540C">
        <w:rPr>
          <w:color w:val="000000"/>
        </w:rPr>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89540C">
        <w:rPr>
          <w:color w:val="000000"/>
        </w:rPr>
        <w:lastRenderedPageBreak/>
        <w:t>egna medel, inbegripet en färdplan för införandet av nya egna medel</w:t>
      </w:r>
      <w:r w:rsidRPr="0089540C">
        <w:rPr>
          <w:color w:val="000000"/>
          <w:vertAlign w:val="superscript"/>
        </w:rPr>
        <w:footnoteReference w:id="7"/>
      </w:r>
      <w:r w:rsidRPr="0089540C">
        <w:rPr>
          <w:color w:val="000000"/>
        </w:rPr>
        <w:t>,</w:t>
      </w:r>
    </w:p>
    <w:p w14:paraId="5654794E" w14:textId="77777777" w:rsidR="006A7A17" w:rsidRPr="0089540C" w:rsidRDefault="006A7A17" w:rsidP="006A7A17">
      <w:pPr>
        <w:spacing w:after="240"/>
        <w:ind w:left="567" w:hanging="567"/>
      </w:pPr>
      <w:r w:rsidRPr="0089540C">
        <w:t>–</w:t>
      </w:r>
      <w:r w:rsidRPr="0089540C">
        <w:tab/>
        <w:t>med beaktande av sin resolution av den 16 december 2020 om utkastet till rådets förordning om den fleråriga budgetramen 2021–2027</w:t>
      </w:r>
      <w:r w:rsidRPr="0089540C">
        <w:rPr>
          <w:vertAlign w:val="superscript"/>
        </w:rPr>
        <w:footnoteReference w:id="8"/>
      </w:r>
      <w:r w:rsidRPr="0089540C">
        <w:t>,</w:t>
      </w:r>
    </w:p>
    <w:p w14:paraId="01BE79A2" w14:textId="77777777" w:rsidR="006A7A17" w:rsidRPr="0089540C" w:rsidRDefault="006A7A17" w:rsidP="006A7A17">
      <w:pPr>
        <w:spacing w:after="240"/>
        <w:ind w:left="567" w:hanging="567"/>
        <w:rPr>
          <w:color w:val="000000"/>
        </w:rPr>
      </w:pPr>
      <w:r w:rsidRPr="0089540C">
        <w:rPr>
          <w:color w:val="000000"/>
        </w:rPr>
        <w:t>–</w:t>
      </w:r>
      <w:r w:rsidRPr="0089540C">
        <w:rPr>
          <w:color w:val="000000"/>
        </w:rPr>
        <w:tab/>
        <w:t xml:space="preserve">med beaktande av sin resolution av den 15 december 2022 om </w:t>
      </w:r>
      <w:proofErr w:type="spellStart"/>
      <w:r w:rsidRPr="0089540C">
        <w:rPr>
          <w:color w:val="000000"/>
        </w:rPr>
        <w:t>uppskalningen</w:t>
      </w:r>
      <w:proofErr w:type="spellEnd"/>
      <w:r w:rsidRPr="0089540C">
        <w:rPr>
          <w:color w:val="000000"/>
        </w:rPr>
        <w:t xml:space="preserve"> av den fleråriga budgetramen 2021–2027: en </w:t>
      </w:r>
      <w:proofErr w:type="spellStart"/>
      <w:r w:rsidRPr="0089540C">
        <w:rPr>
          <w:color w:val="000000"/>
        </w:rPr>
        <w:t>resilient</w:t>
      </w:r>
      <w:proofErr w:type="spellEnd"/>
      <w:r w:rsidRPr="0089540C">
        <w:rPr>
          <w:color w:val="000000"/>
        </w:rPr>
        <w:t xml:space="preserve"> EU-budget som är anpassad till nya utmaningar</w:t>
      </w:r>
      <w:r w:rsidRPr="0089540C">
        <w:rPr>
          <w:color w:val="000000"/>
          <w:vertAlign w:val="superscript"/>
        </w:rPr>
        <w:footnoteReference w:id="9"/>
      </w:r>
      <w:r w:rsidRPr="0089540C">
        <w:rPr>
          <w:color w:val="000000"/>
        </w:rPr>
        <w:t>,</w:t>
      </w:r>
    </w:p>
    <w:p w14:paraId="034CFC98" w14:textId="77777777" w:rsidR="006A7A17" w:rsidRPr="0089540C" w:rsidRDefault="006A7A17" w:rsidP="006A7A17">
      <w:pPr>
        <w:keepNext/>
        <w:keepLines/>
        <w:widowControl/>
        <w:spacing w:after="240"/>
        <w:ind w:left="567" w:hanging="567"/>
      </w:pPr>
      <w:r w:rsidRPr="0089540C">
        <w:t>–</w:t>
      </w:r>
      <w:r w:rsidRPr="0089540C">
        <w:tab/>
        <w:t>med beaktande av sin resolution av den 3 oktober 2023 om förslaget till halvtidsöversyn av den fleråriga budgetramen 2021–2027</w:t>
      </w:r>
      <w:r w:rsidRPr="0089540C">
        <w:rPr>
          <w:vertAlign w:val="superscript"/>
        </w:rPr>
        <w:footnoteReference w:id="10"/>
      </w:r>
      <w:r w:rsidRPr="0089540C">
        <w:t>,</w:t>
      </w:r>
    </w:p>
    <w:p w14:paraId="3B83044D" w14:textId="77777777" w:rsidR="006A7A17" w:rsidRPr="0089540C" w:rsidRDefault="006A7A17" w:rsidP="006A7A17">
      <w:pPr>
        <w:spacing w:after="240"/>
        <w:ind w:left="567" w:hanging="567"/>
        <w:rPr>
          <w:color w:val="000000"/>
        </w:rPr>
      </w:pPr>
      <w:r w:rsidRPr="0089540C">
        <w:rPr>
          <w:color w:val="000000"/>
        </w:rPr>
        <w:t>–</w:t>
      </w:r>
      <w:r w:rsidRPr="0089540C">
        <w:rPr>
          <w:color w:val="000000"/>
        </w:rPr>
        <w:tab/>
        <w:t>med beaktande av sin resolution av den 27 februari 2024 om utkastet till rådets förordning om ändring av förordning (EU, Euratom) 2020/2093 om den fleråriga budgetramen för 2021–2027</w:t>
      </w:r>
      <w:r w:rsidRPr="0089540C">
        <w:rPr>
          <w:color w:val="000000"/>
          <w:vertAlign w:val="superscript"/>
        </w:rPr>
        <w:footnoteReference w:id="11"/>
      </w:r>
      <w:r w:rsidRPr="0089540C">
        <w:rPr>
          <w:color w:val="000000"/>
        </w:rPr>
        <w:t>,</w:t>
      </w:r>
    </w:p>
    <w:p w14:paraId="2C48C779" w14:textId="77777777" w:rsidR="006A7A17" w:rsidRPr="0089540C" w:rsidRDefault="006A7A17" w:rsidP="006A7A17">
      <w:pPr>
        <w:spacing w:after="240"/>
        <w:ind w:left="567" w:hanging="567"/>
        <w:rPr>
          <w:color w:val="000000"/>
        </w:rPr>
      </w:pPr>
      <w:r w:rsidRPr="0089540C">
        <w:rPr>
          <w:color w:val="000000"/>
        </w:rPr>
        <w:t>–</w:t>
      </w:r>
      <w:r w:rsidRPr="0089540C">
        <w:rPr>
          <w:color w:val="000000"/>
        </w:rPr>
        <w:tab/>
      </w:r>
      <w:r w:rsidRPr="0089540C">
        <w:t>med beaktande av Europeiska unionens allmänna budget för budgetåret 2026, slutgiltigt antagen den 26 november 2025</w:t>
      </w:r>
      <w:r w:rsidRPr="0089540C">
        <w:rPr>
          <w:color w:val="000000"/>
          <w:vertAlign w:val="superscript"/>
        </w:rPr>
        <w:footnoteReference w:id="12"/>
      </w:r>
      <w:r w:rsidRPr="0089540C">
        <w:t>, och de gemensamma uttalandena, bifogade till budgeten, som parlamentet, rådet och kommissionen enats om,</w:t>
      </w:r>
    </w:p>
    <w:p w14:paraId="7F19466B" w14:textId="77777777" w:rsidR="006A7A17" w:rsidRPr="0089540C" w:rsidRDefault="006A7A17" w:rsidP="006A7A17">
      <w:pPr>
        <w:pStyle w:val="Action"/>
        <w:tabs>
          <w:tab w:val="clear" w:pos="357"/>
        </w:tabs>
        <w:spacing w:after="120"/>
        <w:ind w:left="567" w:hanging="567"/>
        <w:outlineLvl w:val="0"/>
      </w:pPr>
      <w:r w:rsidRPr="0089540C">
        <w:t>–</w:t>
      </w:r>
      <w:r w:rsidRPr="0089540C">
        <w:tab/>
        <w:t>med beaktande av generalsekreterarens rapport till presidiet inför upprättandet av det preliminära förslaget till parlamentets budgetberäkning för budgetåret 2027,</w:t>
      </w:r>
    </w:p>
    <w:p w14:paraId="07AF726E" w14:textId="77777777" w:rsidR="006A7A17" w:rsidRPr="0089540C" w:rsidRDefault="006A7A17" w:rsidP="006A7A17">
      <w:pPr>
        <w:pStyle w:val="Action"/>
        <w:tabs>
          <w:tab w:val="clear" w:pos="357"/>
        </w:tabs>
        <w:spacing w:after="120"/>
        <w:ind w:left="567" w:hanging="567"/>
        <w:outlineLvl w:val="0"/>
      </w:pPr>
      <w:r w:rsidRPr="0089540C">
        <w:t>–</w:t>
      </w:r>
      <w:r w:rsidRPr="0089540C">
        <w:tab/>
        <w:t>med beaktande av det preliminära förslag till budgetberäkning som presidiet upprättade den 9 mars 2026 i enlighet med artiklarna 25.7 och 104.1 i parlamentets arbetsordning,</w:t>
      </w:r>
    </w:p>
    <w:p w14:paraId="70C5ADAA" w14:textId="77777777" w:rsidR="006A7A17" w:rsidRPr="0089540C" w:rsidRDefault="006A7A17" w:rsidP="006A7A17">
      <w:pPr>
        <w:pStyle w:val="Action"/>
        <w:tabs>
          <w:tab w:val="clear" w:pos="357"/>
        </w:tabs>
        <w:spacing w:after="120"/>
        <w:ind w:left="567" w:hanging="567"/>
        <w:outlineLvl w:val="0"/>
      </w:pPr>
      <w:r w:rsidRPr="0089540C">
        <w:t>–</w:t>
      </w:r>
      <w:r w:rsidRPr="0089540C">
        <w:tab/>
        <w:t>med beaktande av förslaget till budgetberäkning som budgetutskottet upprättat i enlighet med artikel 104.2 i arbetsordningen,</w:t>
      </w:r>
    </w:p>
    <w:p w14:paraId="6AA44C70" w14:textId="77777777" w:rsidR="006A7A17" w:rsidRPr="0089540C" w:rsidRDefault="006A7A17" w:rsidP="006A7A17">
      <w:pPr>
        <w:pStyle w:val="Action"/>
        <w:tabs>
          <w:tab w:val="clear" w:pos="357"/>
        </w:tabs>
        <w:spacing w:after="120"/>
        <w:ind w:left="567" w:hanging="567"/>
        <w:outlineLvl w:val="0"/>
      </w:pPr>
      <w:r w:rsidRPr="0089540C">
        <w:t>–</w:t>
      </w:r>
      <w:r w:rsidRPr="0089540C">
        <w:tab/>
        <w:t>med beaktande av artikel 104 i arbetsordningen,</w:t>
      </w:r>
    </w:p>
    <w:p w14:paraId="3C15644A" w14:textId="77777777" w:rsidR="006A7A17" w:rsidRPr="0089540C" w:rsidRDefault="006A7A17" w:rsidP="006A7A17">
      <w:pPr>
        <w:pStyle w:val="Action"/>
        <w:tabs>
          <w:tab w:val="clear" w:pos="357"/>
        </w:tabs>
        <w:ind w:left="567" w:hanging="567"/>
        <w:outlineLvl w:val="0"/>
      </w:pPr>
      <w:r w:rsidRPr="0089540C">
        <w:t>–</w:t>
      </w:r>
      <w:r w:rsidRPr="0089540C">
        <w:tab/>
        <w:t xml:space="preserve">med beaktande av </w:t>
      </w:r>
      <w:proofErr w:type="spellStart"/>
      <w:r w:rsidRPr="0089540C">
        <w:t>interimsbetänkandet</w:t>
      </w:r>
      <w:proofErr w:type="spellEnd"/>
      <w:r w:rsidRPr="0089540C">
        <w:t xml:space="preserve"> från budgetutskottet (A10-0124/2026), och av följande skäl:</w:t>
      </w:r>
    </w:p>
    <w:p w14:paraId="1BB5518A" w14:textId="77777777" w:rsidR="006A7A17" w:rsidRPr="0089540C" w:rsidRDefault="006A7A17" w:rsidP="006A7A17">
      <w:pPr>
        <w:pStyle w:val="Action"/>
        <w:tabs>
          <w:tab w:val="clear" w:pos="357"/>
        </w:tabs>
        <w:spacing w:after="120"/>
        <w:ind w:left="567" w:hanging="567"/>
        <w:outlineLvl w:val="0"/>
      </w:pPr>
      <w:r w:rsidRPr="0089540C">
        <w:t>A.</w:t>
      </w:r>
      <w:r w:rsidRPr="0089540C">
        <w:tab/>
        <w:t>Den budget som generalsekreteraren den 9 februari 2026 föreslog för parlamentets preliminära förslag till budgetberäkning för 2027 uppgår till 2 665 474 853 EUR och innebär en ökning med 2,33 % eller 60 618 266 EUR jämfört med 2026 års budget.</w:t>
      </w:r>
    </w:p>
    <w:p w14:paraId="1605C8C4" w14:textId="77777777" w:rsidR="006A7A17" w:rsidRPr="0089540C" w:rsidRDefault="006A7A17" w:rsidP="006A7A17">
      <w:pPr>
        <w:pStyle w:val="Action"/>
        <w:tabs>
          <w:tab w:val="clear" w:pos="357"/>
        </w:tabs>
        <w:spacing w:after="120"/>
        <w:ind w:left="567" w:hanging="567"/>
        <w:outlineLvl w:val="0"/>
      </w:pPr>
      <w:r w:rsidRPr="0089540C">
        <w:t>B.</w:t>
      </w:r>
      <w:r w:rsidRPr="0089540C">
        <w:tab/>
        <w:t>Den ökning med 2,33 % som generalsekreteraren föreslagit beror på en ökning med 2,01 % för lagstadgade ekonomiska skyldigheter och 2,89 % för icke lagstadgade utgifter.</w:t>
      </w:r>
    </w:p>
    <w:p w14:paraId="76F3D26E" w14:textId="77777777" w:rsidR="006A7A17" w:rsidRPr="0089540C" w:rsidRDefault="006A7A17" w:rsidP="006A7A17">
      <w:pPr>
        <w:pStyle w:val="Action"/>
        <w:tabs>
          <w:tab w:val="clear" w:pos="357"/>
        </w:tabs>
        <w:ind w:left="567" w:hanging="567"/>
        <w:outlineLvl w:val="0"/>
      </w:pPr>
      <w:r w:rsidRPr="0089540C">
        <w:t>C.</w:t>
      </w:r>
      <w:r w:rsidRPr="0089540C">
        <w:tab/>
        <w:t>Enligt Eurostat var den årliga inflationen i unionen 2,3 % i december 2025, vilket var en minskning från 2,7 % i december 2024. Utgiftsnivån i rubrik 7 i den fleråriga budgetramen 2021–2027 baseras på en årlig ökning på 2 %.</w:t>
      </w:r>
    </w:p>
    <w:p w14:paraId="02DCADE4" w14:textId="77777777" w:rsidR="006A7A17" w:rsidRPr="0089540C" w:rsidRDefault="006A7A17" w:rsidP="006A7A17">
      <w:pPr>
        <w:pStyle w:val="Action"/>
        <w:tabs>
          <w:tab w:val="clear" w:pos="357"/>
        </w:tabs>
        <w:ind w:left="567" w:hanging="567"/>
        <w:outlineLvl w:val="0"/>
      </w:pPr>
      <w:r w:rsidRPr="0089540C">
        <w:t>D.</w:t>
      </w:r>
      <w:r w:rsidRPr="0089540C">
        <w:tab/>
        <w:t xml:space="preserve">Parlamentets trovärdighet beror på dess förmåga att genomföra sitt centrala budget-, </w:t>
      </w:r>
      <w:r w:rsidRPr="0089540C">
        <w:lastRenderedPageBreak/>
        <w:t>lagstiftnings- och kontrollarbete och att utföra det enligt högsta möjliga standard, samtidigt som man föregår med gott exempel gentemot andra unionsinstitutioner med avseende på att planera och genomföra sina utgifter på ett försiktigt och effektivt sätt och återspegla den rådande ekonomiska verkligheten.</w:t>
      </w:r>
    </w:p>
    <w:p w14:paraId="6707B4E7" w14:textId="77777777" w:rsidR="006A7A17" w:rsidRPr="0089540C" w:rsidRDefault="006A7A17" w:rsidP="006A7A17">
      <w:pPr>
        <w:pStyle w:val="NormalHanging12a"/>
        <w:keepNext/>
        <w:keepLines/>
        <w:rPr>
          <w:b/>
          <w:i/>
        </w:rPr>
      </w:pPr>
      <w:r w:rsidRPr="0089540C">
        <w:rPr>
          <w:b/>
          <w:i/>
        </w:rPr>
        <w:t>Allmänna ramar</w:t>
      </w:r>
    </w:p>
    <w:p w14:paraId="2DB40126" w14:textId="77777777" w:rsidR="006A7A17" w:rsidRPr="0089540C" w:rsidRDefault="006A7A17" w:rsidP="006A7A17">
      <w:pPr>
        <w:keepNext/>
        <w:keepLines/>
        <w:widowControl/>
        <w:spacing w:after="240"/>
        <w:ind w:left="567" w:hanging="567"/>
        <w:rPr>
          <w:color w:val="000000"/>
        </w:rPr>
      </w:pPr>
      <w:r w:rsidRPr="0089540C">
        <w:rPr>
          <w:color w:val="000000"/>
        </w:rPr>
        <w:t>1.</w:t>
      </w:r>
      <w:r w:rsidRPr="0089540C">
        <w:rPr>
          <w:color w:val="000000"/>
        </w:rPr>
        <w:tab/>
        <w:t>Europaparlamentet är bekymrat över situationen för rubrik 7 i den nuvarande fleråriga budgetramen. Parlamentet påminner om att begränsningarna är resultatet av rådets nedskärningar i kommissionens redan mycket låga ursprungliga förslag när man enades om den nuvarande fleråriga budgetramen för 2021–2027 samt den ackumulerade effekten av högre inflation än väntat under flera år. Parlamentet beklagar rådets motstånd mot kommissionens förslag att höja taket för rubrik 7 från och med 2024 i samband med översynen av den fleråriga budgetramen. Parlamentet påpekar att man vid översynen av den fleråriga budgetramen inte tog upp frågan om taket för rubrik 7. Parlamentet framhåller att den beräknade negativa marginalen för 2027 förutsätter att de särskilda instrumenten i rubrik 7 används för detta ändamål. Parlamentet understryker att användningen av särskilda instrument bör förbli exceptionell, vederbörligen motiverad och begränsad till oförutsedda omständigheter.</w:t>
      </w:r>
    </w:p>
    <w:p w14:paraId="6D9CE99E" w14:textId="77777777" w:rsidR="006A7A17" w:rsidRPr="0089540C" w:rsidRDefault="006A7A17" w:rsidP="006A7A17">
      <w:pPr>
        <w:widowControl/>
        <w:spacing w:after="240"/>
        <w:ind w:left="567" w:hanging="567"/>
        <w:rPr>
          <w:color w:val="000000"/>
        </w:rPr>
      </w:pPr>
      <w:r w:rsidRPr="0089540C">
        <w:rPr>
          <w:color w:val="000000"/>
        </w:rPr>
        <w:t>2.</w:t>
      </w:r>
      <w:r w:rsidRPr="0089540C">
        <w:rPr>
          <w:color w:val="000000"/>
        </w:rPr>
        <w:tab/>
        <w:t xml:space="preserve">Europaparlamentet stöder den överenskommelse som nåddes den 15 april 2026 i förlikningen mellan presidiet och budgetutskottet om att fastställa ökningen jämfört med budgeten för 2026 till 1,98 %, vilket motsvarar en total budgetberäkning på 2 656 435 753 EUR för 2027, och att i enlighet med detta minska de föreslagna anslagen för följande budgetposter med totalt 10 554 000 EUR: </w:t>
      </w:r>
    </w:p>
    <w:p w14:paraId="37BB31EF" w14:textId="77777777" w:rsidR="006A7A17" w:rsidRPr="0089540C" w:rsidRDefault="006A7A17" w:rsidP="006A7A17">
      <w:pPr>
        <w:widowControl/>
        <w:spacing w:after="240"/>
        <w:ind w:left="567"/>
        <w:rPr>
          <w:color w:val="000000"/>
        </w:rPr>
      </w:pPr>
      <w:r w:rsidRPr="0089540C">
        <w:rPr>
          <w:color w:val="000000"/>
        </w:rPr>
        <w:t xml:space="preserve">1 0 0 6 – Ersättning för allmänna utgifter, 1 4 0 5 01 – Utgifter för tolkning: extern tolkning, 1 4 2 — Externa översättningstjänster, 1 6 1 2 07 — Utbildning och utveckling: extern utbildning för GD ITEC, 2 0 0 7 04 — Uppförande av byggnader och inredning av lokaler: förbindelsekontor/Europa </w:t>
      </w:r>
      <w:proofErr w:type="spellStart"/>
      <w:r w:rsidRPr="0089540C">
        <w:rPr>
          <w:color w:val="000000"/>
        </w:rPr>
        <w:t>Experience</w:t>
      </w:r>
      <w:proofErr w:type="spellEnd"/>
      <w:r w:rsidRPr="0089540C">
        <w:rPr>
          <w:color w:val="000000"/>
        </w:rPr>
        <w:t xml:space="preserve">, 2 1 0 0 02 — It-förvaltning och cybersäkerhet —IKT-säkerhet, IKT-risker och IKT-efterlevnad, 2 1 0 0 03 — It-förvaltning och cybersäkerhet — spjutspetsteknik, 2 1 0 1 02 — Förvaltning av operativa tillämpningar — tillhandahållande av </w:t>
      </w:r>
      <w:proofErr w:type="spellStart"/>
      <w:r w:rsidRPr="0089540C">
        <w:rPr>
          <w:color w:val="000000"/>
        </w:rPr>
        <w:t>it-lösningar</w:t>
      </w:r>
      <w:proofErr w:type="spellEnd"/>
      <w:r w:rsidRPr="0089540C">
        <w:rPr>
          <w:color w:val="000000"/>
        </w:rPr>
        <w:t xml:space="preserve">, 2 1 0 1 13 — Förvaltning av operativa tillämpningar – GD FINS, 2 1 0 2 03 — Infrastruktur och operativ förvaltning — telekommunikationer, 2 1 0 2 04 — Infrastruktur och operativ förvaltning — intern infrastruktur, 2 1 0 2 05 — Infrastruktur och operativ förvaltning — programvara — infrastruktur, 2 1 0 2 07 — Infrastruktur och operativ förvaltning — utskriftshantering, 2 1 0 3 01 — Tjänster och utrustning för digitala arbetsplatser — individuell </w:t>
      </w:r>
      <w:proofErr w:type="spellStart"/>
      <w:r w:rsidRPr="0089540C">
        <w:rPr>
          <w:color w:val="000000"/>
        </w:rPr>
        <w:t>it-utrustning</w:t>
      </w:r>
      <w:proofErr w:type="spellEnd"/>
      <w:r w:rsidRPr="0089540C">
        <w:rPr>
          <w:color w:val="000000"/>
        </w:rPr>
        <w:t>, 2 1 2 0 01 — Inventarier: inköp, hyra, förnyelse, underhåll och reparation av inventarier, 2 1 6 0 01 — Transport av ledamöter, andra personer och materiel: ledamöternas transporter (leasing och användning), 3 0 0 0 02 — Utgifter för personalens tjänsteresor och resor mellan de tre arbetsorterna: tjänsteresor utanför de tre arbetsorterna, 3 0 0 0 03 — Utgifter för personalens tjänsteresor och resor mellan de tre arbetsorterna: utbildning och utveckling, 3 2 1 0 01 — Utgifter för parlamentariska utredningar, däribland bibliotek, historiska arkiv, bedömning av vetenskapliga och tekniska alternativ (</w:t>
      </w:r>
      <w:proofErr w:type="spellStart"/>
      <w:r w:rsidRPr="0089540C">
        <w:rPr>
          <w:color w:val="000000"/>
        </w:rPr>
        <w:t>Stoa</w:t>
      </w:r>
      <w:proofErr w:type="spellEnd"/>
      <w:r w:rsidRPr="0089540C">
        <w:rPr>
          <w:color w:val="000000"/>
        </w:rPr>
        <w:t xml:space="preserve">) och Europeiskt vetenskapligt mediecentrum: konsekvensanalyser och europeiskt mervärde, 3 2 2 0 09 — Utgifter för dokumentation: prenumerationer och mediebevakning, 3 2 4 2 01 — Utgifter för publicering, information och deltagande i offentliga arrangemang: informationskampanjer, 3 2 4 3 01 — Europaparlamentets besökscentrum: </w:t>
      </w:r>
      <w:proofErr w:type="spellStart"/>
      <w:r w:rsidRPr="0089540C">
        <w:rPr>
          <w:color w:val="000000"/>
        </w:rPr>
        <w:t>Parlamentarium</w:t>
      </w:r>
      <w:proofErr w:type="spellEnd"/>
      <w:r w:rsidRPr="0089540C">
        <w:rPr>
          <w:color w:val="000000"/>
        </w:rPr>
        <w:t xml:space="preserve"> och Europa </w:t>
      </w:r>
      <w:proofErr w:type="spellStart"/>
      <w:r w:rsidRPr="0089540C">
        <w:rPr>
          <w:color w:val="000000"/>
        </w:rPr>
        <w:t>Experience</w:t>
      </w:r>
      <w:proofErr w:type="spellEnd"/>
      <w:r w:rsidRPr="0089540C">
        <w:rPr>
          <w:color w:val="000000"/>
        </w:rPr>
        <w:t xml:space="preserve"> 3 2 4 3 02 — Europaparlamentets besökscentrum: Europeiska historiens hus, 101 — Reserv för oförutsedda utgifter. </w:t>
      </w:r>
    </w:p>
    <w:p w14:paraId="23776815" w14:textId="77777777" w:rsidR="006A7A17" w:rsidRPr="0089540C" w:rsidRDefault="006A7A17" w:rsidP="006A7A17">
      <w:pPr>
        <w:widowControl/>
        <w:spacing w:after="240"/>
        <w:ind w:left="567"/>
        <w:rPr>
          <w:color w:val="000000"/>
        </w:rPr>
      </w:pPr>
      <w:r w:rsidRPr="0089540C">
        <w:rPr>
          <w:color w:val="000000"/>
        </w:rPr>
        <w:lastRenderedPageBreak/>
        <w:t>Dessutom beslutade man att öka utgiftsnivån i det preliminära förslaget till budgetberäkning som godkändes av presidiet den 9 mars 2026 med 1 514 900 EUR och att i enlighet med detta öka de föreslagna anslagen för följande budgetposter:</w:t>
      </w:r>
    </w:p>
    <w:p w14:paraId="36E0A155" w14:textId="77777777" w:rsidR="006A7A17" w:rsidRPr="0089540C" w:rsidRDefault="006A7A17" w:rsidP="006A7A17">
      <w:pPr>
        <w:widowControl/>
        <w:spacing w:after="240"/>
        <w:ind w:left="567"/>
        <w:rPr>
          <w:color w:val="000000"/>
        </w:rPr>
      </w:pPr>
      <w:r w:rsidRPr="0089540C">
        <w:rPr>
          <w:color w:val="000000"/>
        </w:rPr>
        <w:t xml:space="preserve">4 0 3 — Finansiering av europeiska politiska stiftelser och 4 4 0 — Kostnader för sammanträden och andra aktiviteter för före detta ledamöter. </w:t>
      </w:r>
    </w:p>
    <w:p w14:paraId="6299FA17" w14:textId="77777777" w:rsidR="006A7A17" w:rsidRPr="0089540C" w:rsidRDefault="006A7A17" w:rsidP="006A7A17">
      <w:pPr>
        <w:widowControl/>
        <w:spacing w:after="240"/>
        <w:ind w:left="567" w:hanging="567"/>
        <w:rPr>
          <w:color w:val="000000"/>
        </w:rPr>
      </w:pPr>
      <w:r w:rsidRPr="0089540C">
        <w:rPr>
          <w:color w:val="000000"/>
        </w:rPr>
        <w:t>3.</w:t>
      </w:r>
      <w:r w:rsidRPr="0089540C">
        <w:rPr>
          <w:color w:val="000000"/>
        </w:rPr>
        <w:tab/>
        <w:t>Europaparlamentet påminner om att nästan två tredjedelar av budgeten fastställs genom lagstadgade skyldigheter. Parlamentet påminner om att löneindexeringen, i linje med tjänsteföreskrifterna och Europaparlamentets ledamotsstadga, enligt kommissionens beräkningar för närvarande förväntas uppgå till 2,2 % för juli 2026 och till 2,3 % för juli 2027.</w:t>
      </w:r>
    </w:p>
    <w:p w14:paraId="481C37BF" w14:textId="77777777" w:rsidR="006A7A17" w:rsidRPr="0089540C" w:rsidRDefault="006A7A17" w:rsidP="006A7A17">
      <w:pPr>
        <w:widowControl/>
        <w:spacing w:after="240"/>
        <w:ind w:left="567" w:hanging="567"/>
        <w:rPr>
          <w:color w:val="000000"/>
        </w:rPr>
      </w:pPr>
      <w:r w:rsidRPr="0089540C">
        <w:rPr>
          <w:color w:val="000000"/>
        </w:rPr>
        <w:t>4.</w:t>
      </w:r>
      <w:r w:rsidRPr="0089540C">
        <w:rPr>
          <w:color w:val="000000"/>
        </w:rPr>
        <w:tab/>
        <w:t>Europaparlamentet noterar att av ökningen med 51,6 miljoner EUR jämfört med 2026 års budget beror på en ökning med 32,6 miljoner EUR för lagstadgade skyldigheter, främst för löneuppdateringar för tjänstemän och tillfälligt anställda (16,2 miljoner EUR) och kontraktsanställda (1,7 miljoner EUR). Parlamentet välkomnar att ett exceptionellt direktstöd planeras från och med 2027 för praktikanter som är baserade i Luxemburg (upp till 500 EUR per praktikmånad) för att hjälpa dem att hantera de stigande boendekostnaderna. Parlamentet vill se att det säkerställs att praktikplatser är tillgängliga för ungdomar mot bakgrund av de stigande levnadskostnaderna oavsett arbetsort. Parlamentet välkomnar presidiets beslut att avstå från indexuppräkningen av ersättningen för allmänna utgifter för 2026.</w:t>
      </w:r>
    </w:p>
    <w:p w14:paraId="7D9369BB" w14:textId="77777777" w:rsidR="006A7A17" w:rsidRPr="0089540C" w:rsidRDefault="006A7A17" w:rsidP="006A7A17">
      <w:pPr>
        <w:widowControl/>
        <w:spacing w:after="240"/>
        <w:ind w:left="567" w:hanging="567"/>
        <w:rPr>
          <w:b/>
          <w:i/>
          <w:color w:val="000000"/>
        </w:rPr>
      </w:pPr>
      <w:r w:rsidRPr="0089540C">
        <w:rPr>
          <w:color w:val="000000"/>
        </w:rPr>
        <w:t>5.</w:t>
      </w:r>
      <w:r w:rsidRPr="0089540C">
        <w:rPr>
          <w:b/>
          <w:i/>
          <w:color w:val="000000"/>
        </w:rPr>
        <w:tab/>
      </w:r>
      <w:r w:rsidRPr="0089540C">
        <w:rPr>
          <w:color w:val="000000"/>
        </w:rPr>
        <w:t>Europaparlamentet noterar att det belopp som avsatts för assistentstöd till ledamöterna beräknas på grundval av historiska trender. Parlamentet betonar att ledamöterna under inga omständigheter kan fråntas sin rätt att fullt ut utnyttja denna ersättning, i enlighet med relevanta bestämmelser, på grund av en brist på anslag under denna budgetpost. Parlamentet uppmanar generalsekreteraren att noga övervaka situationen, informera budgetutskottet om genomförandet av budgetposten och vidta relevanta åtgärder när det finns risk för otillräckliga ekonomiska resurser.</w:t>
      </w:r>
    </w:p>
    <w:p w14:paraId="1B4C38DA" w14:textId="77777777" w:rsidR="006A7A17" w:rsidRPr="0089540C" w:rsidRDefault="006A7A17" w:rsidP="006A7A17">
      <w:pPr>
        <w:widowControl/>
        <w:spacing w:after="240"/>
        <w:ind w:left="567" w:hanging="567"/>
        <w:rPr>
          <w:color w:val="000000"/>
        </w:rPr>
      </w:pPr>
      <w:r w:rsidRPr="0089540C">
        <w:rPr>
          <w:color w:val="000000"/>
        </w:rPr>
        <w:t>6.</w:t>
      </w:r>
      <w:r w:rsidRPr="0089540C">
        <w:rPr>
          <w:color w:val="000000"/>
        </w:rPr>
        <w:tab/>
        <w:t xml:space="preserve">Europaparlamentet noterar att parlamentet för fjärde året i rad inte begär några ytterligare tjänster för 2027. </w:t>
      </w:r>
    </w:p>
    <w:p w14:paraId="562DB7DE" w14:textId="77777777" w:rsidR="006A7A17" w:rsidRPr="0089540C" w:rsidRDefault="006A7A17" w:rsidP="006A7A17">
      <w:pPr>
        <w:widowControl/>
        <w:spacing w:after="240"/>
        <w:ind w:left="567" w:hanging="567"/>
        <w:rPr>
          <w:color w:val="000000"/>
        </w:rPr>
      </w:pPr>
      <w:r w:rsidRPr="0089540C">
        <w:rPr>
          <w:color w:val="000000"/>
        </w:rPr>
        <w:t>7.</w:t>
      </w:r>
      <w:r w:rsidRPr="0089540C">
        <w:rPr>
          <w:color w:val="000000"/>
        </w:rPr>
        <w:tab/>
        <w:t xml:space="preserve">Europaparlamentet noterar att ökningen av icke lagstadgade utgifter mellan 2026 och 2027 uppgår till 2 %. </w:t>
      </w:r>
    </w:p>
    <w:p w14:paraId="32F3B417" w14:textId="77777777" w:rsidR="006A7A17" w:rsidRPr="0089540C" w:rsidRDefault="006A7A17" w:rsidP="006A7A17">
      <w:pPr>
        <w:widowControl/>
        <w:spacing w:after="240"/>
        <w:ind w:left="567" w:hanging="567"/>
        <w:rPr>
          <w:color w:val="000000"/>
        </w:rPr>
      </w:pPr>
      <w:r w:rsidRPr="0089540C">
        <w:rPr>
          <w:color w:val="000000"/>
        </w:rPr>
        <w:t>8.</w:t>
      </w:r>
      <w:r w:rsidRPr="0089540C">
        <w:rPr>
          <w:color w:val="000000"/>
        </w:rPr>
        <w:tab/>
        <w:t xml:space="preserve">Europaparlamentet välkomnar generalsekreterarens pågående arbete i linje med de reformer som talman </w:t>
      </w:r>
      <w:proofErr w:type="spellStart"/>
      <w:r w:rsidRPr="0089540C">
        <w:rPr>
          <w:color w:val="000000"/>
        </w:rPr>
        <w:t>Metsola</w:t>
      </w:r>
      <w:proofErr w:type="spellEnd"/>
      <w:r w:rsidRPr="0089540C">
        <w:rPr>
          <w:color w:val="000000"/>
        </w:rPr>
        <w:t xml:space="preserve"> föreslog den 16 juni 2025 om administrativt samarbete, planering och förenkling som syftar till att öka effektiviteten, effektivisera resursanvändningen och uppnå besparingar där så är möjligt. Parlamentet efterlyser förstärkta rapporteringsmekanismer för att öka transparensen och ansvarsskyldigheten. Parlamentet uppmanar generalsekreteraren att förse budgetutskottet med regelbundna uppdateringar om genomförandet av handlingsplanen för administrativ förenkling och dess inverkan i fråga om budget och personal.</w:t>
      </w:r>
    </w:p>
    <w:p w14:paraId="4A50942C" w14:textId="77777777" w:rsidR="006A7A17" w:rsidRPr="0089540C" w:rsidRDefault="006A7A17" w:rsidP="006A7A17">
      <w:pPr>
        <w:pStyle w:val="action0"/>
        <w:keepNext/>
        <w:keepLines/>
        <w:ind w:left="0" w:firstLine="0"/>
        <w:rPr>
          <w:b/>
          <w:i/>
        </w:rPr>
      </w:pPr>
      <w:r w:rsidRPr="0089540C">
        <w:rPr>
          <w:b/>
          <w:i/>
        </w:rPr>
        <w:lastRenderedPageBreak/>
        <w:t>Förstärkning av parlamentets kärnverksamhet</w:t>
      </w:r>
    </w:p>
    <w:p w14:paraId="10513035" w14:textId="77777777" w:rsidR="006A7A17" w:rsidRPr="0089540C" w:rsidRDefault="006A7A17" w:rsidP="006A7A17">
      <w:pPr>
        <w:keepNext/>
        <w:keepLines/>
        <w:widowControl/>
        <w:spacing w:after="240"/>
        <w:ind w:left="567" w:hanging="567"/>
        <w:rPr>
          <w:color w:val="000000"/>
        </w:rPr>
      </w:pPr>
      <w:r w:rsidRPr="0089540C">
        <w:t>9.</w:t>
      </w:r>
      <w:r w:rsidRPr="0089540C">
        <w:tab/>
        <w:t>Europaparlamentet noterar de fyra nya tematiska generaldirektoraten, som varit verksamma sedan januari 2025 och som ansvarar för lagstiftnings-, budget- och kontrollverksamhet, i syfte att förbättra parlamentets funktion som medlagstiftare, som en av budgetmyndighetens två grenar och som ansvarsfrihetsbeviljande myndighet.</w:t>
      </w:r>
    </w:p>
    <w:p w14:paraId="1AFEFB7B" w14:textId="77777777" w:rsidR="0036740C" w:rsidRDefault="006A7A17" w:rsidP="006A7A17">
      <w:pPr>
        <w:widowControl/>
        <w:spacing w:after="240"/>
        <w:ind w:left="567" w:hanging="567"/>
      </w:pPr>
      <w:r w:rsidRPr="0089540C">
        <w:t>10.</w:t>
      </w:r>
      <w:r w:rsidRPr="0089540C">
        <w:tab/>
        <w:t xml:space="preserve">Europaparlamentet noterar omfördelningen av interna resurser när det gäller antalet tilldelade tjänster (+15 % från 2024 till 2026), budgetanslaget för extern personal (budgetpost 1400, från 3,2 miljoner EUR 2024 till 8 miljoner EUR 2027) och budgeten för extern expertkunskap (budgetpost 3200, från 3,2 miljoner EUR 2024 till 7,7 miljoner EUR 2027) för att stärka den expertkunskap som tillhandahålls ledamöterna. Parlamentet betonar behovet av att se till att dessa ökningar förblir motiverade, proportionerliga och ger ett tydligt mervärde. Parlamentet uppmanar generalsekreteraren att förse budgetutskottet med regelbundna uppdateringar om resursutvecklingen och resursanvändningen i dessa fyra nya generaldirektorat. Parlamentet understryker behovet av att säkerställa det viktiga målet att stärka parlamentets kapacitet att stödja ledamöternas arbete. Parlamentet betonar de politiska gruppernas avgörande roll </w:t>
      </w:r>
      <w:bookmarkStart w:id="8" w:name="_Hlk227243597"/>
      <w:r w:rsidRPr="0089540C">
        <w:t>när det gäller att tillhandahålla sakkunskap och politiskt stöd</w:t>
      </w:r>
      <w:bookmarkEnd w:id="8"/>
      <w:r w:rsidRPr="0089540C">
        <w:t xml:space="preserve"> till ledamöterna i deras lagstiftningsarbete och parlamentariska arbete.</w:t>
      </w:r>
    </w:p>
    <w:p w14:paraId="54660DF2" w14:textId="5B3CECA8" w:rsidR="0036740C" w:rsidRDefault="0036740C" w:rsidP="006A7A17">
      <w:pPr>
        <w:widowControl/>
        <w:spacing w:after="240"/>
        <w:ind w:left="567" w:hanging="567"/>
      </w:pPr>
      <w:r w:rsidRPr="0036740C">
        <w:t>1</w:t>
      </w:r>
      <w:r w:rsidR="00A6036A">
        <w:t>1</w:t>
      </w:r>
      <w:r w:rsidRPr="0036740C">
        <w:t>.</w:t>
      </w:r>
      <w:r w:rsidRPr="0036740C">
        <w:tab/>
        <w:t xml:space="preserve">Europaparlamentet påminner om att skyldigheten att skydda EU:s ekonomiska intressen även gäller alla mottagare av unionsmedel, inbegripet politiska grupper som är verksamma inom parlamentet. Parlamentet noterar att utredningar och återkravsåtgärder som rör det misstänkta missbruket av unionsmedel av den tidigare gruppen Identitet och demokrati, som i dag omstrukturerats till gruppen Patrioter för Europa, belyser vikten av robusta interna kontroller, effektiv efterhandskontroll och snabba </w:t>
      </w:r>
      <w:proofErr w:type="spellStart"/>
      <w:r w:rsidRPr="0036740C">
        <w:t>återkravsmekanismer</w:t>
      </w:r>
      <w:proofErr w:type="spellEnd"/>
      <w:r w:rsidRPr="0036740C">
        <w:t xml:space="preserve"> inom parlamentets administration. Parlamentet uppmanar sin administration att utan dröjsmål slutföra alla utestående </w:t>
      </w:r>
      <w:proofErr w:type="spellStart"/>
      <w:r w:rsidRPr="0036740C">
        <w:t>återkravsförfaranden</w:t>
      </w:r>
      <w:proofErr w:type="spellEnd"/>
      <w:r w:rsidRPr="0036740C">
        <w:t xml:space="preserve"> och att överlämna alla bevis på oriktiga utgifter till Olaf och </w:t>
      </w:r>
      <w:proofErr w:type="spellStart"/>
      <w:r w:rsidRPr="0036740C">
        <w:t>Eppo</w:t>
      </w:r>
      <w:proofErr w:type="spellEnd"/>
      <w:r w:rsidRPr="0036740C">
        <w:t>. Parlamentet betonar att trovärdigheten i unionens bedrägeribekämpningsstruktur är beroende av att den tillämpas konsekvent på alla stödmottagare, även inom parlamentet självt.</w:t>
      </w:r>
    </w:p>
    <w:p w14:paraId="132090BF" w14:textId="77777777" w:rsidR="006A7A17" w:rsidRPr="0089540C" w:rsidRDefault="006A7A17" w:rsidP="00B50F87">
      <w:pPr>
        <w:widowControl/>
        <w:spacing w:after="240"/>
        <w:ind w:left="567" w:hanging="567"/>
        <w:rPr>
          <w:b/>
          <w:i/>
          <w:color w:val="000000"/>
        </w:rPr>
      </w:pPr>
      <w:r w:rsidRPr="0089540C">
        <w:rPr>
          <w:b/>
          <w:i/>
          <w:color w:val="000000"/>
        </w:rPr>
        <w:t xml:space="preserve">Den digitala omställningen </w:t>
      </w:r>
    </w:p>
    <w:p w14:paraId="635DA183" w14:textId="4557C897" w:rsidR="006A7A17" w:rsidRPr="0089540C" w:rsidRDefault="006A7A17" w:rsidP="006A7A17">
      <w:pPr>
        <w:pStyle w:val="action0"/>
        <w:ind w:left="567" w:hanging="567"/>
      </w:pPr>
      <w:r w:rsidRPr="0089540C">
        <w:t>1</w:t>
      </w:r>
      <w:r w:rsidR="00A6036A">
        <w:t>2</w:t>
      </w:r>
      <w:r w:rsidRPr="0089540C">
        <w:t>.</w:t>
      </w:r>
      <w:r w:rsidRPr="0089540C">
        <w:tab/>
      </w:r>
      <w:r w:rsidRPr="0089540C">
        <w:rPr>
          <w:color w:val="000000"/>
        </w:rPr>
        <w:t xml:space="preserve">Europaparlamentet noterar att den totala </w:t>
      </w:r>
      <w:proofErr w:type="spellStart"/>
      <w:r w:rsidRPr="0089540C">
        <w:rPr>
          <w:color w:val="000000"/>
        </w:rPr>
        <w:t>it-budgeten</w:t>
      </w:r>
      <w:proofErr w:type="spellEnd"/>
      <w:r w:rsidRPr="0089540C">
        <w:rPr>
          <w:color w:val="000000"/>
        </w:rPr>
        <w:t xml:space="preserve"> utgör 7,6 % av den totala budgeten i budgetberäkningen för 2027 och uppgår till 202,4 miljoner EUR. Parlamentet betonar vikten av en sund cybersäkerhetsinfrastruktur i geopolitiskt turbulenta tider. Parlamentet påminner om den planerade gradvisa ökningen av anslagen för cybersäkerhet till 10 % av parlamentets IKT-budget.</w:t>
      </w:r>
      <w:r w:rsidRPr="0089540C">
        <w:t xml:space="preserve"> Parlamentet noterar att en sådan planerad ökning bör genomföras så snart som möjligt.</w:t>
      </w:r>
    </w:p>
    <w:p w14:paraId="1A0A0C4A" w14:textId="53B721CB" w:rsidR="006A7A17" w:rsidRPr="0089540C" w:rsidRDefault="006A7A17" w:rsidP="006A7A17">
      <w:pPr>
        <w:pStyle w:val="action0"/>
        <w:ind w:left="567" w:hanging="567"/>
      </w:pPr>
      <w:r w:rsidRPr="0089540C">
        <w:t>1</w:t>
      </w:r>
      <w:r w:rsidR="00A6036A">
        <w:t>3</w:t>
      </w:r>
      <w:r w:rsidRPr="0089540C">
        <w:t>.</w:t>
      </w:r>
      <w:r w:rsidRPr="0089540C">
        <w:tab/>
        <w:t>Europaparlamentet understryker att parlamentets cybersäkerhet är en central prioritering i tider av geopolitisk osäkerhet. Parlamentet noterar att det totala belopp som anslagits till cybersäkerhet är 16,9 miljoner EUR, vilket inbegriper en ökning av den centraliserade budgetposten för cybersäkerhet med 54 % jämfört med 2026. Parlamentet påminner om att investeringar i cybersäkerhet är avgörande för att skydda parlamentets och unionens demokratiska röst och säkerställa att parlamentet fungerar väl.</w:t>
      </w:r>
    </w:p>
    <w:p w14:paraId="0E86235D" w14:textId="339859E4" w:rsidR="006A7A17" w:rsidRPr="0089540C" w:rsidRDefault="006A7A17" w:rsidP="00635F6A">
      <w:pPr>
        <w:pStyle w:val="action0"/>
        <w:widowControl w:val="0"/>
        <w:ind w:left="567" w:hanging="567"/>
      </w:pPr>
      <w:r w:rsidRPr="0089540C">
        <w:t>1</w:t>
      </w:r>
      <w:r w:rsidR="00A6036A">
        <w:t>4</w:t>
      </w:r>
      <w:r w:rsidRPr="0089540C">
        <w:t>.</w:t>
      </w:r>
      <w:r w:rsidRPr="0089540C">
        <w:tab/>
        <w:t xml:space="preserve">Europaparlamentet betonar att parlamentet måste gå i bräschen när det gäller att anta mer digitala arbetsmetoder. Parlamentet välkomnar investeringar i artificiell intelligens </w:t>
      </w:r>
      <w:r w:rsidRPr="0089540C">
        <w:lastRenderedPageBreak/>
        <w:t>(AI) som uppgår till 1 miljon EUR. Parlamentet efterlyser ökad användning av AI för att öka effektiviteten och stärka suveräniteten på detta område, samtidigt som man beaktar de relaterade riskerna, inbegripet etik och dataskydd. Parlamentet betonar att användningen av AI måste skapa en balans mellan innovation och nödvändiga skyddsåtgärder. Parlamentet framhåller AI:s potential att effektivisera de administrativa processerna. Parlamentet uppmuntrar utarbetandet av tydliga riktlinjer och skyddsåtgärder för att säkerställa ett ansvarsfullt och transparent genomförande av AI och främjande av innovation samtidigt som grundläggande rättigheter, säkerhet och ansvarsskyldighet upprätthålls. Parlamentet noterar att utvecklingen av AI kommer att övervakas noga i linje med de principer som fastställts av presidiet. Parlamentet betonar att AI-investeringar inte bara bör fokusera på administrativ effektivitet utan även på att öka den demokratiska transparensen och medborgarnas engagemang.</w:t>
      </w:r>
    </w:p>
    <w:p w14:paraId="4B076E44" w14:textId="76BD3DF1" w:rsidR="006A7A17" w:rsidRPr="0089540C" w:rsidRDefault="006A7A17" w:rsidP="006A7A17">
      <w:pPr>
        <w:pStyle w:val="action0"/>
        <w:spacing w:after="0"/>
        <w:ind w:left="567" w:hanging="567"/>
        <w:rPr>
          <w:bCs/>
          <w:iCs/>
        </w:rPr>
      </w:pPr>
      <w:r w:rsidRPr="0089540C">
        <w:t>1</w:t>
      </w:r>
      <w:r w:rsidR="00A6036A">
        <w:t>5</w:t>
      </w:r>
      <w:r w:rsidRPr="0089540C">
        <w:t>.</w:t>
      </w:r>
      <w:r w:rsidRPr="0089540C">
        <w:tab/>
        <w:t xml:space="preserve">Europaparlamentet betonar att med tanke på det geopolitiska sammanhanget och de investeringar som unionen kommer att behöva göra för sitt strategiska oberoende måste parlamentet föregå med gott exempel. Parlamentet noterar utarbetandet av en konsoliderad handlingsplan som syftar till att stärka parlamentets ståndpunkt om digital suveränitet. Parlamentet ser fram emot regelbundna uppdateringar om de framsteg som gjorts. Parlamentet understryker vikten av att säkerställa en hög nivå av cybersäkerhet, dataskydd och </w:t>
      </w:r>
      <w:proofErr w:type="spellStart"/>
      <w:r w:rsidRPr="0089540C">
        <w:t>resiliens</w:t>
      </w:r>
      <w:proofErr w:type="spellEnd"/>
      <w:r w:rsidRPr="0089540C">
        <w:t xml:space="preserve"> i parlamentets digitala infrastruktur. Parlamentet betonar behovet av att noggrant bedöma de risker som är förknippade med beroendet av icke-europeiska leverantörer, bland annat genom riskbedömningar. Parlamentet betonar vikten av att upprätthålla säkra, konkurrenskraftiga och tillförlitliga lösningar, inbegripet, när så är möjligt, genom att prioritera europeiska leverantörer. Parlamentet efterlyser en regelbunden utvärdering av parlamentets kommunikationskanaler och digitala verktyg på grundval av säkerhet och efterlevnad av EU-rätten, på ett samordnat sätt med andra EU-institutioner, i syfte att säkerställa skyddet av parlamentariska uppgifter och integriteten i dess kommunikation.</w:t>
      </w:r>
    </w:p>
    <w:p w14:paraId="771E0B7B" w14:textId="77777777" w:rsidR="006A7A17" w:rsidRPr="0089540C" w:rsidRDefault="006A7A17" w:rsidP="006A7A17">
      <w:pPr>
        <w:pStyle w:val="action0"/>
        <w:spacing w:after="0"/>
        <w:ind w:left="567" w:hanging="567"/>
        <w:rPr>
          <w:b/>
          <w:i/>
        </w:rPr>
      </w:pPr>
    </w:p>
    <w:p w14:paraId="56AB5349" w14:textId="77777777" w:rsidR="006A7A17" w:rsidRPr="0089540C" w:rsidRDefault="006A7A17" w:rsidP="006A7A17">
      <w:pPr>
        <w:pStyle w:val="action0"/>
        <w:ind w:left="0" w:firstLine="0"/>
        <w:rPr>
          <w:b/>
          <w:i/>
        </w:rPr>
      </w:pPr>
      <w:r w:rsidRPr="0089540C">
        <w:rPr>
          <w:b/>
          <w:i/>
        </w:rPr>
        <w:t>Infrastruktur</w:t>
      </w:r>
    </w:p>
    <w:p w14:paraId="05A6FD0D" w14:textId="54FE36A4" w:rsidR="006A7A17" w:rsidRPr="0089540C" w:rsidRDefault="006A7A17" w:rsidP="006A7A17">
      <w:pPr>
        <w:pStyle w:val="action0"/>
        <w:ind w:left="567" w:hanging="567"/>
        <w:rPr>
          <w:color w:val="000000"/>
        </w:rPr>
      </w:pPr>
      <w:r w:rsidRPr="0089540C">
        <w:rPr>
          <w:color w:val="000000"/>
        </w:rPr>
        <w:t>1</w:t>
      </w:r>
      <w:r w:rsidR="00A6036A">
        <w:rPr>
          <w:color w:val="000000"/>
        </w:rPr>
        <w:t>6</w:t>
      </w:r>
      <w:r w:rsidRPr="0089540C">
        <w:rPr>
          <w:color w:val="000000"/>
        </w:rPr>
        <w:t>.</w:t>
      </w:r>
      <w:r w:rsidRPr="0089540C">
        <w:rPr>
          <w:color w:val="000000"/>
        </w:rPr>
        <w:tab/>
        <w:t>Europaparlamentet noterar den nya strategin för byggnader, som nu är inriktad på konsolidering snarare än förvärv av nya byggnader, med beaktande av hållbarhet, tillgänglighet och rörlighet för ledamöter och personal samt besökare.</w:t>
      </w:r>
    </w:p>
    <w:p w14:paraId="724693EB" w14:textId="37832797" w:rsidR="006A7A17" w:rsidRPr="0089540C" w:rsidRDefault="006A7A17" w:rsidP="006A7A17">
      <w:pPr>
        <w:pStyle w:val="action0"/>
        <w:ind w:left="567" w:hanging="567"/>
        <w:rPr>
          <w:color w:val="000000"/>
        </w:rPr>
      </w:pPr>
      <w:r w:rsidRPr="0089540C">
        <w:rPr>
          <w:color w:val="000000"/>
        </w:rPr>
        <w:t>1</w:t>
      </w:r>
      <w:r w:rsidR="00A6036A">
        <w:rPr>
          <w:color w:val="000000"/>
        </w:rPr>
        <w:t>7</w:t>
      </w:r>
      <w:r w:rsidRPr="0089540C">
        <w:rPr>
          <w:color w:val="000000"/>
        </w:rPr>
        <w:t>.</w:t>
      </w:r>
      <w:r w:rsidRPr="0089540C">
        <w:rPr>
          <w:color w:val="000000"/>
        </w:rPr>
        <w:tab/>
        <w:t xml:space="preserve">Europaparlamentet noterar att renoveringen av SPAAK-byggnaden börjar genomföras från och med 2027. Parlamentet noterar att den totala budgeten för renoveringen har fastställts till 455 miljoner EUR och att 77,67 miljoner EUR planeras för 2027. Parlamentet understryker att dessa kostnader inte ingår i budgeten för 2027. </w:t>
      </w:r>
      <w:bookmarkStart w:id="9" w:name="_Hlk227680019"/>
      <w:r w:rsidRPr="0089540C">
        <w:rPr>
          <w:color w:val="000000"/>
        </w:rPr>
        <w:t>Parlamentet betonar behovet av att säkerställa strikt kostnadskontroll, transparens och efterlevnad av den planerade budgeten.</w:t>
      </w:r>
      <w:r w:rsidRPr="0089540C">
        <w:rPr>
          <w:b/>
          <w:i/>
          <w:color w:val="000000"/>
        </w:rPr>
        <w:t xml:space="preserve"> </w:t>
      </w:r>
      <w:bookmarkEnd w:id="9"/>
    </w:p>
    <w:p w14:paraId="18A5810E" w14:textId="3D92A8EB" w:rsidR="006A7A17" w:rsidRPr="0089540C" w:rsidRDefault="006A7A17" w:rsidP="00B50F87">
      <w:pPr>
        <w:pStyle w:val="action0"/>
        <w:widowControl w:val="0"/>
        <w:ind w:left="567" w:hanging="567"/>
        <w:rPr>
          <w:color w:val="000000"/>
        </w:rPr>
      </w:pPr>
      <w:r w:rsidRPr="0089540C">
        <w:rPr>
          <w:color w:val="000000"/>
        </w:rPr>
        <w:t>1</w:t>
      </w:r>
      <w:r w:rsidR="00A6036A">
        <w:rPr>
          <w:color w:val="000000"/>
        </w:rPr>
        <w:t>8</w:t>
      </w:r>
      <w:r w:rsidRPr="0089540C">
        <w:rPr>
          <w:color w:val="000000"/>
        </w:rPr>
        <w:t>.</w:t>
      </w:r>
      <w:r w:rsidRPr="0089540C">
        <w:rPr>
          <w:color w:val="000000"/>
        </w:rPr>
        <w:tab/>
        <w:t>Europaparlamentet noterar att parlamentet har för avsikt att teckna lån, bland annat med Europeiska investeringsbanken, för att finansiera SPAAK-renoveringsprojektet. Parlamentet noterar att i budgeten för 2027 ingår kostnader kopplade till ränta (3,17 miljoner EUR) och återbetalning av kapital (0,65 miljoner EUR). Parlamentet begär med eftertryck att kostnader som inte är direkt kopplade till renoveringsarbetena i förekommande fall också bör anges tydligt och budgeteras. Parlamentet uppmanar administrationen att hålla budgetutskottet väl informerat om de tillämpliga räntesatserna för lånen och den långsiktiga planeringen av återbetalningen av kapitalbeloppet. Parlamentet betonar behovet av att säkerställa en försiktig skuldförvaltning.</w:t>
      </w:r>
    </w:p>
    <w:p w14:paraId="2054B21B" w14:textId="3E6709C6" w:rsidR="006A7A17" w:rsidRPr="0089540C" w:rsidRDefault="006A7A17" w:rsidP="006A7A17">
      <w:pPr>
        <w:pStyle w:val="action0"/>
        <w:ind w:left="567" w:hanging="567"/>
        <w:rPr>
          <w:b/>
          <w:bCs/>
          <w:i/>
          <w:iCs/>
          <w:color w:val="000000"/>
        </w:rPr>
      </w:pPr>
      <w:r w:rsidRPr="0089540C">
        <w:rPr>
          <w:color w:val="000000"/>
        </w:rPr>
        <w:lastRenderedPageBreak/>
        <w:t>1</w:t>
      </w:r>
      <w:r w:rsidR="00A6036A">
        <w:rPr>
          <w:color w:val="000000"/>
        </w:rPr>
        <w:t>9</w:t>
      </w:r>
      <w:r w:rsidRPr="0089540C">
        <w:rPr>
          <w:color w:val="000000"/>
        </w:rPr>
        <w:t>.</w:t>
      </w:r>
      <w:r w:rsidRPr="0089540C">
        <w:rPr>
          <w:color w:val="000000"/>
        </w:rPr>
        <w:tab/>
        <w:t xml:space="preserve">Europaparlamentet beklagar förseningarna i inrättandet av Europa </w:t>
      </w:r>
      <w:proofErr w:type="spellStart"/>
      <w:r w:rsidRPr="0089540C">
        <w:rPr>
          <w:color w:val="000000"/>
        </w:rPr>
        <w:t>Experience</w:t>
      </w:r>
      <w:proofErr w:type="spellEnd"/>
      <w:r w:rsidRPr="0089540C">
        <w:rPr>
          <w:color w:val="000000"/>
        </w:rPr>
        <w:t xml:space="preserve">-centrum i alla medlemsstater. Parlamentet välkomnar det nya konceptet, som godkändes av presidiet den 31 mars 2025, för att optimera användningen av Europa </w:t>
      </w:r>
      <w:proofErr w:type="spellStart"/>
      <w:r w:rsidRPr="0089540C">
        <w:rPr>
          <w:color w:val="000000"/>
        </w:rPr>
        <w:t>Experience</w:t>
      </w:r>
      <w:proofErr w:type="spellEnd"/>
      <w:r w:rsidRPr="0089540C">
        <w:rPr>
          <w:color w:val="000000"/>
        </w:rPr>
        <w:t xml:space="preserve">-centrumen, med beaktande av de olika situationerna i medlemsstaterna. Parlamentet betonar vikten av att se till att Europa </w:t>
      </w:r>
      <w:proofErr w:type="spellStart"/>
      <w:r w:rsidRPr="0089540C">
        <w:rPr>
          <w:color w:val="000000"/>
        </w:rPr>
        <w:t>Experience</w:t>
      </w:r>
      <w:proofErr w:type="spellEnd"/>
      <w:r w:rsidRPr="0089540C">
        <w:rPr>
          <w:color w:val="000000"/>
        </w:rPr>
        <w:t xml:space="preserve">-centrum erbjuder en engagerande besöksupplevelse för att locka medborgare. Parlamentet efterlyser inrättandet av Europa </w:t>
      </w:r>
      <w:proofErr w:type="spellStart"/>
      <w:r w:rsidRPr="0089540C">
        <w:rPr>
          <w:color w:val="000000"/>
        </w:rPr>
        <w:t>Experience</w:t>
      </w:r>
      <w:proofErr w:type="spellEnd"/>
      <w:r w:rsidRPr="0089540C">
        <w:rPr>
          <w:color w:val="000000"/>
        </w:rPr>
        <w:t xml:space="preserve">-centrum, med prioritering av de medlemsstater som befinner sig längst bort från de tre arbetsorterna, samtidigt som man ser till att deras utveckling och drift förblir kostnadseffektiv. Parlamentet påminner om att Europa </w:t>
      </w:r>
      <w:proofErr w:type="spellStart"/>
      <w:r w:rsidRPr="0089540C">
        <w:rPr>
          <w:color w:val="000000"/>
        </w:rPr>
        <w:t>Experience</w:t>
      </w:r>
      <w:proofErr w:type="spellEnd"/>
      <w:r w:rsidRPr="0089540C">
        <w:rPr>
          <w:color w:val="000000"/>
        </w:rPr>
        <w:t>-centrum bör göra det möjligt för alla medborgare att få en bättre förståelse för hur unionens institutioner fungerar och för våra gemensamma värden. Parlamentet betonar behovet av en effektiv användning av de budgetanslag som tilldelats dessa centrum för att säkerställa att de tillhandahåller kommunikation med stor genomslagskraft och genomför utåtriktad verksamhet, särskilt till ungdomar och utsatta grupper. Parlamentet understryker att finansieringen bör prioritera spridning av saklig och tillgänglig information om de lokala effekterna av EU:s politik, som utgör ett kostnadseffektivt verktyg för att skydda unionens demokratiska integritet mot desinformation.</w:t>
      </w:r>
    </w:p>
    <w:p w14:paraId="6C417C3D" w14:textId="11EED8EF" w:rsidR="006A7A17" w:rsidRPr="0089540C" w:rsidRDefault="00A6036A" w:rsidP="006A7A17">
      <w:pPr>
        <w:pStyle w:val="action0"/>
        <w:ind w:left="567" w:hanging="567"/>
        <w:rPr>
          <w:bCs/>
          <w:iCs/>
          <w:color w:val="000000"/>
        </w:rPr>
      </w:pPr>
      <w:r>
        <w:rPr>
          <w:color w:val="000000"/>
        </w:rPr>
        <w:t>20</w:t>
      </w:r>
      <w:r w:rsidR="006A7A17" w:rsidRPr="0089540C">
        <w:rPr>
          <w:color w:val="000000"/>
        </w:rPr>
        <w:t>.</w:t>
      </w:r>
      <w:r w:rsidR="006A7A17" w:rsidRPr="0089540C">
        <w:rPr>
          <w:color w:val="000000"/>
        </w:rPr>
        <w:tab/>
        <w:t xml:space="preserve">Europaparlamentet påminner om vikten av Europaparlamentets </w:t>
      </w:r>
      <w:proofErr w:type="spellStart"/>
      <w:r w:rsidR="006A7A17" w:rsidRPr="0089540C">
        <w:rPr>
          <w:color w:val="000000"/>
        </w:rPr>
        <w:t>ambassadörsskoleprogram</w:t>
      </w:r>
      <w:proofErr w:type="spellEnd"/>
      <w:r w:rsidR="006A7A17" w:rsidRPr="0089540C">
        <w:rPr>
          <w:color w:val="000000"/>
        </w:rPr>
        <w:t xml:space="preserve"> för att främja ett aktivt engagemang bland unga européer och vikten av utbildningsprogrammet för unga journalister, uppkallat efter David </w:t>
      </w:r>
      <w:proofErr w:type="spellStart"/>
      <w:r w:rsidR="006A7A17" w:rsidRPr="0089540C">
        <w:rPr>
          <w:color w:val="000000"/>
        </w:rPr>
        <w:t>Sassoli</w:t>
      </w:r>
      <w:proofErr w:type="spellEnd"/>
      <w:r w:rsidR="006A7A17" w:rsidRPr="0089540C">
        <w:rPr>
          <w:color w:val="000000"/>
        </w:rPr>
        <w:t>, för att stärka förståelsen av unionen och dess funktion bland journalister, som det bästa motståndet mot desinformation, mot bakgrund av den senaste tidens utveckling med en oroande nedgång i mediernas frihet och oberoende i hela unionen.</w:t>
      </w:r>
    </w:p>
    <w:p w14:paraId="27482679" w14:textId="130500CC" w:rsidR="006A7A17" w:rsidRPr="0089540C" w:rsidRDefault="006A7A17" w:rsidP="006A7A17">
      <w:pPr>
        <w:pStyle w:val="action0"/>
        <w:ind w:left="567" w:hanging="567"/>
        <w:rPr>
          <w:bCs/>
          <w:iCs/>
          <w:color w:val="000000"/>
        </w:rPr>
      </w:pPr>
      <w:r w:rsidRPr="0089540C">
        <w:rPr>
          <w:color w:val="000000"/>
        </w:rPr>
        <w:t>2</w:t>
      </w:r>
      <w:r w:rsidR="00A6036A">
        <w:rPr>
          <w:color w:val="000000"/>
        </w:rPr>
        <w:t>1</w:t>
      </w:r>
      <w:r w:rsidRPr="0089540C">
        <w:rPr>
          <w:color w:val="000000"/>
        </w:rPr>
        <w:t>.</w:t>
      </w:r>
      <w:r w:rsidRPr="0089540C">
        <w:rPr>
          <w:color w:val="000000"/>
        </w:rPr>
        <w:tab/>
        <w:t>Europaparlamentet upprepar sitt stöd för inrättandet av ett alleuropeiskt minnesmärke i Bryssel för offren för 1900-talets totalitära regimer, som återspeglar mångfalden av historiska erfarenheter. Parlamentet uppmanar presidiet att behandla denna fråga i syfte att anta ett beslut, med vederbörlig hänsyn till budgetbegränsningarna under de sista åren av den nuvarande fleråriga budgetramen och de ekonomiska svårigheter som EU</w:t>
      </w:r>
      <w:r w:rsidRPr="0089540C">
        <w:rPr>
          <w:color w:val="000000"/>
        </w:rPr>
        <w:noBreakHyphen/>
        <w:t>medborgarna står inför.</w:t>
      </w:r>
    </w:p>
    <w:p w14:paraId="15F8C29B" w14:textId="41FC5FE3" w:rsidR="006A7A17" w:rsidRPr="0089540C" w:rsidRDefault="006A7A17" w:rsidP="006A7A17">
      <w:pPr>
        <w:pStyle w:val="action0"/>
        <w:ind w:left="567" w:hanging="567"/>
        <w:rPr>
          <w:bCs/>
          <w:iCs/>
          <w:color w:val="000000"/>
        </w:rPr>
      </w:pPr>
      <w:r w:rsidRPr="0089540C">
        <w:rPr>
          <w:color w:val="000000"/>
        </w:rPr>
        <w:t>2</w:t>
      </w:r>
      <w:r w:rsidR="00A6036A">
        <w:rPr>
          <w:color w:val="000000"/>
        </w:rPr>
        <w:t>2</w:t>
      </w:r>
      <w:r w:rsidRPr="0089540C">
        <w:rPr>
          <w:color w:val="000000"/>
        </w:rPr>
        <w:t>.</w:t>
      </w:r>
      <w:r w:rsidRPr="0089540C">
        <w:rPr>
          <w:color w:val="000000"/>
        </w:rPr>
        <w:tab/>
        <w:t>Europaparlamentet betonar att ett enda säte för parlamentet skulle kunna minska de ekonomiska och miljömässiga kostnaderna. Parlamentet påminner om att enligt fördraget om Europeiska unionen ska parlamentet ha sitt säte i Strasbourg. Parlamentet noterar att permanenta ändringar skulle kräva en ändring av fördraget, och att enhällighet krävs för detta.</w:t>
      </w:r>
    </w:p>
    <w:p w14:paraId="034E7533" w14:textId="77777777" w:rsidR="006A7A17" w:rsidRPr="0089540C" w:rsidRDefault="006A7A17" w:rsidP="006A7A17">
      <w:pPr>
        <w:pStyle w:val="action0"/>
        <w:ind w:left="0" w:firstLine="0"/>
        <w:rPr>
          <w:b/>
          <w:i/>
          <w:color w:val="000000"/>
        </w:rPr>
      </w:pPr>
      <w:r w:rsidRPr="0089540C">
        <w:rPr>
          <w:b/>
          <w:i/>
          <w:color w:val="000000"/>
        </w:rPr>
        <w:t xml:space="preserve">Ett miljövänligt parlament </w:t>
      </w:r>
    </w:p>
    <w:p w14:paraId="73F2E48A" w14:textId="09F74FC6" w:rsidR="006A7A17" w:rsidRPr="0089540C" w:rsidRDefault="006A7A17" w:rsidP="006A7A17">
      <w:pPr>
        <w:widowControl/>
        <w:spacing w:after="240"/>
        <w:ind w:left="567" w:hanging="567"/>
        <w:rPr>
          <w:color w:val="000000"/>
        </w:rPr>
      </w:pPr>
      <w:r w:rsidRPr="0089540C">
        <w:rPr>
          <w:color w:val="000000"/>
        </w:rPr>
        <w:t>2</w:t>
      </w:r>
      <w:r w:rsidR="00A6036A">
        <w:rPr>
          <w:color w:val="000000"/>
        </w:rPr>
        <w:t>3</w:t>
      </w:r>
      <w:r w:rsidRPr="0089540C">
        <w:rPr>
          <w:color w:val="000000"/>
        </w:rPr>
        <w:t>.</w:t>
      </w:r>
      <w:r w:rsidRPr="0089540C">
        <w:rPr>
          <w:color w:val="000000"/>
        </w:rPr>
        <w:tab/>
        <w:t xml:space="preserve">Europaparlamentet välkomnar målen för parlamentets miljöledningssystem (Emas) för 2025–2029. Parlamentet välkomnar investeringarna i infrastruktur som en del av de planerade åtgärderna för energieffektivitet och miljörenovering mellan 2025 och 2029, vilket är en bra metod för att uppnå valuta för pengarna. Parlamentet noterar budgeten på 8,97 miljoner EUR för investeringar i energieffektivitet och miljö i budgetberäkningen för 2027 för att ytterligare förbättra byggnadernas miljöprestanda. Parlamentet noterar att detta motsvarar en ökning med 6,1 % jämfört med 2026 års budget. Parlamentet välkomnar att parlamentet dessutom har installerat och fortsätter att installera solcellspaneler för att ytterligare öka andelen förnybar energi som produceras på plats. Parlamentet betonar behovet av att säkerställa att sådana investeringar ger </w:t>
      </w:r>
      <w:r w:rsidRPr="0089540C">
        <w:rPr>
          <w:color w:val="000000"/>
        </w:rPr>
        <w:lastRenderedPageBreak/>
        <w:t>mätbara effektivitetsvinster, även med tanke på det geopolitiska sammanhanget, och att uppnå långsiktiga kostnadsbesparingar.</w:t>
      </w:r>
    </w:p>
    <w:p w14:paraId="4836791F" w14:textId="6FBC1D44" w:rsidR="006A7A17" w:rsidRPr="0089540C" w:rsidRDefault="006A7A17" w:rsidP="006A7A17">
      <w:pPr>
        <w:widowControl/>
        <w:spacing w:after="240"/>
        <w:ind w:left="567" w:hanging="567"/>
        <w:rPr>
          <w:bCs/>
          <w:iCs/>
          <w:color w:val="000000"/>
        </w:rPr>
      </w:pPr>
      <w:r w:rsidRPr="0089540C">
        <w:rPr>
          <w:color w:val="000000"/>
        </w:rPr>
        <w:t>2</w:t>
      </w:r>
      <w:r w:rsidR="00A6036A">
        <w:rPr>
          <w:color w:val="000000"/>
        </w:rPr>
        <w:t>4</w:t>
      </w:r>
      <w:r w:rsidRPr="0089540C">
        <w:rPr>
          <w:color w:val="000000"/>
        </w:rPr>
        <w:t>.</w:t>
      </w:r>
      <w:r w:rsidRPr="0089540C">
        <w:rPr>
          <w:color w:val="000000"/>
        </w:rPr>
        <w:tab/>
        <w:t>Europaparlamentet påminner om att nästan två tredjedelar av parlamentets koldioxidavtryck härrör från persontransporter. Parlamentet noterar att en betydande andel av parlamentets budget, 162,1 miljoner EUR 2027, används för att täcka ledamöternas och personalens utgifter för tjänsteresor. Parlamentet uppmanar parlamentets organ att diskutera praxis för tjänsteresor utanför de tre arbetsorterna och efterlyser en översyn av regler och praxis för tjänsteresor med det övergripande målet att minska antalet tjänsteresor och de därmed sammanhängande ekonomiska och miljömässiga kostnaderna. Parlamentet uppmuntrar ledamöterna att använda koldioxidsnåla transportalternativ och de mest värdefulla flygalternativen.</w:t>
      </w:r>
    </w:p>
    <w:p w14:paraId="6CD175E6" w14:textId="1EBBBEB4" w:rsidR="006A7A17" w:rsidRPr="0089540C" w:rsidRDefault="006A7A17" w:rsidP="006A7A17">
      <w:pPr>
        <w:widowControl/>
        <w:spacing w:after="240"/>
        <w:ind w:left="567" w:hanging="567"/>
        <w:rPr>
          <w:bCs/>
          <w:iCs/>
          <w:color w:val="000000"/>
        </w:rPr>
      </w:pPr>
      <w:r w:rsidRPr="0089540C">
        <w:rPr>
          <w:color w:val="000000"/>
        </w:rPr>
        <w:t>2</w:t>
      </w:r>
      <w:r w:rsidR="00A6036A">
        <w:rPr>
          <w:color w:val="000000"/>
        </w:rPr>
        <w:t>5</w:t>
      </w:r>
      <w:r w:rsidRPr="0089540C">
        <w:rPr>
          <w:color w:val="000000"/>
        </w:rPr>
        <w:t>.</w:t>
      </w:r>
      <w:r w:rsidRPr="0089540C">
        <w:rPr>
          <w:color w:val="000000"/>
        </w:rPr>
        <w:tab/>
        <w:t>Europaparlamentet välkomnar den ökade användningen av kollektivtrafik för pendling och noterar samtidigt den ökade efterfrågan på systemet för ekonomiskt stöd till periodkort för kollektivtrafiken, särskilt i Bryssel, vilket leder till en ökning av anslagen. Parlamentet anser att det måste föregå med gott exempel genom att uppmuntra möjliga åtgärder för att säkerställa en effektiv resursanvändning genom att förbättra hållbara transportsätt för pendling och skapa ytterligare incitament för cykelpendling.</w:t>
      </w:r>
    </w:p>
    <w:p w14:paraId="3AA4D804" w14:textId="238FC2C1" w:rsidR="006A7A17" w:rsidRPr="0089540C" w:rsidRDefault="006A7A17" w:rsidP="006A7A17">
      <w:pPr>
        <w:widowControl/>
        <w:spacing w:after="240"/>
        <w:ind w:left="567" w:hanging="567"/>
        <w:rPr>
          <w:color w:val="000000"/>
        </w:rPr>
      </w:pPr>
      <w:r w:rsidRPr="0089540C">
        <w:rPr>
          <w:color w:val="000000"/>
        </w:rPr>
        <w:t>2</w:t>
      </w:r>
      <w:r w:rsidR="00A6036A">
        <w:rPr>
          <w:color w:val="000000"/>
        </w:rPr>
        <w:t>6</w:t>
      </w:r>
      <w:r w:rsidRPr="0089540C">
        <w:rPr>
          <w:color w:val="000000"/>
        </w:rPr>
        <w:t>.</w:t>
      </w:r>
      <w:r w:rsidRPr="0089540C">
        <w:rPr>
          <w:color w:val="000000"/>
        </w:rPr>
        <w:tab/>
        <w:t xml:space="preserve">Europaparlamentet noterar att priserna på koldioxidkrediter har ökat avsevärt och med tanke på de nuvarande utsläppsnivåerna skulle behöva ett anslag på uppskattningsvis 950 000 EUR för 2027. Parlamentet uppmanar administrationen att prioritera en minskning av parlamentets utsläpp, bland annat genom ökade investeringar i rena uppvärmnings-, ventilations- och luftkonditioneringssystem, särskilt </w:t>
      </w:r>
      <w:proofErr w:type="spellStart"/>
      <w:r w:rsidRPr="0089540C">
        <w:rPr>
          <w:color w:val="000000"/>
        </w:rPr>
        <w:t>värmepumpsinstallationer</w:t>
      </w:r>
      <w:proofErr w:type="spellEnd"/>
      <w:r w:rsidRPr="0089540C">
        <w:rPr>
          <w:color w:val="000000"/>
        </w:rPr>
        <w:t xml:space="preserve"> i Bryssel och andra proportionerliga och kostnadseffektiva åtgärder för att minska utsläppen, när så är rimligt, framför köp av koldioxidkrediter. Parlamentet välkomnar införandet av ett förbättrat tågutbud för resor till Strasbourg från och med juni 2025, som ett positivt steg mot att minska koldioxidutsläppen. </w:t>
      </w:r>
    </w:p>
    <w:p w14:paraId="60FFD4D0" w14:textId="77777777" w:rsidR="006A7A17" w:rsidRPr="0089540C" w:rsidRDefault="006A7A17" w:rsidP="006A7A17">
      <w:pPr>
        <w:pStyle w:val="action0"/>
        <w:keepNext/>
        <w:keepLines/>
        <w:ind w:left="0" w:firstLine="0"/>
        <w:rPr>
          <w:b/>
          <w:i/>
          <w:color w:val="000000"/>
        </w:rPr>
      </w:pPr>
      <w:r w:rsidRPr="0089540C">
        <w:rPr>
          <w:b/>
          <w:i/>
          <w:color w:val="000000"/>
        </w:rPr>
        <w:t>Övrigt</w:t>
      </w:r>
    </w:p>
    <w:p w14:paraId="519414B7" w14:textId="5D2F24E7" w:rsidR="006A7A17" w:rsidRPr="0089540C" w:rsidRDefault="006A7A17" w:rsidP="006A7A17">
      <w:pPr>
        <w:pStyle w:val="action0"/>
        <w:keepNext/>
        <w:keepLines/>
        <w:ind w:left="567" w:hanging="567"/>
        <w:rPr>
          <w:bCs/>
          <w:iCs/>
          <w:color w:val="000000"/>
        </w:rPr>
      </w:pPr>
      <w:r w:rsidRPr="0089540C">
        <w:rPr>
          <w:color w:val="000000"/>
        </w:rPr>
        <w:t>2</w:t>
      </w:r>
      <w:r w:rsidR="00A6036A">
        <w:rPr>
          <w:color w:val="000000"/>
        </w:rPr>
        <w:t>7</w:t>
      </w:r>
      <w:r w:rsidRPr="0089540C">
        <w:rPr>
          <w:color w:val="000000"/>
        </w:rPr>
        <w:t>.</w:t>
      </w:r>
      <w:r w:rsidRPr="0089540C">
        <w:rPr>
          <w:color w:val="000000"/>
        </w:rPr>
        <w:tab/>
        <w:t>Europaparlamentet uppmanar talmanskonferensen att utan ytterligare dröjsmål lägga fram ett beslut om de relevanta artiklarna i sina interna bestämmelser om ackrediterade assistenters deltagande i officiella tjänsteresor och delegationer utanför parlamentets tre arbetsorter om ingen anställd i deras politiska grupp som är representerad på tjänsteresan officiellt har meddelats parlamentets generalsekretariat.</w:t>
      </w:r>
    </w:p>
    <w:p w14:paraId="38EB9290" w14:textId="5BE594EC" w:rsidR="006A7A17" w:rsidRDefault="006A7A17" w:rsidP="006A7A17">
      <w:pPr>
        <w:spacing w:after="240"/>
        <w:ind w:left="567" w:hanging="567"/>
        <w:rPr>
          <w:bCs/>
          <w:iCs/>
          <w:color w:val="000000"/>
        </w:rPr>
      </w:pPr>
      <w:r w:rsidRPr="0089540C">
        <w:rPr>
          <w:color w:val="000000"/>
        </w:rPr>
        <w:t>2</w:t>
      </w:r>
      <w:r w:rsidR="00A6036A">
        <w:rPr>
          <w:color w:val="000000"/>
        </w:rPr>
        <w:t>8</w:t>
      </w:r>
      <w:r w:rsidRPr="0089540C">
        <w:rPr>
          <w:color w:val="000000"/>
        </w:rPr>
        <w:t>.</w:t>
      </w:r>
      <w:r w:rsidRPr="0089540C">
        <w:rPr>
          <w:color w:val="000000"/>
        </w:rPr>
        <w:tab/>
        <w:t>Europaparlamentet anser att parlamentet bör föregå med gott exempel när det gäller rättigheter för personer med funktionsnedsättning, både som arbetsgivare och som offentlig institution. Parlamentet välkomnar parlamentets policy som syftar till att säkerställa att personer med funktionsnedsättning kan använda parlamentets byggnader på ett helt oberoende sätt, och stöder ytterligare åtgärder och anpassningar som är nödvändiga i detta avseende. Parlamentet noterar att budgeten omfattar 2,07 miljoner EUR för detta ändamål för parlamentets byggnader i Strasbourg. Parlamentet betonar att tillgänglighet bör vara ett centralt kriterium vid renoveringen av SPAAK-byggnaden och utvecklingen av alla digitala plattformar.</w:t>
      </w:r>
    </w:p>
    <w:p w14:paraId="292E6244" w14:textId="2AC9E67C" w:rsidR="00A6036A" w:rsidRPr="00B50F87" w:rsidRDefault="00A6036A" w:rsidP="006A7A17">
      <w:pPr>
        <w:spacing w:after="240"/>
        <w:ind w:left="567" w:hanging="567"/>
        <w:rPr>
          <w:bCs/>
          <w:iCs/>
          <w:color w:val="000000"/>
        </w:rPr>
      </w:pPr>
      <w:r w:rsidRPr="00A6036A">
        <w:rPr>
          <w:bCs/>
          <w:iCs/>
          <w:color w:val="000000"/>
        </w:rPr>
        <w:t>2</w:t>
      </w:r>
      <w:r>
        <w:rPr>
          <w:bCs/>
          <w:iCs/>
          <w:color w:val="000000"/>
        </w:rPr>
        <w:t>9</w:t>
      </w:r>
      <w:r w:rsidRPr="00A6036A">
        <w:rPr>
          <w:bCs/>
          <w:iCs/>
          <w:color w:val="000000"/>
        </w:rPr>
        <w:t>.</w:t>
      </w:r>
      <w:r w:rsidRPr="00A6036A">
        <w:rPr>
          <w:bCs/>
          <w:iCs/>
          <w:color w:val="000000"/>
        </w:rPr>
        <w:tab/>
        <w:t xml:space="preserve">Europaparlamentet välkomnar de initiativ som talmanskonferensen och presidiet nyligen tagit för att göra det möjligt för ledamöterna att under den perinatala perioden rösta genom ombud, och erkänner detta som ett positivt steg mot större delaktighet i det </w:t>
      </w:r>
      <w:r w:rsidRPr="00A6036A">
        <w:rPr>
          <w:bCs/>
          <w:iCs/>
          <w:color w:val="000000"/>
        </w:rPr>
        <w:lastRenderedPageBreak/>
        <w:t>parlamentariska arbetet, och uppmanar alla parter att snabbt genomföra åtgärden. Parlamentet insisterar dock på att åtgärden inte är ett svar på parlamentets upprepade begäranden om att garantera rösträtt, inte bara för ledamöter under den perinatala perioden, utan även för ledamöter som är föräldra- eller pappalediga eller långtidssjukskrivna, vilket styrkts genom läkarintyg.</w:t>
      </w:r>
    </w:p>
    <w:p w14:paraId="40626F3C" w14:textId="3652FCB2" w:rsidR="006A7A17" w:rsidRPr="0089540C" w:rsidRDefault="00A6036A" w:rsidP="006A7A17">
      <w:pPr>
        <w:spacing w:after="240"/>
        <w:ind w:left="567" w:hanging="567"/>
        <w:rPr>
          <w:bCs/>
          <w:iCs/>
          <w:color w:val="000000"/>
        </w:rPr>
      </w:pPr>
      <w:r>
        <w:rPr>
          <w:color w:val="000000"/>
        </w:rPr>
        <w:t>30</w:t>
      </w:r>
      <w:r w:rsidR="006A7A17" w:rsidRPr="0089540C">
        <w:rPr>
          <w:color w:val="000000"/>
        </w:rPr>
        <w:t>.</w:t>
      </w:r>
      <w:r w:rsidR="006A7A17" w:rsidRPr="0089540C">
        <w:rPr>
          <w:color w:val="000000"/>
        </w:rPr>
        <w:tab/>
      </w:r>
      <w:r w:rsidR="00C938B8" w:rsidRPr="00C938B8">
        <w:rPr>
          <w:color w:val="000000"/>
        </w:rPr>
        <w:t xml:space="preserve">Europaparlamentet uttrycker oro över att kvaliteten på och kontinuiteten i de tjänster som tillhandahålls av parlamentets </w:t>
      </w:r>
      <w:proofErr w:type="spellStart"/>
      <w:r w:rsidR="00C938B8" w:rsidRPr="00C938B8">
        <w:rPr>
          <w:color w:val="000000"/>
        </w:rPr>
        <w:t>Wayenberg</w:t>
      </w:r>
      <w:proofErr w:type="spellEnd"/>
      <w:r w:rsidR="00C938B8" w:rsidRPr="00C938B8">
        <w:rPr>
          <w:color w:val="000000"/>
        </w:rPr>
        <w:t xml:space="preserve">-förskola har påverkats av frekventa byten av tjänsteleverantörer sedan 2020, tillsammans med utmaningar i samband med personalbrist, hög personalfrånvaro och personalomsättning på förskolan. Parlamentet noterar tilldelningen av det nuvarande avtalet om parlamentets barnomsorgstjänster i Bryssel till ett nytt företag som bildades strax efter offentliggörandet av anbudsförfarandet och som enligt uppgift är kopplat till den tidigare leverantören, </w:t>
      </w:r>
      <w:proofErr w:type="spellStart"/>
      <w:r w:rsidR="00C938B8" w:rsidRPr="00C938B8">
        <w:rPr>
          <w:color w:val="000000"/>
        </w:rPr>
        <w:t>Esedra</w:t>
      </w:r>
      <w:proofErr w:type="spellEnd"/>
      <w:r w:rsidR="00C938B8" w:rsidRPr="00C938B8">
        <w:rPr>
          <w:color w:val="000000"/>
        </w:rPr>
        <w:t xml:space="preserve">. Parlamentet påminner om parlamentets förtida uppsägning av avtalet med den tidigare leverantören av tjänster när det gäller </w:t>
      </w:r>
      <w:proofErr w:type="spellStart"/>
      <w:r w:rsidR="00C938B8" w:rsidRPr="00C938B8">
        <w:rPr>
          <w:color w:val="000000"/>
        </w:rPr>
        <w:t>Wayenberg</w:t>
      </w:r>
      <w:proofErr w:type="spellEnd"/>
      <w:r w:rsidR="00C938B8" w:rsidRPr="00C938B8">
        <w:rPr>
          <w:color w:val="000000"/>
        </w:rPr>
        <w:t xml:space="preserve">-förskolan, </w:t>
      </w:r>
      <w:proofErr w:type="spellStart"/>
      <w:r w:rsidR="00C938B8" w:rsidRPr="00C938B8">
        <w:rPr>
          <w:color w:val="000000"/>
        </w:rPr>
        <w:t>Esedra</w:t>
      </w:r>
      <w:proofErr w:type="spellEnd"/>
      <w:r w:rsidR="00C938B8" w:rsidRPr="00C938B8">
        <w:rPr>
          <w:color w:val="000000"/>
        </w:rPr>
        <w:t>, efter ett antal allvarliga anklagelser mot denna uppdragstagare. Parlamentet upprepar att anständiga arbetsvillkor och tillräcklig lön för extern personal, inbegripet utbildning, kompetensutveckling, åtgärder mot våld och trakasserier, meningsfull social dialog och investeringar i personalens välbefinnande, i förekommande fall, i princip bör prioriteras vid parlamentets offentliga upphandling. Parlamentet efterlyser en oberoende extern revision av anbudsförfarandet och av genomförandet av det nuvarande kontraktet, inbegripet en oberoende extern bedömning av arbetsvillkoren och personalens välbefinnande.</w:t>
      </w:r>
    </w:p>
    <w:p w14:paraId="1B52313B" w14:textId="28B500AC" w:rsidR="006A7A17" w:rsidRPr="0089540C" w:rsidRDefault="00A6036A" w:rsidP="006A7A17">
      <w:pPr>
        <w:spacing w:after="240"/>
        <w:ind w:left="567" w:hanging="567"/>
        <w:rPr>
          <w:bCs/>
          <w:iCs/>
          <w:color w:val="000000"/>
        </w:rPr>
      </w:pPr>
      <w:r>
        <w:rPr>
          <w:color w:val="000000"/>
        </w:rPr>
        <w:t>31</w:t>
      </w:r>
      <w:r w:rsidR="006A7A17" w:rsidRPr="0089540C">
        <w:rPr>
          <w:color w:val="000000"/>
        </w:rPr>
        <w:t>.</w:t>
      </w:r>
      <w:r w:rsidR="006A7A17" w:rsidRPr="0089540C">
        <w:rPr>
          <w:color w:val="000000"/>
        </w:rPr>
        <w:tab/>
        <w:t>Europaparlamentet välkomnar familjerummet i Strasbourg som ett värdefullt stöd för ledamöter och personal med små barn under deras parlamentariska arbete. Parlamentet noterar dock att det bara har kapacitet att ta emot 30 barn. Parlamentet konstaterar att genomsnittsåldern för Europaparlamentets ledamöter och personal har sjunkit under de senaste åren, vilket har lett till ett större antal unga familjer och ökad efterfrågan på barnomsorg. Parlamentet uppmanar presidiet och generalsekreteraren att identifiera och genomföra lösningar för att ytterligare förbättra barnomsorgen i Strasbourg.</w:t>
      </w:r>
    </w:p>
    <w:p w14:paraId="3B377582" w14:textId="42E78F51" w:rsidR="006A7A17" w:rsidRPr="0089540C" w:rsidRDefault="006A7A17" w:rsidP="006A7A17">
      <w:pPr>
        <w:spacing w:after="240"/>
        <w:ind w:left="567" w:hanging="567"/>
        <w:rPr>
          <w:color w:val="000000"/>
        </w:rPr>
      </w:pPr>
      <w:r w:rsidRPr="0089540C">
        <w:rPr>
          <w:color w:val="000000"/>
        </w:rPr>
        <w:t>3</w:t>
      </w:r>
      <w:r w:rsidR="00A6036A">
        <w:rPr>
          <w:color w:val="000000"/>
        </w:rPr>
        <w:t>2</w:t>
      </w:r>
      <w:r w:rsidRPr="0089540C">
        <w:rPr>
          <w:color w:val="000000"/>
        </w:rPr>
        <w:t>.</w:t>
      </w:r>
      <w:r w:rsidRPr="0089540C">
        <w:rPr>
          <w:color w:val="000000"/>
        </w:rPr>
        <w:tab/>
        <w:t xml:space="preserve">Europaparlamentet upprepar sin uppmaning till generalsekreteraren att betona den grundläggande principen att alla rekryteringar bör baseras på kompetens och samtidigt säkerställa geografisk balans mellan alla medlemsstater på alla personalnivåer. Parlamentet understryker att en rättvis geografisk representation på alla nivåer inom administrationen, även när det gäller ålder och kön, är avgörande för att främja en verkligt europeisk offentlig förvaltning. Parlamentet noterar att parlamentet har vidtagit åtgärder för att stödja detta mål, inbegripet anordnandet av nationalitetsspecifika uttagningsprov. Parlamentet betonar behovet av att påskynda uttagningsprovens processer samtidigt som man upprätthåller en strikt meritbaserad urvalsstrategi. </w:t>
      </w:r>
    </w:p>
    <w:p w14:paraId="59A3C43B" w14:textId="4871DF2E" w:rsidR="006A7A17" w:rsidRPr="0089540C" w:rsidRDefault="006A7A17" w:rsidP="006A7A17">
      <w:pPr>
        <w:spacing w:after="240"/>
        <w:ind w:left="567" w:hanging="567"/>
        <w:rPr>
          <w:color w:val="000000"/>
        </w:rPr>
      </w:pPr>
      <w:r w:rsidRPr="0089540C">
        <w:rPr>
          <w:color w:val="000000"/>
        </w:rPr>
        <w:t>3</w:t>
      </w:r>
      <w:r w:rsidR="00A6036A">
        <w:rPr>
          <w:color w:val="000000"/>
        </w:rPr>
        <w:t>3</w:t>
      </w:r>
      <w:r w:rsidRPr="0089540C">
        <w:rPr>
          <w:color w:val="000000"/>
        </w:rPr>
        <w:t>.</w:t>
      </w:r>
      <w:r w:rsidRPr="0089540C">
        <w:rPr>
          <w:color w:val="000000"/>
        </w:rPr>
        <w:tab/>
        <w:t xml:space="preserve">Europaparlamentet framhåller att flerspråkighet är en central princip som parlamentets arbete bygger på. Parlamentet uppmanas att, när så är lämpligt, dra nytta av den betydande tekniska utvecklingen när det gäller tjänster med anknytning till flerspråkighet, inbegripet utveckling och användning av AI. </w:t>
      </w:r>
    </w:p>
    <w:p w14:paraId="7AABFAA0" w14:textId="538BCFDC" w:rsidR="006A7A17" w:rsidRPr="0089540C" w:rsidRDefault="006A7A17" w:rsidP="006A7A17">
      <w:pPr>
        <w:keepNext/>
        <w:keepLines/>
        <w:widowControl/>
        <w:spacing w:after="240"/>
        <w:ind w:left="567" w:hanging="567"/>
        <w:rPr>
          <w:bCs/>
          <w:iCs/>
          <w:color w:val="000000"/>
        </w:rPr>
      </w:pPr>
      <w:r w:rsidRPr="0089540C">
        <w:rPr>
          <w:color w:val="000000"/>
        </w:rPr>
        <w:lastRenderedPageBreak/>
        <w:t>3</w:t>
      </w:r>
      <w:r w:rsidR="00A6036A">
        <w:rPr>
          <w:color w:val="000000"/>
        </w:rPr>
        <w:t>4</w:t>
      </w:r>
      <w:r w:rsidRPr="0089540C">
        <w:rPr>
          <w:color w:val="000000"/>
        </w:rPr>
        <w:t>.</w:t>
      </w:r>
      <w:r w:rsidRPr="0089540C">
        <w:rPr>
          <w:color w:val="000000"/>
        </w:rPr>
        <w:tab/>
        <w:t>Europaparlamentet noterar tribunalens dom av den 17 december 2025 i Europeiska unionens domstol, som bekräftar lagligheten i de åtgärder som presidiet antog 2023 avseende den frivilliga pensionsfonden för ledamöterna</w:t>
      </w:r>
      <w:r w:rsidRPr="0089540C">
        <w:rPr>
          <w:rStyle w:val="FootnoteReference"/>
          <w:bCs/>
          <w:iCs/>
          <w:color w:val="000000"/>
        </w:rPr>
        <w:footnoteReference w:id="13"/>
      </w:r>
      <w:r w:rsidRPr="0089540C">
        <w:rPr>
          <w:color w:val="000000"/>
        </w:rPr>
        <w:t>. Parlamentet framhåller att även om dessa åtgärder minskade bidragsskyldigheten med 63 % befinner sig fonden fortfarande i en mycket bräcklig finansiell situation. Parlamentet förväntar sig en uppdatering av den fortsatta utvecklingen när det gäller det frivilliga pensionssystemet.</w:t>
      </w:r>
    </w:p>
    <w:p w14:paraId="32BABB3F" w14:textId="35B21732" w:rsidR="006A7A17" w:rsidRPr="0089540C" w:rsidRDefault="006A7A17" w:rsidP="006A7A17">
      <w:pPr>
        <w:spacing w:after="240"/>
        <w:ind w:left="567" w:hanging="567"/>
        <w:rPr>
          <w:bCs/>
          <w:iCs/>
          <w:color w:val="000000"/>
        </w:rPr>
      </w:pPr>
      <w:r w:rsidRPr="0089540C">
        <w:rPr>
          <w:color w:val="000000"/>
        </w:rPr>
        <w:t>3</w:t>
      </w:r>
      <w:r w:rsidR="00A6036A">
        <w:rPr>
          <w:color w:val="000000"/>
        </w:rPr>
        <w:t>5</w:t>
      </w:r>
      <w:r w:rsidRPr="0089540C">
        <w:rPr>
          <w:color w:val="000000"/>
        </w:rPr>
        <w:t>.</w:t>
      </w:r>
      <w:r w:rsidRPr="0089540C">
        <w:rPr>
          <w:color w:val="000000"/>
        </w:rPr>
        <w:tab/>
        <w:t>Europaparlamentet framhåller att genomförandet av begäranden som röstats igenom i kammaren bör genomföras med hög prioritet.</w:t>
      </w:r>
    </w:p>
    <w:p w14:paraId="40AE21C0" w14:textId="0C309EB3" w:rsidR="006A7A17" w:rsidRPr="0089540C" w:rsidRDefault="006A7A17" w:rsidP="006A7A17">
      <w:pPr>
        <w:spacing w:after="240"/>
        <w:ind w:left="567" w:hanging="567"/>
      </w:pPr>
      <w:r w:rsidRPr="0089540C">
        <w:t>3</w:t>
      </w:r>
      <w:r w:rsidR="00A6036A">
        <w:t>6</w:t>
      </w:r>
      <w:r w:rsidRPr="0089540C">
        <w:t>.</w:t>
      </w:r>
      <w:r w:rsidRPr="0089540C">
        <w:tab/>
        <w:t>Europaparlamentet antar budgetberäkningen för budgetåret 2027.</w:t>
      </w:r>
    </w:p>
    <w:p w14:paraId="73518FA0" w14:textId="40450215" w:rsidR="006A7A17" w:rsidRPr="0089540C" w:rsidRDefault="006A7A17" w:rsidP="006A7A17">
      <w:pPr>
        <w:spacing w:after="240"/>
        <w:ind w:left="567" w:hanging="567"/>
      </w:pPr>
      <w:r w:rsidRPr="0089540C">
        <w:t>3</w:t>
      </w:r>
      <w:r w:rsidR="00A6036A">
        <w:t>7</w:t>
      </w:r>
      <w:r w:rsidRPr="0089540C">
        <w:t>.</w:t>
      </w:r>
      <w:r w:rsidRPr="0089540C">
        <w:tab/>
        <w:t>Europaparlamentet uppdrar åt talmannen att översända denna resolution och budgetberäkningen till rådet och kommissionen.</w:t>
      </w:r>
    </w:p>
    <w:sectPr w:rsidR="006A7A17" w:rsidRPr="0089540C" w:rsidSect="00151A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DA8B2" w14:textId="77777777" w:rsidR="00492155" w:rsidRPr="0089540C" w:rsidRDefault="00492155">
      <w:r w:rsidRPr="0089540C">
        <w:separator/>
      </w:r>
    </w:p>
  </w:endnote>
  <w:endnote w:type="continuationSeparator" w:id="0">
    <w:p w14:paraId="20439201" w14:textId="77777777" w:rsidR="00492155" w:rsidRPr="0089540C" w:rsidRDefault="00492155">
      <w:r w:rsidRPr="00895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37D6" w14:textId="77777777" w:rsidR="00064002" w:rsidRPr="008954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629FA" w14:textId="77777777" w:rsidR="00064002" w:rsidRPr="008954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9B5D7" w14:textId="77777777" w:rsidR="00064002" w:rsidRPr="008954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BE5C8" w14:textId="77777777" w:rsidR="00492155" w:rsidRPr="0089540C" w:rsidRDefault="00492155">
      <w:r w:rsidRPr="0089540C">
        <w:separator/>
      </w:r>
    </w:p>
  </w:footnote>
  <w:footnote w:type="continuationSeparator" w:id="0">
    <w:p w14:paraId="78232BC7" w14:textId="77777777" w:rsidR="00492155" w:rsidRPr="0089540C" w:rsidRDefault="00492155">
      <w:r w:rsidRPr="0089540C">
        <w:continuationSeparator/>
      </w:r>
    </w:p>
  </w:footnote>
  <w:footnote w:id="1">
    <w:p w14:paraId="583B28B9" w14:textId="069A3935" w:rsidR="006A7A17" w:rsidRPr="00151A93" w:rsidRDefault="006A7A17" w:rsidP="0089540C">
      <w:pPr>
        <w:ind w:left="567" w:hanging="567"/>
        <w:rPr>
          <w:color w:val="000000"/>
          <w:lang w:val="fi-FI"/>
        </w:rPr>
      </w:pPr>
      <w:r w:rsidRPr="0089540C">
        <w:rPr>
          <w:rStyle w:val="FootnoteReference"/>
        </w:rPr>
        <w:footnoteRef/>
      </w:r>
      <w:r w:rsidR="0089540C" w:rsidRPr="00151A93">
        <w:rPr>
          <w:color w:val="000000"/>
          <w:lang w:val="fi-FI"/>
        </w:rPr>
        <w:t xml:space="preserve"> </w:t>
      </w:r>
      <w:r w:rsidR="0089540C" w:rsidRPr="00151A93">
        <w:rPr>
          <w:color w:val="000000"/>
          <w:lang w:val="fi-FI"/>
        </w:rPr>
        <w:tab/>
      </w:r>
      <w:r w:rsidRPr="00151A93">
        <w:rPr>
          <w:color w:val="000000"/>
          <w:lang w:val="fi-FI"/>
        </w:rPr>
        <w:t xml:space="preserve">EUT L, 2024/2509, 26.9.2024, ELI: </w:t>
      </w:r>
      <w:hyperlink r:id="rId1" w:history="1">
        <w:r w:rsidRPr="00151A93">
          <w:rPr>
            <w:rStyle w:val="Hyperlink"/>
            <w:lang w:val="fi-FI"/>
          </w:rPr>
          <w:t>http://data.europa.eu/eli/reg/2024/2509/oj</w:t>
        </w:r>
      </w:hyperlink>
      <w:r w:rsidRPr="00151A93">
        <w:rPr>
          <w:color w:val="337AB7"/>
          <w:u w:val="single"/>
          <w:lang w:val="fi-FI"/>
        </w:rPr>
        <w:t>.</w:t>
      </w:r>
    </w:p>
  </w:footnote>
  <w:footnote w:id="2">
    <w:p w14:paraId="70962A07" w14:textId="146E49A2" w:rsidR="006A7A17" w:rsidRPr="00151A93" w:rsidRDefault="006A7A17" w:rsidP="0089540C">
      <w:pPr>
        <w:ind w:left="567" w:hanging="567"/>
        <w:rPr>
          <w:color w:val="000000"/>
          <w:lang w:val="fi-FI"/>
        </w:rPr>
      </w:pPr>
      <w:r w:rsidRPr="0089540C">
        <w:rPr>
          <w:rStyle w:val="FootnoteReference"/>
        </w:rPr>
        <w:footnoteRef/>
      </w:r>
      <w:r w:rsidR="0089540C" w:rsidRPr="00151A93">
        <w:rPr>
          <w:lang w:val="fi-FI"/>
        </w:rPr>
        <w:t xml:space="preserve"> </w:t>
      </w:r>
      <w:r w:rsidR="0089540C" w:rsidRPr="00151A93">
        <w:rPr>
          <w:lang w:val="fi-FI"/>
        </w:rPr>
        <w:tab/>
      </w:r>
      <w:r w:rsidRPr="00151A93">
        <w:rPr>
          <w:lang w:val="fi-FI"/>
        </w:rPr>
        <w:t>EUT L 433 I, 22.12.2020, s. 11, ELI:</w:t>
      </w:r>
      <w:r w:rsidRPr="00151A93">
        <w:rPr>
          <w:color w:val="000000"/>
          <w:lang w:val="fi-FI"/>
        </w:rPr>
        <w:t xml:space="preserve"> </w:t>
      </w:r>
      <w:hyperlink r:id="rId2" w:history="1">
        <w:r w:rsidRPr="00151A93">
          <w:rPr>
            <w:rStyle w:val="Hyperlink"/>
            <w:lang w:val="fi-FI"/>
          </w:rPr>
          <w:t>http://data.europa.eu/eli/reg/2020/2093/oj</w:t>
        </w:r>
      </w:hyperlink>
      <w:r w:rsidRPr="00151A93">
        <w:rPr>
          <w:color w:val="000000"/>
          <w:lang w:val="fi-FI"/>
        </w:rPr>
        <w:t>.</w:t>
      </w:r>
    </w:p>
  </w:footnote>
  <w:footnote w:id="3">
    <w:p w14:paraId="4BD7532A" w14:textId="651A48EA" w:rsidR="006A7A17" w:rsidRPr="0089540C" w:rsidRDefault="006A7A17" w:rsidP="0089540C">
      <w:pPr>
        <w:ind w:left="567" w:hanging="567"/>
        <w:rPr>
          <w:color w:val="000000"/>
        </w:rPr>
      </w:pPr>
      <w:r w:rsidRPr="0089540C">
        <w:rPr>
          <w:rStyle w:val="FootnoteReference"/>
        </w:rPr>
        <w:footnoteRef/>
      </w:r>
      <w:r w:rsidR="0089540C" w:rsidRPr="0089540C">
        <w:t xml:space="preserve"> </w:t>
      </w:r>
      <w:r w:rsidR="0089540C" w:rsidRPr="0089540C">
        <w:tab/>
      </w:r>
      <w:r w:rsidRPr="0089540C">
        <w:t>EUT C 444 I, 22.12.2020, s. 4.</w:t>
      </w:r>
    </w:p>
  </w:footnote>
  <w:footnote w:id="4">
    <w:p w14:paraId="1E9E5F95" w14:textId="1C1B5DFA" w:rsidR="006A7A17" w:rsidRPr="0089540C" w:rsidRDefault="006A7A17" w:rsidP="0089540C">
      <w:pPr>
        <w:ind w:left="567" w:hanging="567"/>
        <w:rPr>
          <w:color w:val="000000"/>
        </w:rPr>
      </w:pPr>
      <w:r w:rsidRPr="0089540C">
        <w:rPr>
          <w:rStyle w:val="FootnoteReference"/>
        </w:rPr>
        <w:footnoteRef/>
      </w:r>
      <w:r w:rsidR="0089540C" w:rsidRPr="0089540C">
        <w:t xml:space="preserve"> </w:t>
      </w:r>
      <w:r w:rsidR="0089540C" w:rsidRPr="0089540C">
        <w:tab/>
      </w:r>
      <w:r w:rsidRPr="0089540C">
        <w:t>EUT C 445, 29.10.2021, s. 252.</w:t>
      </w:r>
    </w:p>
  </w:footnote>
  <w:footnote w:id="5">
    <w:p w14:paraId="3CC58B21" w14:textId="1875C7FB" w:rsidR="006A7A17" w:rsidRPr="00151A93" w:rsidRDefault="006A7A17" w:rsidP="0089540C">
      <w:pPr>
        <w:ind w:left="567" w:hanging="567"/>
        <w:rPr>
          <w:lang w:val="fi-FI"/>
        </w:rPr>
      </w:pPr>
      <w:r w:rsidRPr="0089540C">
        <w:rPr>
          <w:rStyle w:val="FootnoteReference"/>
          <w:rFonts w:eastAsiaTheme="majorEastAsia"/>
        </w:rPr>
        <w:footnoteRef/>
      </w:r>
      <w:r w:rsidR="0089540C" w:rsidRPr="00151A93">
        <w:rPr>
          <w:lang w:val="fi-FI"/>
        </w:rPr>
        <w:t xml:space="preserve"> </w:t>
      </w:r>
      <w:r w:rsidR="0089540C" w:rsidRPr="00151A93">
        <w:rPr>
          <w:lang w:val="fi-FI"/>
        </w:rPr>
        <w:tab/>
      </w:r>
      <w:r w:rsidRPr="00151A93">
        <w:rPr>
          <w:lang w:val="fi-FI"/>
        </w:rPr>
        <w:t xml:space="preserve">EUT L 325, 20.12.2022, s. 11, ELI: </w:t>
      </w:r>
      <w:hyperlink r:id="rId3" w:history="1">
        <w:r w:rsidRPr="00151A93">
          <w:rPr>
            <w:rStyle w:val="Hyperlink"/>
            <w:lang w:val="fi-FI"/>
          </w:rPr>
          <w:t>http://data.europa.eu/eli/reg/2022/2496/oj</w:t>
        </w:r>
      </w:hyperlink>
      <w:r w:rsidRPr="00151A93">
        <w:rPr>
          <w:lang w:val="fi-FI"/>
        </w:rPr>
        <w:t>.</w:t>
      </w:r>
    </w:p>
  </w:footnote>
  <w:footnote w:id="6">
    <w:p w14:paraId="01774D14" w14:textId="16668BEC" w:rsidR="006A7A17" w:rsidRPr="00151A93" w:rsidRDefault="006A7A17" w:rsidP="0089540C">
      <w:pPr>
        <w:ind w:left="567" w:hanging="567"/>
        <w:rPr>
          <w:lang w:val="fi-FI"/>
        </w:rPr>
      </w:pPr>
      <w:r w:rsidRPr="0089540C">
        <w:rPr>
          <w:rStyle w:val="FootnoteReference"/>
        </w:rPr>
        <w:footnoteRef/>
      </w:r>
      <w:r w:rsidR="0089540C" w:rsidRPr="00151A93">
        <w:rPr>
          <w:lang w:val="fi-FI"/>
        </w:rPr>
        <w:t xml:space="preserve"> </w:t>
      </w:r>
      <w:r w:rsidR="0089540C" w:rsidRPr="00151A93">
        <w:rPr>
          <w:lang w:val="fi-FI"/>
        </w:rPr>
        <w:tab/>
      </w:r>
      <w:r w:rsidRPr="00151A93">
        <w:rPr>
          <w:lang w:val="fi-FI"/>
        </w:rPr>
        <w:t xml:space="preserve">EUT L, 2024/765, 29.2.2024, ELI: </w:t>
      </w:r>
      <w:hyperlink r:id="rId4" w:history="1">
        <w:r w:rsidRPr="00151A93">
          <w:rPr>
            <w:rStyle w:val="Hyperlink"/>
            <w:lang w:val="fi-FI"/>
          </w:rPr>
          <w:t>http://data.europa.eu/eli/reg/2024/765/oj</w:t>
        </w:r>
      </w:hyperlink>
      <w:r w:rsidRPr="00151A93">
        <w:rPr>
          <w:lang w:val="fi-FI"/>
        </w:rPr>
        <w:t>.</w:t>
      </w:r>
    </w:p>
  </w:footnote>
  <w:footnote w:id="7">
    <w:p w14:paraId="58D4B4CE" w14:textId="1F7AEA8C" w:rsidR="006A7A17" w:rsidRPr="00151A93" w:rsidRDefault="006A7A17" w:rsidP="0089540C">
      <w:pPr>
        <w:ind w:left="567" w:hanging="567"/>
        <w:rPr>
          <w:color w:val="000000"/>
          <w:lang w:val="fi-FI"/>
        </w:rPr>
      </w:pPr>
      <w:r w:rsidRPr="0089540C">
        <w:rPr>
          <w:rStyle w:val="FootnoteReference"/>
        </w:rPr>
        <w:footnoteRef/>
      </w:r>
      <w:r w:rsidR="0089540C" w:rsidRPr="00151A93">
        <w:rPr>
          <w:lang w:val="fi-FI"/>
        </w:rPr>
        <w:t xml:space="preserve"> </w:t>
      </w:r>
      <w:r w:rsidR="0089540C" w:rsidRPr="00151A93">
        <w:rPr>
          <w:lang w:val="fi-FI"/>
        </w:rPr>
        <w:tab/>
      </w:r>
      <w:r w:rsidRPr="00151A93">
        <w:rPr>
          <w:lang w:val="fi-FI"/>
        </w:rPr>
        <w:t>EUT L 433 I, 22.12.2020, s. 28, ELI:</w:t>
      </w:r>
      <w:r w:rsidRPr="00151A93">
        <w:rPr>
          <w:color w:val="000000"/>
          <w:lang w:val="fi-FI"/>
        </w:rPr>
        <w:t xml:space="preserve"> </w:t>
      </w:r>
      <w:hyperlink r:id="rId5" w:history="1">
        <w:r w:rsidRPr="00151A93">
          <w:rPr>
            <w:rStyle w:val="Hyperlink"/>
            <w:lang w:val="fi-FI"/>
          </w:rPr>
          <w:t>http://data.europa.eu/eli/agree_interinstit/2020/1222/oj</w:t>
        </w:r>
      </w:hyperlink>
      <w:r w:rsidRPr="00151A93">
        <w:rPr>
          <w:color w:val="000000"/>
          <w:lang w:val="fi-FI"/>
        </w:rPr>
        <w:t>.</w:t>
      </w:r>
    </w:p>
  </w:footnote>
  <w:footnote w:id="8">
    <w:p w14:paraId="73293A0C" w14:textId="06B1F3C6" w:rsidR="006A7A17" w:rsidRPr="00151A93" w:rsidRDefault="006A7A17" w:rsidP="0089540C">
      <w:pPr>
        <w:ind w:left="567" w:hanging="567"/>
        <w:rPr>
          <w:color w:val="000000"/>
          <w:lang w:val="fr-BE"/>
        </w:rPr>
      </w:pPr>
      <w:r w:rsidRPr="0089540C">
        <w:rPr>
          <w:rStyle w:val="FootnoteReference"/>
        </w:rPr>
        <w:footnoteRef/>
      </w:r>
      <w:r w:rsidR="0089540C" w:rsidRPr="00151A93">
        <w:rPr>
          <w:lang w:val="fr-BE"/>
        </w:rPr>
        <w:t xml:space="preserve"> </w:t>
      </w:r>
      <w:r w:rsidR="0089540C" w:rsidRPr="00151A93">
        <w:rPr>
          <w:lang w:val="fr-BE"/>
        </w:rPr>
        <w:tab/>
      </w:r>
      <w:r w:rsidRPr="00151A93">
        <w:rPr>
          <w:lang w:val="fr-BE"/>
        </w:rPr>
        <w:t>EUT C 445, 29.10.2021, s. 240.</w:t>
      </w:r>
    </w:p>
  </w:footnote>
  <w:footnote w:id="9">
    <w:p w14:paraId="0FA4C34B" w14:textId="33B0EA55" w:rsidR="006A7A17" w:rsidRPr="00151A93" w:rsidRDefault="006A7A17" w:rsidP="0089540C">
      <w:pPr>
        <w:ind w:left="567" w:hanging="567"/>
        <w:rPr>
          <w:color w:val="000000"/>
          <w:lang w:val="fr-BE"/>
        </w:rPr>
      </w:pPr>
      <w:r w:rsidRPr="0089540C">
        <w:rPr>
          <w:rStyle w:val="FootnoteReference"/>
        </w:rPr>
        <w:footnoteRef/>
      </w:r>
      <w:r w:rsidR="0089540C" w:rsidRPr="00151A93">
        <w:rPr>
          <w:lang w:val="fr-BE"/>
        </w:rPr>
        <w:t xml:space="preserve"> </w:t>
      </w:r>
      <w:r w:rsidR="0089540C" w:rsidRPr="00151A93">
        <w:rPr>
          <w:lang w:val="fr-BE"/>
        </w:rPr>
        <w:tab/>
      </w:r>
      <w:r w:rsidRPr="00151A93">
        <w:rPr>
          <w:lang w:val="fr-BE"/>
        </w:rPr>
        <w:t>EUT C 177, 17.5.2023, s. 115.</w:t>
      </w:r>
    </w:p>
  </w:footnote>
  <w:footnote w:id="10">
    <w:p w14:paraId="3EE4BB22" w14:textId="4050ED83" w:rsidR="006A7A17" w:rsidRPr="00151A93" w:rsidRDefault="006A7A17" w:rsidP="0089540C">
      <w:pPr>
        <w:ind w:left="567" w:hanging="567"/>
        <w:rPr>
          <w:color w:val="000000"/>
          <w:lang w:val="fi-FI"/>
        </w:rPr>
      </w:pPr>
      <w:r w:rsidRPr="0089540C">
        <w:rPr>
          <w:rStyle w:val="FootnoteReference"/>
        </w:rPr>
        <w:footnoteRef/>
      </w:r>
      <w:r w:rsidR="0089540C" w:rsidRPr="00151A93">
        <w:rPr>
          <w:lang w:val="fi-FI"/>
        </w:rPr>
        <w:t xml:space="preserve"> </w:t>
      </w:r>
      <w:r w:rsidR="0089540C" w:rsidRPr="00151A93">
        <w:rPr>
          <w:lang w:val="fi-FI"/>
        </w:rPr>
        <w:tab/>
      </w:r>
      <w:r w:rsidRPr="00151A93">
        <w:rPr>
          <w:lang w:val="fi-FI"/>
        </w:rPr>
        <w:t xml:space="preserve">EUT C, C/2024/1195, </w:t>
      </w:r>
      <w:r w:rsidRPr="00151A93">
        <w:rPr>
          <w:lang w:val="fi-FI"/>
        </w:rPr>
        <w:t>23.2.2024, ELI:</w:t>
      </w:r>
      <w:r w:rsidRPr="00151A93">
        <w:rPr>
          <w:color w:val="000000"/>
          <w:lang w:val="fi-FI"/>
        </w:rPr>
        <w:t xml:space="preserve"> </w:t>
      </w:r>
      <w:hyperlink r:id="rId6" w:history="1">
        <w:r w:rsidRPr="00151A93">
          <w:rPr>
            <w:rStyle w:val="Hyperlink"/>
            <w:lang w:val="fi-FI"/>
          </w:rPr>
          <w:t>http://data.europa.eu/eli/C/2024/1195/oj</w:t>
        </w:r>
      </w:hyperlink>
      <w:r w:rsidRPr="00151A93">
        <w:rPr>
          <w:color w:val="000000"/>
          <w:lang w:val="fi-FI"/>
        </w:rPr>
        <w:t>.</w:t>
      </w:r>
    </w:p>
  </w:footnote>
  <w:footnote w:id="11">
    <w:p w14:paraId="67EBEB9A" w14:textId="3081DD3E" w:rsidR="006A7A17" w:rsidRPr="00151A93" w:rsidRDefault="006A7A17" w:rsidP="0089540C">
      <w:pPr>
        <w:ind w:left="567" w:hanging="567"/>
        <w:rPr>
          <w:color w:val="000000"/>
          <w:lang w:val="fi-FI"/>
        </w:rPr>
      </w:pPr>
      <w:r w:rsidRPr="0089540C">
        <w:rPr>
          <w:rStyle w:val="FootnoteReference"/>
        </w:rPr>
        <w:footnoteRef/>
      </w:r>
      <w:r w:rsidR="0089540C" w:rsidRPr="00151A93">
        <w:rPr>
          <w:lang w:val="fi-FI"/>
        </w:rPr>
        <w:t xml:space="preserve"> </w:t>
      </w:r>
      <w:r w:rsidR="0089540C" w:rsidRPr="00151A93">
        <w:rPr>
          <w:lang w:val="fi-FI"/>
        </w:rPr>
        <w:tab/>
      </w:r>
      <w:r w:rsidRPr="00151A93">
        <w:rPr>
          <w:lang w:val="fi-FI"/>
        </w:rPr>
        <w:t>EUT C, C/2024/6751, 26.11.2024, ELI:</w:t>
      </w:r>
      <w:r w:rsidRPr="00151A93">
        <w:rPr>
          <w:color w:val="000000"/>
          <w:lang w:val="fi-FI"/>
        </w:rPr>
        <w:t xml:space="preserve"> </w:t>
      </w:r>
      <w:hyperlink r:id="rId7" w:history="1">
        <w:r w:rsidRPr="00151A93">
          <w:rPr>
            <w:rStyle w:val="Hyperlink"/>
            <w:lang w:val="fi-FI"/>
          </w:rPr>
          <w:t>http://data.europa.eu/eli/C/2024/6751/oj</w:t>
        </w:r>
      </w:hyperlink>
      <w:r w:rsidRPr="00151A93">
        <w:rPr>
          <w:color w:val="000000"/>
          <w:lang w:val="fi-FI"/>
        </w:rPr>
        <w:t>.</w:t>
      </w:r>
    </w:p>
  </w:footnote>
  <w:footnote w:id="12">
    <w:p w14:paraId="60BA747F" w14:textId="11110ED4" w:rsidR="006A7A17" w:rsidRPr="00151A93" w:rsidRDefault="006A7A17" w:rsidP="0089540C">
      <w:pPr>
        <w:ind w:left="567" w:hanging="567"/>
        <w:rPr>
          <w:color w:val="000000"/>
          <w:lang w:val="fi-FI"/>
        </w:rPr>
      </w:pPr>
      <w:r w:rsidRPr="0089540C">
        <w:rPr>
          <w:rStyle w:val="FootnoteReference"/>
        </w:rPr>
        <w:footnoteRef/>
      </w:r>
      <w:r w:rsidR="0089540C" w:rsidRPr="00151A93">
        <w:rPr>
          <w:lang w:val="fi-FI"/>
        </w:rPr>
        <w:t xml:space="preserve"> </w:t>
      </w:r>
      <w:r w:rsidR="0089540C" w:rsidRPr="00151A93">
        <w:rPr>
          <w:lang w:val="fi-FI"/>
        </w:rPr>
        <w:tab/>
      </w:r>
      <w:r w:rsidRPr="00151A93">
        <w:rPr>
          <w:lang w:val="fi-FI"/>
        </w:rPr>
        <w:t>EUT L, 2026/72, 26.2.2026, ELI:</w:t>
      </w:r>
      <w:r w:rsidRPr="00151A93">
        <w:rPr>
          <w:color w:val="000000"/>
          <w:lang w:val="fi-FI"/>
        </w:rPr>
        <w:t xml:space="preserve"> </w:t>
      </w:r>
      <w:hyperlink r:id="rId8" w:history="1">
        <w:r w:rsidRPr="00151A93">
          <w:rPr>
            <w:rStyle w:val="Hyperlink"/>
            <w:lang w:val="fi-FI"/>
          </w:rPr>
          <w:t>http://data.europa.eu/eli/budget/2026/72/oj</w:t>
        </w:r>
      </w:hyperlink>
      <w:r w:rsidRPr="00151A93">
        <w:rPr>
          <w:color w:val="000000"/>
          <w:lang w:val="fi-FI"/>
        </w:rPr>
        <w:t xml:space="preserve">. </w:t>
      </w:r>
    </w:p>
  </w:footnote>
  <w:footnote w:id="13">
    <w:p w14:paraId="6C140825" w14:textId="28B6A00D" w:rsidR="006A7A17" w:rsidRPr="0089540C" w:rsidRDefault="006A7A17" w:rsidP="0089540C">
      <w:pPr>
        <w:pStyle w:val="FootnoteText"/>
        <w:ind w:left="567" w:hanging="567"/>
        <w:rPr>
          <w:sz w:val="24"/>
          <w:lang w:val="sv-SE"/>
        </w:rPr>
      </w:pPr>
      <w:r w:rsidRPr="0089540C">
        <w:rPr>
          <w:rStyle w:val="FootnoteReference"/>
          <w:sz w:val="24"/>
          <w:lang w:val="sv-SE"/>
        </w:rPr>
        <w:footnoteRef/>
      </w:r>
      <w:r w:rsidR="0089540C" w:rsidRPr="0089540C">
        <w:rPr>
          <w:sz w:val="24"/>
          <w:lang w:val="sv-SE"/>
        </w:rPr>
        <w:t xml:space="preserve"> </w:t>
      </w:r>
      <w:r w:rsidR="0089540C" w:rsidRPr="0089540C">
        <w:rPr>
          <w:sz w:val="24"/>
          <w:lang w:val="sv-SE"/>
        </w:rPr>
        <w:tab/>
      </w:r>
      <w:r w:rsidR="003C5092">
        <w:rPr>
          <w:sz w:val="24"/>
          <w:lang w:val="sv-SE"/>
        </w:rPr>
        <w:t>Tribunalens</w:t>
      </w:r>
      <w:r w:rsidRPr="00151A93">
        <w:rPr>
          <w:sz w:val="24"/>
          <w:lang w:val="sv-SE"/>
        </w:rPr>
        <w:t xml:space="preserve"> dom av den 17 december</w:t>
      </w:r>
      <w:r w:rsidRPr="0089540C">
        <w:rPr>
          <w:sz w:val="24"/>
          <w:lang w:val="sv-SE"/>
        </w:rPr>
        <w:t xml:space="preserve"> 2025, FE mot parlamentet, T-483/24, ECLI:EU:T:2025:1121.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CCA77" w14:textId="77777777" w:rsidR="00064002" w:rsidRPr="008954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3BF7" w14:textId="77777777" w:rsidR="00064002" w:rsidRPr="008954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5F3EC" w14:textId="77777777" w:rsidR="00064002" w:rsidRPr="008954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3E8"/>
    <w:multiLevelType w:val="multilevel"/>
    <w:tmpl w:val="3B9ACA00"/>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 w15:restartNumberingAfterBreak="0">
    <w:nsid w:val="000003F2"/>
    <w:multiLevelType w:val="singleLevel"/>
    <w:tmpl w:val="4190AB00"/>
    <w:name w:val="Tiret 0"/>
    <w:lvl w:ilvl="0">
      <w:start w:val="1"/>
      <w:numFmt w:val="bullet"/>
      <w:lvlText w:val="–"/>
      <w:lvlJc w:val="left"/>
      <w:pPr>
        <w:tabs>
          <w:tab w:val="num" w:pos="850"/>
        </w:tabs>
        <w:ind w:left="850" w:hanging="850"/>
      </w:pPr>
    </w:lvl>
  </w:abstractNum>
  <w:abstractNum w:abstractNumId="2" w15:restartNumberingAfterBreak="0">
    <w:nsid w:val="000003F3"/>
    <w:multiLevelType w:val="singleLevel"/>
    <w:tmpl w:val="4190AB01"/>
    <w:name w:val="Tiret 1"/>
    <w:lvl w:ilvl="0">
      <w:start w:val="1"/>
      <w:numFmt w:val="bullet"/>
      <w:lvlText w:val="–"/>
      <w:lvlJc w:val="left"/>
      <w:pPr>
        <w:tabs>
          <w:tab w:val="num" w:pos="1417"/>
        </w:tabs>
        <w:ind w:left="1417" w:hanging="567"/>
      </w:pPr>
    </w:lvl>
  </w:abstractNum>
  <w:abstractNum w:abstractNumId="3" w15:restartNumberingAfterBreak="0">
    <w:nsid w:val="000003F4"/>
    <w:multiLevelType w:val="singleLevel"/>
    <w:tmpl w:val="4190AB02"/>
    <w:name w:val="Tiret 2"/>
    <w:lvl w:ilvl="0">
      <w:start w:val="1"/>
      <w:numFmt w:val="bullet"/>
      <w:lvlText w:val="–"/>
      <w:lvlJc w:val="left"/>
      <w:pPr>
        <w:tabs>
          <w:tab w:val="num" w:pos="1984"/>
        </w:tabs>
        <w:ind w:left="1984" w:hanging="567"/>
      </w:pPr>
    </w:lvl>
  </w:abstractNum>
  <w:abstractNum w:abstractNumId="4" w15:restartNumberingAfterBreak="0">
    <w:nsid w:val="000003F5"/>
    <w:multiLevelType w:val="singleLevel"/>
    <w:tmpl w:val="4190AB03"/>
    <w:name w:val="Tiret 3"/>
    <w:lvl w:ilvl="0">
      <w:start w:val="1"/>
      <w:numFmt w:val="bullet"/>
      <w:lvlText w:val="–"/>
      <w:lvlJc w:val="left"/>
      <w:pPr>
        <w:tabs>
          <w:tab w:val="num" w:pos="2551"/>
        </w:tabs>
        <w:ind w:left="2551" w:hanging="567"/>
      </w:pPr>
    </w:lvl>
  </w:abstractNum>
  <w:abstractNum w:abstractNumId="5" w15:restartNumberingAfterBreak="0">
    <w:nsid w:val="000003F6"/>
    <w:multiLevelType w:val="singleLevel"/>
    <w:tmpl w:val="4190AB04"/>
    <w:name w:val="Tiret 4"/>
    <w:lvl w:ilvl="0">
      <w:start w:val="1"/>
      <w:numFmt w:val="bullet"/>
      <w:lvlText w:val="–"/>
      <w:lvlJc w:val="left"/>
      <w:pPr>
        <w:tabs>
          <w:tab w:val="num" w:pos="3118"/>
        </w:tabs>
        <w:ind w:left="3118" w:hanging="567"/>
      </w:p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8502447">
    <w:abstractNumId w:val="6"/>
  </w:num>
  <w:num w:numId="2" w16cid:durableId="89439157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SV"/>
    <w:docVar w:name="dvnumam" w:val="0"/>
    <w:docVar w:name="dvpe" w:val="785.303"/>
    <w:docVar w:name="dvrapporteur" w:val="Föredragande: "/>
    <w:docVar w:name="dvtitre" w:val="Europaparlamentets resolution av den xx xx 2026 om beräkning av Europaparlamentets inkomster och utgifter för budgetåret 2027(2025/2247(BUI))"/>
  </w:docVars>
  <w:rsids>
    <w:rsidRoot w:val="00492155"/>
    <w:rsid w:val="00002272"/>
    <w:rsid w:val="00064002"/>
    <w:rsid w:val="000677B9"/>
    <w:rsid w:val="000831BA"/>
    <w:rsid w:val="000A42CC"/>
    <w:rsid w:val="000E7DD9"/>
    <w:rsid w:val="0010095E"/>
    <w:rsid w:val="00106117"/>
    <w:rsid w:val="00125B37"/>
    <w:rsid w:val="00151A93"/>
    <w:rsid w:val="00187494"/>
    <w:rsid w:val="001F32AE"/>
    <w:rsid w:val="002767FF"/>
    <w:rsid w:val="002B18FE"/>
    <w:rsid w:val="002B5493"/>
    <w:rsid w:val="002D20B6"/>
    <w:rsid w:val="00307520"/>
    <w:rsid w:val="00343214"/>
    <w:rsid w:val="00361C00"/>
    <w:rsid w:val="0036740C"/>
    <w:rsid w:val="00395FA1"/>
    <w:rsid w:val="003B65CE"/>
    <w:rsid w:val="003C5092"/>
    <w:rsid w:val="003E15D4"/>
    <w:rsid w:val="00411CCE"/>
    <w:rsid w:val="0041666E"/>
    <w:rsid w:val="00421060"/>
    <w:rsid w:val="00471C19"/>
    <w:rsid w:val="004867E3"/>
    <w:rsid w:val="00492155"/>
    <w:rsid w:val="00494A28"/>
    <w:rsid w:val="004C0004"/>
    <w:rsid w:val="004C5D52"/>
    <w:rsid w:val="0050519A"/>
    <w:rsid w:val="005072A1"/>
    <w:rsid w:val="00514517"/>
    <w:rsid w:val="00545827"/>
    <w:rsid w:val="00560270"/>
    <w:rsid w:val="005C2568"/>
    <w:rsid w:val="005F1B17"/>
    <w:rsid w:val="006037C0"/>
    <w:rsid w:val="00635F6A"/>
    <w:rsid w:val="006631B6"/>
    <w:rsid w:val="00680577"/>
    <w:rsid w:val="006A7A1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40C"/>
    <w:rsid w:val="008C2AC6"/>
    <w:rsid w:val="00930C23"/>
    <w:rsid w:val="0093193B"/>
    <w:rsid w:val="009509D8"/>
    <w:rsid w:val="00950B64"/>
    <w:rsid w:val="00981893"/>
    <w:rsid w:val="00A1687D"/>
    <w:rsid w:val="00A43E52"/>
    <w:rsid w:val="00A4678D"/>
    <w:rsid w:val="00A6036A"/>
    <w:rsid w:val="00A778C7"/>
    <w:rsid w:val="00AB441E"/>
    <w:rsid w:val="00AB6293"/>
    <w:rsid w:val="00AE0928"/>
    <w:rsid w:val="00AF3B82"/>
    <w:rsid w:val="00B12E95"/>
    <w:rsid w:val="00B22876"/>
    <w:rsid w:val="00B50F87"/>
    <w:rsid w:val="00B558F0"/>
    <w:rsid w:val="00BD48FE"/>
    <w:rsid w:val="00BD7BD8"/>
    <w:rsid w:val="00BE6ADC"/>
    <w:rsid w:val="00C05BFE"/>
    <w:rsid w:val="00C155AF"/>
    <w:rsid w:val="00C23CD4"/>
    <w:rsid w:val="00C61C0C"/>
    <w:rsid w:val="00C938B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AD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4B992"/>
  <w15:chartTrackingRefBased/>
  <w15:docId w15:val="{986E89D2-7133-4CDA-97F5-AFC7C38B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A7A17"/>
    <w:rPr>
      <w:b/>
      <w:kern w:val="28"/>
      <w:sz w:val="28"/>
      <w:lang w:val="fr-FR" w:eastAsia="fr-FR"/>
    </w:rPr>
  </w:style>
  <w:style w:type="character" w:customStyle="1" w:styleId="Heading2Char">
    <w:name w:val="Heading 2 Char"/>
    <w:basedOn w:val="DefaultParagraphFont"/>
    <w:link w:val="Heading2"/>
    <w:uiPriority w:val="99"/>
    <w:rsid w:val="006A7A17"/>
    <w:rPr>
      <w:sz w:val="24"/>
      <w:lang w:val="fr-FR" w:eastAsia="fr-FR"/>
    </w:rPr>
  </w:style>
  <w:style w:type="character" w:customStyle="1" w:styleId="Heading3Char">
    <w:name w:val="Heading 3 Char"/>
    <w:basedOn w:val="DefaultParagraphFont"/>
    <w:link w:val="Heading3"/>
    <w:uiPriority w:val="99"/>
    <w:rsid w:val="006A7A17"/>
    <w:rPr>
      <w:rFonts w:ascii="Arial" w:hAnsi="Arial"/>
      <w:sz w:val="24"/>
      <w:lang w:val="fr-FR" w:eastAsia="fr-FR"/>
    </w:rPr>
  </w:style>
  <w:style w:type="character" w:customStyle="1" w:styleId="Heading4Char">
    <w:name w:val="Heading 4 Char"/>
    <w:basedOn w:val="DefaultParagraphFont"/>
    <w:link w:val="Heading4"/>
    <w:uiPriority w:val="99"/>
    <w:rsid w:val="006A7A17"/>
    <w:rPr>
      <w:sz w:val="24"/>
      <w:lang w:val="en-US" w:eastAsia="fr-FR"/>
    </w:rPr>
  </w:style>
  <w:style w:type="character" w:customStyle="1" w:styleId="Heading5Char">
    <w:name w:val="Heading 5 Char"/>
    <w:basedOn w:val="DefaultParagraphFont"/>
    <w:link w:val="Heading5"/>
    <w:uiPriority w:val="99"/>
    <w:rsid w:val="006A7A17"/>
    <w:rPr>
      <w:sz w:val="24"/>
      <w:lang w:val="en-US" w:eastAsia="fr-FR"/>
    </w:rPr>
  </w:style>
  <w:style w:type="character" w:customStyle="1" w:styleId="Heading6Char">
    <w:name w:val="Heading 6 Char"/>
    <w:basedOn w:val="DefaultParagraphFont"/>
    <w:link w:val="Heading6"/>
    <w:uiPriority w:val="99"/>
    <w:rsid w:val="006A7A17"/>
    <w:rPr>
      <w:i/>
      <w:sz w:val="22"/>
      <w:lang w:val="sv-SE"/>
    </w:rPr>
  </w:style>
  <w:style w:type="character" w:customStyle="1" w:styleId="Heading7Char">
    <w:name w:val="Heading 7 Char"/>
    <w:basedOn w:val="DefaultParagraphFont"/>
    <w:link w:val="Heading7"/>
    <w:uiPriority w:val="99"/>
    <w:rsid w:val="006A7A17"/>
    <w:rPr>
      <w:rFonts w:ascii="Arial" w:hAnsi="Arial"/>
      <w:sz w:val="24"/>
      <w:lang w:val="sv-SE"/>
    </w:rPr>
  </w:style>
  <w:style w:type="character" w:customStyle="1" w:styleId="Heading8Char">
    <w:name w:val="Heading 8 Char"/>
    <w:basedOn w:val="DefaultParagraphFont"/>
    <w:link w:val="Heading8"/>
    <w:uiPriority w:val="99"/>
    <w:rsid w:val="006A7A17"/>
    <w:rPr>
      <w:rFonts w:ascii="Arial" w:hAnsi="Arial"/>
      <w:i/>
      <w:sz w:val="24"/>
      <w:lang w:val="sv-SE"/>
    </w:rPr>
  </w:style>
  <w:style w:type="character" w:customStyle="1" w:styleId="Heading9Char">
    <w:name w:val="Heading 9 Char"/>
    <w:basedOn w:val="DefaultParagraphFont"/>
    <w:link w:val="Heading9"/>
    <w:uiPriority w:val="99"/>
    <w:rsid w:val="006A7A17"/>
    <w:rPr>
      <w:rFonts w:ascii="Arial" w:hAnsi="Arial"/>
      <w:b/>
      <w:i/>
      <w:sz w:val="18"/>
      <w:lang w:val="sv-SE"/>
    </w:rPr>
  </w:style>
  <w:style w:type="paragraph" w:styleId="TOCHeading">
    <w:name w:val="TOC Heading"/>
    <w:basedOn w:val="Normal"/>
    <w:next w:val="Normal"/>
    <w:uiPriority w:val="39"/>
    <w:unhideWhenUsed/>
    <w:qFormat/>
    <w:rsid w:val="006A7A17"/>
    <w:pPr>
      <w:widowControl/>
      <w:spacing w:after="240"/>
    </w:pPr>
    <w:rPr>
      <w:lang w:val="en-GB"/>
    </w:rPr>
  </w:style>
  <w:style w:type="paragraph" w:customStyle="1" w:styleId="EPFooter2">
    <w:name w:val="EPFooter2"/>
    <w:basedOn w:val="Normal"/>
    <w:next w:val="Normal"/>
    <w:rsid w:val="006A7A1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A7A17"/>
    <w:pPr>
      <w:spacing w:after="240"/>
    </w:pPr>
  </w:style>
  <w:style w:type="paragraph" w:customStyle="1" w:styleId="TOCPage">
    <w:name w:val="TOC Page"/>
    <w:basedOn w:val="Normal"/>
    <w:next w:val="TOC1"/>
    <w:rsid w:val="006A7A17"/>
    <w:pPr>
      <w:keepNext/>
      <w:spacing w:after="240"/>
      <w:jc w:val="right"/>
    </w:pPr>
    <w:rPr>
      <w:rFonts w:ascii="Arial" w:hAnsi="Arial"/>
      <w:b/>
    </w:rPr>
  </w:style>
  <w:style w:type="paragraph" w:customStyle="1" w:styleId="PageHeading">
    <w:name w:val="PageHeading"/>
    <w:basedOn w:val="Normal"/>
    <w:rsid w:val="006A7A17"/>
    <w:pPr>
      <w:keepNext/>
      <w:spacing w:after="480"/>
      <w:jc w:val="center"/>
    </w:pPr>
    <w:rPr>
      <w:rFonts w:ascii="Arial" w:hAnsi="Arial" w:cs="Arial"/>
      <w:b/>
    </w:rPr>
  </w:style>
  <w:style w:type="paragraph" w:customStyle="1" w:styleId="NormalBold">
    <w:name w:val="NormalBold"/>
    <w:basedOn w:val="Normal"/>
    <w:rsid w:val="006A7A17"/>
    <w:rPr>
      <w:b/>
    </w:rPr>
  </w:style>
  <w:style w:type="paragraph" w:customStyle="1" w:styleId="NormalHanging12a">
    <w:name w:val="NormalHanging12a"/>
    <w:basedOn w:val="Normal"/>
    <w:rsid w:val="006A7A17"/>
    <w:pPr>
      <w:spacing w:after="240"/>
      <w:ind w:left="567" w:hanging="567"/>
    </w:pPr>
  </w:style>
  <w:style w:type="paragraph" w:customStyle="1" w:styleId="CoverNormal24a">
    <w:name w:val="CoverNormal24a"/>
    <w:basedOn w:val="Normal"/>
    <w:rsid w:val="006A7A17"/>
    <w:pPr>
      <w:spacing w:after="480"/>
      <w:ind w:left="1417"/>
    </w:pPr>
  </w:style>
  <w:style w:type="paragraph" w:customStyle="1" w:styleId="CoverNormal">
    <w:name w:val="CoverNormal"/>
    <w:basedOn w:val="Normal"/>
    <w:rsid w:val="006A7A17"/>
    <w:pPr>
      <w:ind w:left="1418"/>
    </w:pPr>
  </w:style>
  <w:style w:type="paragraph" w:customStyle="1" w:styleId="CoverReference">
    <w:name w:val="CoverReference"/>
    <w:basedOn w:val="Normal"/>
    <w:rsid w:val="006A7A17"/>
    <w:pPr>
      <w:spacing w:before="1080"/>
      <w:jc w:val="right"/>
    </w:pPr>
    <w:rPr>
      <w:rFonts w:ascii="Arial" w:hAnsi="Arial" w:cs="Arial"/>
      <w:b/>
    </w:rPr>
  </w:style>
  <w:style w:type="paragraph" w:customStyle="1" w:styleId="CoverDocType24a">
    <w:name w:val="CoverDocType24a"/>
    <w:basedOn w:val="Normal"/>
    <w:rsid w:val="006A7A17"/>
    <w:pPr>
      <w:spacing w:after="480"/>
      <w:ind w:left="1418"/>
    </w:pPr>
    <w:rPr>
      <w:rFonts w:ascii="Arial" w:hAnsi="Arial"/>
      <w:b/>
      <w:sz w:val="48"/>
    </w:rPr>
  </w:style>
  <w:style w:type="paragraph" w:customStyle="1" w:styleId="CoverDate">
    <w:name w:val="CoverDate"/>
    <w:basedOn w:val="Normal"/>
    <w:rsid w:val="006A7A17"/>
    <w:pPr>
      <w:spacing w:before="240" w:after="1200"/>
    </w:pPr>
  </w:style>
  <w:style w:type="paragraph" w:customStyle="1" w:styleId="EPBody">
    <w:name w:val="EPBody"/>
    <w:basedOn w:val="Normal"/>
    <w:rsid w:val="006A7A17"/>
    <w:pPr>
      <w:jc w:val="center"/>
    </w:pPr>
    <w:rPr>
      <w:rFonts w:ascii="Arial" w:hAnsi="Arial" w:cs="Arial"/>
      <w:i/>
      <w:sz w:val="22"/>
      <w:szCs w:val="22"/>
    </w:rPr>
  </w:style>
  <w:style w:type="paragraph" w:customStyle="1" w:styleId="EPFooter">
    <w:name w:val="EPFooter"/>
    <w:basedOn w:val="Normal"/>
    <w:rsid w:val="006A7A17"/>
    <w:pPr>
      <w:tabs>
        <w:tab w:val="center" w:pos="4535"/>
        <w:tab w:val="right" w:pos="9071"/>
      </w:tabs>
      <w:spacing w:before="240" w:after="240"/>
    </w:pPr>
    <w:rPr>
      <w:color w:val="010000"/>
      <w:sz w:val="22"/>
    </w:rPr>
  </w:style>
  <w:style w:type="paragraph" w:styleId="Header">
    <w:name w:val="header"/>
    <w:basedOn w:val="Normal"/>
    <w:link w:val="HeaderChar"/>
    <w:uiPriority w:val="99"/>
    <w:rsid w:val="006A7A17"/>
    <w:pPr>
      <w:tabs>
        <w:tab w:val="center" w:pos="4513"/>
        <w:tab w:val="right" w:pos="9026"/>
      </w:tabs>
    </w:pPr>
  </w:style>
  <w:style w:type="character" w:customStyle="1" w:styleId="HeaderChar">
    <w:name w:val="Header Char"/>
    <w:basedOn w:val="DefaultParagraphFont"/>
    <w:link w:val="Header"/>
    <w:uiPriority w:val="99"/>
    <w:rsid w:val="006A7A17"/>
    <w:rPr>
      <w:sz w:val="24"/>
      <w:lang w:val="sv-SE"/>
    </w:rPr>
  </w:style>
  <w:style w:type="paragraph" w:customStyle="1" w:styleId="EPComma">
    <w:name w:val="EPComma"/>
    <w:basedOn w:val="Normal"/>
    <w:rsid w:val="006A7A17"/>
    <w:pPr>
      <w:spacing w:before="480" w:after="240"/>
    </w:pPr>
  </w:style>
  <w:style w:type="character" w:styleId="Hyperlink">
    <w:name w:val="Hyperlink"/>
    <w:basedOn w:val="DefaultParagraphFont"/>
    <w:uiPriority w:val="99"/>
    <w:rsid w:val="006A7A17"/>
    <w:rPr>
      <w:color w:val="0563C1" w:themeColor="hyperlink"/>
      <w:u w:val="single"/>
    </w:rPr>
  </w:style>
  <w:style w:type="character" w:styleId="UnresolvedMention">
    <w:name w:val="Unresolved Mention"/>
    <w:basedOn w:val="DefaultParagraphFont"/>
    <w:uiPriority w:val="99"/>
    <w:semiHidden/>
    <w:unhideWhenUsed/>
    <w:rsid w:val="006A7A17"/>
    <w:rPr>
      <w:color w:val="605E5C"/>
      <w:shd w:val="clear" w:color="auto" w:fill="E1DFDD"/>
    </w:rPr>
  </w:style>
  <w:style w:type="paragraph" w:customStyle="1" w:styleId="Action">
    <w:name w:val="Action"/>
    <w:basedOn w:val="Normal"/>
    <w:rsid w:val="006A7A17"/>
    <w:pPr>
      <w:tabs>
        <w:tab w:val="left" w:pos="357"/>
      </w:tabs>
      <w:spacing w:after="240"/>
      <w:ind w:left="357" w:hanging="357"/>
    </w:pPr>
    <w:rPr>
      <w:lang w:eastAsia="en-US"/>
    </w:rPr>
  </w:style>
  <w:style w:type="paragraph" w:customStyle="1" w:styleId="action0">
    <w:name w:val="action"/>
    <w:basedOn w:val="Normal"/>
    <w:rsid w:val="006A7A17"/>
    <w:pPr>
      <w:widowControl/>
      <w:spacing w:after="240"/>
      <w:ind w:left="357" w:hanging="357"/>
    </w:pPr>
    <w:rPr>
      <w:rFonts w:eastAsiaTheme="minorHAnsi"/>
      <w:szCs w:val="24"/>
    </w:rPr>
  </w:style>
  <w:style w:type="paragraph" w:customStyle="1" w:styleId="Institutionquiagit">
    <w:name w:val="Institution qui agit"/>
    <w:basedOn w:val="Normal"/>
    <w:next w:val="Normal"/>
    <w:rsid w:val="006A7A17"/>
    <w:pPr>
      <w:keepNext/>
      <w:snapToGrid w:val="0"/>
      <w:spacing w:after="240"/>
    </w:pPr>
    <w:rPr>
      <w:i/>
      <w:lang w:eastAsia="en-US"/>
    </w:rPr>
  </w:style>
  <w:style w:type="paragraph" w:customStyle="1" w:styleId="FootnoteReference1">
    <w:name w:val="Footnote Reference1"/>
    <w:basedOn w:val="Normal"/>
    <w:link w:val="FootnoteReference"/>
    <w:rsid w:val="006A7A17"/>
    <w:pPr>
      <w:widowControl/>
      <w:spacing w:after="160" w:line="240" w:lineRule="exact"/>
    </w:pPr>
    <w:rPr>
      <w:sz w:val="20"/>
      <w:vertAlign w:val="superscript"/>
      <w:lang w:val="en-GB"/>
    </w:rPr>
  </w:style>
  <w:style w:type="paragraph" w:styleId="Revision">
    <w:name w:val="Revision"/>
    <w:hidden/>
    <w:uiPriority w:val="99"/>
    <w:semiHidden/>
    <w:rsid w:val="006A7A17"/>
    <w:rPr>
      <w:sz w:val="24"/>
      <w:lang w:val="sv-SE"/>
    </w:rPr>
  </w:style>
  <w:style w:type="paragraph" w:styleId="Footer">
    <w:name w:val="footer"/>
    <w:basedOn w:val="Normal"/>
    <w:link w:val="FooterChar"/>
    <w:uiPriority w:val="99"/>
    <w:rsid w:val="006A7A17"/>
    <w:pPr>
      <w:tabs>
        <w:tab w:val="center" w:pos="4513"/>
        <w:tab w:val="right" w:pos="9026"/>
      </w:tabs>
    </w:pPr>
  </w:style>
  <w:style w:type="character" w:customStyle="1" w:styleId="FooterChar">
    <w:name w:val="Footer Char"/>
    <w:basedOn w:val="DefaultParagraphFont"/>
    <w:link w:val="Footer"/>
    <w:uiPriority w:val="99"/>
    <w:rsid w:val="006A7A17"/>
    <w:rPr>
      <w:sz w:val="24"/>
      <w:lang w:val="sv-SE"/>
    </w:rPr>
  </w:style>
  <w:style w:type="character" w:styleId="CommentReference">
    <w:name w:val="annotation reference"/>
    <w:basedOn w:val="DefaultParagraphFont"/>
    <w:uiPriority w:val="99"/>
    <w:rsid w:val="006A7A17"/>
    <w:rPr>
      <w:sz w:val="16"/>
      <w:szCs w:val="16"/>
    </w:rPr>
  </w:style>
  <w:style w:type="paragraph" w:styleId="CommentText">
    <w:name w:val="annotation text"/>
    <w:basedOn w:val="Normal"/>
    <w:link w:val="CommentTextChar"/>
    <w:uiPriority w:val="99"/>
    <w:rsid w:val="006A7A17"/>
    <w:rPr>
      <w:sz w:val="20"/>
    </w:rPr>
  </w:style>
  <w:style w:type="character" w:customStyle="1" w:styleId="CommentTextChar">
    <w:name w:val="Comment Text Char"/>
    <w:basedOn w:val="DefaultParagraphFont"/>
    <w:link w:val="CommentText"/>
    <w:uiPriority w:val="99"/>
    <w:rsid w:val="006A7A17"/>
    <w:rPr>
      <w:lang w:val="sv-SE"/>
    </w:rPr>
  </w:style>
  <w:style w:type="paragraph" w:styleId="CommentSubject">
    <w:name w:val="annotation subject"/>
    <w:basedOn w:val="CommentText"/>
    <w:next w:val="CommentText"/>
    <w:link w:val="CommentSubjectChar"/>
    <w:uiPriority w:val="99"/>
    <w:unhideWhenUsed/>
    <w:rsid w:val="006A7A17"/>
    <w:rPr>
      <w:b/>
      <w:bCs/>
    </w:rPr>
  </w:style>
  <w:style w:type="character" w:customStyle="1" w:styleId="CommentSubjectChar">
    <w:name w:val="Comment Subject Char"/>
    <w:basedOn w:val="CommentTextChar"/>
    <w:link w:val="CommentSubject"/>
    <w:uiPriority w:val="99"/>
    <w:rsid w:val="006A7A17"/>
    <w:rPr>
      <w:b/>
      <w:bCs/>
      <w:lang w:val="sv-SE"/>
    </w:rPr>
  </w:style>
  <w:style w:type="paragraph" w:styleId="ListParagraph">
    <w:name w:val="List Paragraph"/>
    <w:basedOn w:val="Normal"/>
    <w:uiPriority w:val="34"/>
    <w:qFormat/>
    <w:rsid w:val="006A7A17"/>
    <w:pPr>
      <w:ind w:left="720"/>
      <w:contextualSpacing/>
    </w:pPr>
  </w:style>
  <w:style w:type="paragraph" w:customStyle="1" w:styleId="Normal24a">
    <w:name w:val="Normal24a"/>
    <w:basedOn w:val="Normal"/>
    <w:rsid w:val="006A7A17"/>
    <w:pPr>
      <w:spacing w:after="480"/>
    </w:pPr>
  </w:style>
  <w:style w:type="paragraph" w:customStyle="1" w:styleId="NormalBoldCenter">
    <w:name w:val="NormalBoldCenter"/>
    <w:basedOn w:val="Normal"/>
    <w:rsid w:val="006A7A17"/>
    <w:pPr>
      <w:jc w:val="center"/>
    </w:pPr>
    <w:rPr>
      <w:b/>
    </w:rPr>
  </w:style>
  <w:style w:type="paragraph" w:customStyle="1" w:styleId="Footprint12b">
    <w:name w:val="Footprint12b"/>
    <w:basedOn w:val="Normal"/>
    <w:rsid w:val="006A7A17"/>
    <w:pPr>
      <w:spacing w:before="240"/>
    </w:pPr>
    <w:rPr>
      <w:szCs w:val="24"/>
    </w:rPr>
  </w:style>
  <w:style w:type="paragraph" w:customStyle="1" w:styleId="NormalSingle">
    <w:name w:val="NormalSingle"/>
    <w:basedOn w:val="Normal"/>
    <w:qFormat/>
    <w:rsid w:val="006A7A17"/>
    <w:rPr>
      <w:szCs w:val="24"/>
    </w:rPr>
  </w:style>
  <w:style w:type="paragraph" w:styleId="Title">
    <w:name w:val="Title"/>
    <w:basedOn w:val="Normal"/>
    <w:next w:val="Normal"/>
    <w:link w:val="TitleChar"/>
    <w:uiPriority w:val="10"/>
    <w:qFormat/>
    <w:rsid w:val="006A7A1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A7A17"/>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6A7A1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A7A17"/>
    <w:rPr>
      <w:rFonts w:ascii="Arial" w:eastAsiaTheme="majorEastAsia" w:hAnsi="Arial" w:cs="Arial"/>
      <w:sz w:val="24"/>
      <w:szCs w:val="24"/>
      <w:lang w:val="sv-SE" w:eastAsia="en-US"/>
    </w:rPr>
  </w:style>
  <w:style w:type="character" w:styleId="Strong">
    <w:name w:val="Strong"/>
    <w:basedOn w:val="DefaultParagraphFont"/>
    <w:uiPriority w:val="22"/>
    <w:qFormat/>
    <w:rsid w:val="006A7A17"/>
    <w:rPr>
      <w:b/>
      <w:bCs/>
    </w:rPr>
  </w:style>
  <w:style w:type="character" w:styleId="Emphasis">
    <w:name w:val="Emphasis"/>
    <w:basedOn w:val="DefaultParagraphFont"/>
    <w:uiPriority w:val="20"/>
    <w:qFormat/>
    <w:rsid w:val="006A7A17"/>
    <w:rPr>
      <w:rFonts w:asciiTheme="minorHAnsi" w:hAnsiTheme="minorHAnsi"/>
      <w:b/>
      <w:i/>
      <w:iCs/>
    </w:rPr>
  </w:style>
  <w:style w:type="paragraph" w:styleId="NoSpacing">
    <w:name w:val="No Spacing"/>
    <w:basedOn w:val="Normal"/>
    <w:uiPriority w:val="1"/>
    <w:qFormat/>
    <w:rsid w:val="006A7A17"/>
    <w:pPr>
      <w:widowControl/>
      <w:jc w:val="both"/>
    </w:pPr>
    <w:rPr>
      <w:rFonts w:eastAsiaTheme="minorHAnsi"/>
      <w:szCs w:val="32"/>
      <w:lang w:eastAsia="en-US"/>
    </w:rPr>
  </w:style>
  <w:style w:type="paragraph" w:styleId="Quote">
    <w:name w:val="Quote"/>
    <w:basedOn w:val="Normal"/>
    <w:next w:val="Normal"/>
    <w:link w:val="QuoteChar"/>
    <w:uiPriority w:val="29"/>
    <w:qFormat/>
    <w:rsid w:val="006A7A1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A7A17"/>
    <w:rPr>
      <w:rFonts w:eastAsiaTheme="minorHAnsi"/>
      <w:i/>
      <w:sz w:val="24"/>
      <w:szCs w:val="24"/>
      <w:lang w:val="sv-SE" w:eastAsia="en-US"/>
    </w:rPr>
  </w:style>
  <w:style w:type="paragraph" w:styleId="IntenseQuote">
    <w:name w:val="Intense Quote"/>
    <w:basedOn w:val="Normal"/>
    <w:next w:val="Normal"/>
    <w:link w:val="IntenseQuoteChar"/>
    <w:uiPriority w:val="30"/>
    <w:qFormat/>
    <w:rsid w:val="006A7A1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A7A17"/>
    <w:rPr>
      <w:rFonts w:eastAsiaTheme="minorHAnsi"/>
      <w:b/>
      <w:i/>
      <w:sz w:val="24"/>
      <w:szCs w:val="22"/>
      <w:lang w:val="sv-SE" w:eastAsia="en-US"/>
    </w:rPr>
  </w:style>
  <w:style w:type="character" w:styleId="SubtleEmphasis">
    <w:name w:val="Subtle Emphasis"/>
    <w:uiPriority w:val="19"/>
    <w:qFormat/>
    <w:rsid w:val="006A7A17"/>
    <w:rPr>
      <w:i/>
      <w:color w:val="5A5A5A" w:themeColor="text1" w:themeTint="A5"/>
    </w:rPr>
  </w:style>
  <w:style w:type="character" w:styleId="IntenseEmphasis">
    <w:name w:val="Intense Emphasis"/>
    <w:basedOn w:val="DefaultParagraphFont"/>
    <w:uiPriority w:val="21"/>
    <w:qFormat/>
    <w:rsid w:val="006A7A17"/>
    <w:rPr>
      <w:b/>
      <w:i/>
      <w:sz w:val="24"/>
      <w:szCs w:val="24"/>
      <w:u w:val="single"/>
    </w:rPr>
  </w:style>
  <w:style w:type="character" w:styleId="SubtleReference">
    <w:name w:val="Subtle Reference"/>
    <w:basedOn w:val="DefaultParagraphFont"/>
    <w:uiPriority w:val="31"/>
    <w:qFormat/>
    <w:rsid w:val="006A7A17"/>
    <w:rPr>
      <w:sz w:val="24"/>
      <w:szCs w:val="24"/>
      <w:u w:val="single"/>
    </w:rPr>
  </w:style>
  <w:style w:type="character" w:styleId="IntenseReference">
    <w:name w:val="Intense Reference"/>
    <w:basedOn w:val="DefaultParagraphFont"/>
    <w:uiPriority w:val="32"/>
    <w:qFormat/>
    <w:rsid w:val="006A7A17"/>
    <w:rPr>
      <w:b/>
      <w:sz w:val="24"/>
      <w:u w:val="single"/>
    </w:rPr>
  </w:style>
  <w:style w:type="character" w:styleId="BookTitle">
    <w:name w:val="Book Title"/>
    <w:basedOn w:val="DefaultParagraphFont"/>
    <w:uiPriority w:val="33"/>
    <w:qFormat/>
    <w:rsid w:val="006A7A17"/>
    <w:rPr>
      <w:rFonts w:asciiTheme="majorHAnsi" w:eastAsiaTheme="majorEastAsia" w:hAnsiTheme="majorHAnsi"/>
      <w:b/>
      <w:i/>
      <w:sz w:val="24"/>
      <w:szCs w:val="24"/>
    </w:rPr>
  </w:style>
  <w:style w:type="paragraph" w:customStyle="1" w:styleId="TableTitle">
    <w:name w:val="Table Title"/>
    <w:basedOn w:val="Normal"/>
    <w:uiPriority w:val="99"/>
    <w:rsid w:val="006A7A17"/>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6A7A17"/>
    <w:pPr>
      <w:keepNext/>
      <w:widowControl/>
    </w:pPr>
    <w:rPr>
      <w:rFonts w:eastAsiaTheme="minorEastAsia"/>
      <w:sz w:val="18"/>
      <w:szCs w:val="18"/>
    </w:rPr>
  </w:style>
  <w:style w:type="paragraph" w:customStyle="1" w:styleId="NormalRight">
    <w:name w:val="Normal Right"/>
    <w:basedOn w:val="Normal"/>
    <w:next w:val="Normal"/>
    <w:uiPriority w:val="99"/>
    <w:rsid w:val="006A7A17"/>
    <w:pPr>
      <w:widowControl/>
      <w:spacing w:before="120" w:after="120"/>
      <w:jc w:val="right"/>
    </w:pPr>
    <w:rPr>
      <w:rFonts w:eastAsiaTheme="minorEastAsia"/>
      <w:szCs w:val="24"/>
    </w:rPr>
  </w:style>
  <w:style w:type="paragraph" w:customStyle="1" w:styleId="ReusedInfo">
    <w:name w:val="ReusedInfo"/>
    <w:next w:val="Normal"/>
    <w:uiPriority w:val="99"/>
    <w:rsid w:val="006A7A17"/>
    <w:pPr>
      <w:shd w:val="clear" w:color="auto" w:fill="C0C0C0"/>
      <w:spacing w:before="60" w:after="60"/>
    </w:pPr>
    <w:rPr>
      <w:rFonts w:eastAsiaTheme="minorEastAsia"/>
      <w:lang w:val="sv-SE"/>
    </w:rPr>
  </w:style>
  <w:style w:type="paragraph" w:customStyle="1" w:styleId="Section">
    <w:name w:val="Section"/>
    <w:basedOn w:val="Normal"/>
    <w:next w:val="Normal"/>
    <w:uiPriority w:val="99"/>
    <w:rsid w:val="006A7A17"/>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6A7A17"/>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6A7A17"/>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6A7A17"/>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6A7A17"/>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6A7A17"/>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6A7A17"/>
    <w:pPr>
      <w:keepNext/>
      <w:widowControl/>
      <w:spacing w:before="480" w:after="120"/>
    </w:pPr>
    <w:rPr>
      <w:rFonts w:eastAsiaTheme="minorEastAsia"/>
      <w:b/>
      <w:bCs/>
      <w:i/>
      <w:iCs/>
      <w:szCs w:val="24"/>
    </w:rPr>
  </w:style>
  <w:style w:type="paragraph" w:customStyle="1" w:styleId="Item">
    <w:name w:val="Item"/>
    <w:basedOn w:val="Normal"/>
    <w:next w:val="Normal"/>
    <w:uiPriority w:val="99"/>
    <w:rsid w:val="006A7A17"/>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6A7A17"/>
    <w:pPr>
      <w:keepNext/>
      <w:widowControl/>
      <w:spacing w:before="480" w:after="120"/>
    </w:pPr>
    <w:rPr>
      <w:rFonts w:eastAsiaTheme="minorEastAsia"/>
      <w:sz w:val="20"/>
    </w:rPr>
  </w:style>
  <w:style w:type="paragraph" w:customStyle="1" w:styleId="Annex">
    <w:name w:val="Annex"/>
    <w:basedOn w:val="Normal"/>
    <w:next w:val="Normal"/>
    <w:uiPriority w:val="99"/>
    <w:rsid w:val="006A7A17"/>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6A7A17"/>
    <w:pPr>
      <w:widowControl/>
      <w:spacing w:before="120" w:after="120"/>
    </w:pPr>
    <w:rPr>
      <w:rFonts w:eastAsiaTheme="minorEastAsia"/>
      <w:i/>
      <w:iCs/>
      <w:sz w:val="20"/>
    </w:rPr>
  </w:style>
  <w:style w:type="paragraph" w:customStyle="1" w:styleId="Objective">
    <w:name w:val="Objective"/>
    <w:basedOn w:val="Normal"/>
    <w:next w:val="Normal"/>
    <w:uiPriority w:val="99"/>
    <w:rsid w:val="006A7A17"/>
    <w:pPr>
      <w:keepNext/>
      <w:widowControl/>
      <w:spacing w:before="120" w:after="120"/>
    </w:pPr>
    <w:rPr>
      <w:rFonts w:eastAsiaTheme="minorEastAsia"/>
      <w:i/>
      <w:iCs/>
      <w:sz w:val="20"/>
    </w:rPr>
  </w:style>
  <w:style w:type="paragraph" w:customStyle="1" w:styleId="Figures">
    <w:name w:val="Figures"/>
    <w:basedOn w:val="Normal"/>
    <w:next w:val="Normal"/>
    <w:uiPriority w:val="99"/>
    <w:rsid w:val="006A7A17"/>
    <w:pPr>
      <w:keepNext/>
      <w:widowControl/>
      <w:spacing w:before="120" w:after="120"/>
    </w:pPr>
    <w:rPr>
      <w:rFonts w:eastAsiaTheme="minorEastAsia"/>
      <w:i/>
      <w:iCs/>
      <w:sz w:val="20"/>
    </w:rPr>
  </w:style>
  <w:style w:type="paragraph" w:customStyle="1" w:styleId="Remarks">
    <w:name w:val="Remarks"/>
    <w:basedOn w:val="Normal"/>
    <w:next w:val="Normal"/>
    <w:uiPriority w:val="99"/>
    <w:rsid w:val="006A7A17"/>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6A7A17"/>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6A7A17"/>
    <w:pPr>
      <w:keepNext/>
      <w:widowControl/>
      <w:spacing w:before="120" w:after="120"/>
    </w:pPr>
    <w:rPr>
      <w:rFonts w:eastAsiaTheme="minorEastAsia"/>
      <w:i/>
      <w:iCs/>
      <w:sz w:val="20"/>
    </w:rPr>
  </w:style>
  <w:style w:type="paragraph" w:customStyle="1" w:styleId="Reference">
    <w:name w:val="Reference"/>
    <w:basedOn w:val="Normal"/>
    <w:next w:val="Normal"/>
    <w:uiPriority w:val="99"/>
    <w:rsid w:val="006A7A17"/>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6A7A17"/>
  </w:style>
  <w:style w:type="character" w:customStyle="1" w:styleId="tw4winInternal">
    <w:name w:val="tw4winInternal"/>
    <w:basedOn w:val="DefaultParagraphFont"/>
    <w:uiPriority w:val="99"/>
    <w:rsid w:val="006A7A17"/>
    <w:rPr>
      <w:sz w:val="16"/>
      <w:szCs w:val="16"/>
      <w:u w:val="dash"/>
      <w:shd w:val="clear" w:color="auto" w:fill="FFFF00"/>
    </w:rPr>
  </w:style>
  <w:style w:type="character" w:customStyle="1" w:styleId="ReusedInlineInfo">
    <w:name w:val="ReusedInlineInfo"/>
    <w:basedOn w:val="DefaultParagraphFont"/>
    <w:uiPriority w:val="99"/>
    <w:rsid w:val="006A7A17"/>
    <w:rPr>
      <w:sz w:val="16"/>
      <w:szCs w:val="16"/>
      <w:u w:val="dash"/>
      <w:shd w:val="clear" w:color="auto" w:fill="FFFF00"/>
    </w:rPr>
  </w:style>
  <w:style w:type="character" w:customStyle="1" w:styleId="Error">
    <w:name w:val="Error"/>
    <w:basedOn w:val="DefaultParagraphFont"/>
    <w:uiPriority w:val="99"/>
    <w:rsid w:val="006A7A17"/>
    <w:rPr>
      <w:shd w:val="clear" w:color="auto" w:fill="FF0000"/>
    </w:rPr>
  </w:style>
  <w:style w:type="paragraph" w:styleId="BalloonText">
    <w:name w:val="Balloon Text"/>
    <w:basedOn w:val="Normal"/>
    <w:link w:val="BalloonTextChar"/>
    <w:uiPriority w:val="99"/>
    <w:unhideWhenUsed/>
    <w:rsid w:val="006A7A17"/>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6A7A17"/>
    <w:rPr>
      <w:rFonts w:ascii="Segoe UI" w:eastAsiaTheme="minorHAnsi" w:hAnsi="Segoe UI" w:cs="Segoe UI"/>
      <w:sz w:val="18"/>
      <w:szCs w:val="18"/>
      <w:lang w:val="sv-SE" w:eastAsia="en-US"/>
    </w:rPr>
  </w:style>
  <w:style w:type="numbering" w:customStyle="1" w:styleId="NoList1">
    <w:name w:val="No List1"/>
    <w:next w:val="NoList"/>
    <w:uiPriority w:val="99"/>
    <w:semiHidden/>
    <w:unhideWhenUsed/>
    <w:rsid w:val="006A7A17"/>
  </w:style>
  <w:style w:type="numbering" w:customStyle="1" w:styleId="NoList2">
    <w:name w:val="No List2"/>
    <w:next w:val="NoList"/>
    <w:uiPriority w:val="99"/>
    <w:semiHidden/>
    <w:unhideWhenUsed/>
    <w:rsid w:val="006A7A17"/>
  </w:style>
  <w:style w:type="paragraph" w:customStyle="1" w:styleId="RollCallVotes">
    <w:name w:val="RollCallVotes"/>
    <w:basedOn w:val="Normal"/>
    <w:rsid w:val="006A7A17"/>
    <w:pPr>
      <w:spacing w:before="120" w:after="120"/>
      <w:jc w:val="center"/>
    </w:pPr>
    <w:rPr>
      <w:b/>
      <w:bCs/>
      <w:snapToGrid w:val="0"/>
      <w:sz w:val="16"/>
      <w:lang w:eastAsia="en-US"/>
    </w:rPr>
  </w:style>
  <w:style w:type="paragraph" w:customStyle="1" w:styleId="RollCallTabs">
    <w:name w:val="RollCallTabs"/>
    <w:basedOn w:val="Normal"/>
    <w:qFormat/>
    <w:rsid w:val="006A7A17"/>
    <w:pPr>
      <w:tabs>
        <w:tab w:val="center" w:pos="284"/>
        <w:tab w:val="left" w:pos="426"/>
      </w:tabs>
    </w:pPr>
    <w:rPr>
      <w:snapToGrid w:val="0"/>
      <w:lang w:eastAsia="en-US"/>
    </w:rPr>
  </w:style>
  <w:style w:type="paragraph" w:customStyle="1" w:styleId="RollCallSymbols14pt">
    <w:name w:val="RollCallSymbols14pt"/>
    <w:basedOn w:val="Normal"/>
    <w:rsid w:val="006A7A17"/>
    <w:pPr>
      <w:spacing w:before="120" w:after="120"/>
      <w:jc w:val="center"/>
    </w:pPr>
    <w:rPr>
      <w:rFonts w:ascii="Arial" w:hAnsi="Arial"/>
      <w:b/>
      <w:bCs/>
      <w:snapToGrid w:val="0"/>
      <w:sz w:val="28"/>
      <w:lang w:eastAsia="en-US"/>
    </w:rPr>
  </w:style>
  <w:style w:type="paragraph" w:customStyle="1" w:styleId="RollCallTable">
    <w:name w:val="RollCallTable"/>
    <w:basedOn w:val="Normal"/>
    <w:rsid w:val="006A7A1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3868</Words>
  <Characters>25270</Characters>
  <Application>Microsoft Office Word</Application>
  <DocSecurity>0</DocSecurity>
  <Lines>210</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2026-07-06T09:30:00Z</dcterms:created>
  <dcterms:modified xsi:type="dcterms:W3CDTF">2026-07-06T09:30:00Z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P10_TA(2026)0155_</vt:lpwstr>
  </property>
  <property fmtid="{D5CDD505-2E9C-101B-9397-08002B2CF9AE}" pid="4" name="&lt;Type&gt;">
    <vt:lpwstr>RR</vt:lpwstr>
  </property>
</Properties>
</file>