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31D4" w14:paraId="0E7C739F" w14:textId="77777777" w:rsidTr="0010095E">
        <w:trPr>
          <w:trHeight w:hRule="exact" w:val="1418"/>
        </w:trPr>
        <w:tc>
          <w:tcPr>
            <w:tcW w:w="6804" w:type="dxa"/>
            <w:shd w:val="clear" w:color="auto" w:fill="auto"/>
            <w:vAlign w:val="center"/>
          </w:tcPr>
          <w:p w14:paraId="06F4C4A0" w14:textId="4E37BB4B" w:rsidR="00751A4A" w:rsidRPr="00E731D4" w:rsidRDefault="008F3111" w:rsidP="0010095E">
            <w:pPr>
              <w:pStyle w:val="EPName"/>
            </w:pPr>
            <w:r w:rsidRPr="00E731D4">
              <w:t>Европейски</w:t>
            </w:r>
            <w:r w:rsidR="002B5EDD" w:rsidRPr="00E731D4">
              <w:t xml:space="preserve"> парламент</w:t>
            </w:r>
          </w:p>
          <w:p w14:paraId="7727CF51" w14:textId="4688D7F5" w:rsidR="00751A4A" w:rsidRPr="00E731D4" w:rsidRDefault="005F1B17" w:rsidP="005F1B17">
            <w:pPr>
              <w:pStyle w:val="EPTerm"/>
              <w:rPr>
                <w:rStyle w:val="HideTWBExt"/>
                <w:noProof w:val="0"/>
                <w:vanish w:val="0"/>
                <w:color w:val="auto"/>
              </w:rPr>
            </w:pPr>
            <w:r w:rsidRPr="00E731D4">
              <w:t>2024</w:t>
            </w:r>
            <w:r w:rsidR="008F3111">
              <w:t> – </w:t>
            </w:r>
            <w:r w:rsidR="00817416" w:rsidRPr="00E731D4">
              <w:t>202</w:t>
            </w:r>
            <w:r w:rsidRPr="00E731D4">
              <w:t>9</w:t>
            </w:r>
          </w:p>
        </w:tc>
        <w:tc>
          <w:tcPr>
            <w:tcW w:w="2268" w:type="dxa"/>
            <w:shd w:val="clear" w:color="auto" w:fill="auto"/>
          </w:tcPr>
          <w:p w14:paraId="4D49422C" w14:textId="77777777" w:rsidR="00751A4A" w:rsidRPr="00E731D4" w:rsidRDefault="00187494" w:rsidP="0010095E">
            <w:pPr>
              <w:pStyle w:val="EPLogo"/>
            </w:pPr>
            <w:r w:rsidRPr="00E731D4">
              <w:rPr>
                <w:noProof/>
                <w:lang w:eastAsia="ja-JP"/>
              </w:rPr>
              <w:drawing>
                <wp:inline distT="0" distB="0" distL="0" distR="0" wp14:anchorId="6A0DCE76" wp14:editId="2EB66D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6C41E0" w14:textId="77777777" w:rsidR="00D058B8" w:rsidRPr="00E731D4" w:rsidRDefault="00D058B8" w:rsidP="004C5D52">
      <w:pPr>
        <w:pStyle w:val="LineTop"/>
      </w:pPr>
    </w:p>
    <w:p w14:paraId="6F28012B" w14:textId="7635B107" w:rsidR="00680577" w:rsidRPr="00E731D4" w:rsidRDefault="002B5EDD" w:rsidP="00680577">
      <w:pPr>
        <w:pStyle w:val="EPBodyTA1"/>
      </w:pPr>
      <w:r w:rsidRPr="00E731D4">
        <w:t>ПРИЕТИ ТЕКСТОВЕ</w:t>
      </w:r>
    </w:p>
    <w:p w14:paraId="6CC1C3CE" w14:textId="77777777" w:rsidR="00D058B8" w:rsidRPr="00E731D4" w:rsidRDefault="00D058B8" w:rsidP="00D058B8">
      <w:pPr>
        <w:pStyle w:val="LineBottom"/>
      </w:pPr>
    </w:p>
    <w:p w14:paraId="300210A4" w14:textId="4C6F0F6A" w:rsidR="002B5EDD" w:rsidRPr="00E731D4" w:rsidRDefault="002B5EDD" w:rsidP="002B5EDD">
      <w:pPr>
        <w:pStyle w:val="ATHeading1"/>
      </w:pPr>
      <w:bookmarkStart w:id="0" w:name="TANumber"/>
      <w:r w:rsidRPr="00E731D4">
        <w:t>P10_TA(2026)0</w:t>
      </w:r>
      <w:r w:rsidR="0024462B">
        <w:t>156</w:t>
      </w:r>
      <w:bookmarkEnd w:id="0"/>
    </w:p>
    <w:p w14:paraId="28B8498B" w14:textId="77777777" w:rsidR="002B5EDD" w:rsidRPr="00E731D4" w:rsidRDefault="002B5EDD" w:rsidP="002B5EDD">
      <w:pPr>
        <w:pStyle w:val="ATHeading2"/>
      </w:pPr>
      <w:bookmarkStart w:id="1" w:name="title"/>
      <w:r w:rsidRPr="00E731D4">
        <w:t xml:space="preserve">Финансовата грамотност и растящата популярност на финансовите </w:t>
      </w:r>
      <w:proofErr w:type="spellStart"/>
      <w:r w:rsidRPr="00E731D4">
        <w:t>инфлуенсъри</w:t>
      </w:r>
      <w:proofErr w:type="spellEnd"/>
      <w:r w:rsidRPr="00E731D4">
        <w:t xml:space="preserve"> в контекста на съюза на спестяванията и инвестициите</w:t>
      </w:r>
      <w:bookmarkEnd w:id="1"/>
    </w:p>
    <w:p w14:paraId="5C7129CD" w14:textId="77777777" w:rsidR="002B5EDD" w:rsidRPr="00E731D4" w:rsidRDefault="002B5EDD" w:rsidP="002B5EDD">
      <w:pPr>
        <w:rPr>
          <w:i/>
          <w:vanish/>
        </w:rPr>
      </w:pPr>
      <w:r w:rsidRPr="00E731D4">
        <w:rPr>
          <w:i/>
        </w:rPr>
        <w:fldChar w:fldCharType="begin"/>
      </w:r>
      <w:r w:rsidRPr="00E731D4">
        <w:rPr>
          <w:i/>
        </w:rPr>
        <w:instrText xml:space="preserve"> TC"(</w:instrText>
      </w:r>
      <w:bookmarkStart w:id="2" w:name="DocNumber"/>
      <w:r w:rsidRPr="00E731D4">
        <w:rPr>
          <w:i/>
        </w:rPr>
        <w:instrText>A10-0082/2026</w:instrText>
      </w:r>
      <w:bookmarkEnd w:id="2"/>
      <w:r w:rsidRPr="00E731D4">
        <w:rPr>
          <w:i/>
        </w:rPr>
        <w:instrText xml:space="preserve"> - Докладчик: Лидия Перейра)"\l3 \n&gt; \* MERGEFORMAT </w:instrText>
      </w:r>
      <w:r w:rsidRPr="00E731D4">
        <w:rPr>
          <w:i/>
        </w:rPr>
        <w:fldChar w:fldCharType="end"/>
      </w:r>
    </w:p>
    <w:p w14:paraId="0B0A6449" w14:textId="77777777" w:rsidR="002B5EDD" w:rsidRPr="00E731D4" w:rsidRDefault="002B5EDD" w:rsidP="002B5EDD">
      <w:pPr>
        <w:rPr>
          <w:vanish/>
        </w:rPr>
      </w:pPr>
      <w:bookmarkStart w:id="3" w:name="Commission"/>
      <w:r w:rsidRPr="00E731D4">
        <w:rPr>
          <w:vanish/>
        </w:rPr>
        <w:t>Комисия по икономически и парични въпроси</w:t>
      </w:r>
      <w:bookmarkEnd w:id="3"/>
    </w:p>
    <w:p w14:paraId="44ABEA02" w14:textId="77777777" w:rsidR="002B5EDD" w:rsidRPr="00E731D4" w:rsidRDefault="002B5EDD" w:rsidP="002B5EDD">
      <w:pPr>
        <w:rPr>
          <w:vanish/>
        </w:rPr>
      </w:pPr>
      <w:bookmarkStart w:id="4" w:name="PE"/>
      <w:r w:rsidRPr="00E731D4">
        <w:rPr>
          <w:vanish/>
        </w:rPr>
        <w:t>PE779.350</w:t>
      </w:r>
      <w:bookmarkEnd w:id="4"/>
    </w:p>
    <w:p w14:paraId="7D23D0C8" w14:textId="553F80CA" w:rsidR="002B5EDD" w:rsidRPr="00E731D4" w:rsidRDefault="002B5EDD" w:rsidP="002B5EDD">
      <w:pPr>
        <w:pStyle w:val="ATHeading3"/>
      </w:pPr>
      <w:bookmarkStart w:id="5" w:name="Sujet"/>
      <w:r w:rsidRPr="00E731D4">
        <w:t xml:space="preserve">Резолюция на Европейския парламент от </w:t>
      </w:r>
      <w:r w:rsidR="008F3111">
        <w:t>30 април</w:t>
      </w:r>
      <w:r w:rsidRPr="00E731D4">
        <w:t xml:space="preserve"> 2026 г. относно финансовата грамотност и растящата популярност на финансовите </w:t>
      </w:r>
      <w:proofErr w:type="spellStart"/>
      <w:r w:rsidRPr="00E731D4">
        <w:t>инфлуенсъри</w:t>
      </w:r>
      <w:proofErr w:type="spellEnd"/>
      <w:r w:rsidRPr="00E731D4">
        <w:t xml:space="preserve"> в контекста на съюза на спестяванията и инвестициите</w:t>
      </w:r>
      <w:bookmarkEnd w:id="5"/>
      <w:r w:rsidRPr="00E731D4">
        <w:t xml:space="preserve"> </w:t>
      </w:r>
      <w:bookmarkStart w:id="6" w:name="References"/>
      <w:r w:rsidRPr="00E731D4">
        <w:t>(2025/2209(INI))</w:t>
      </w:r>
      <w:bookmarkEnd w:id="6"/>
    </w:p>
    <w:p w14:paraId="5E571594" w14:textId="77777777" w:rsidR="00D77F5B" w:rsidRPr="00E731D4" w:rsidRDefault="00D77F5B" w:rsidP="00D77F5B">
      <w:pPr>
        <w:pStyle w:val="Normal12"/>
      </w:pPr>
      <w:r w:rsidRPr="00E731D4">
        <w:rPr>
          <w:i/>
        </w:rPr>
        <w:t>Европейският парламент</w:t>
      </w:r>
      <w:r w:rsidRPr="00E731D4">
        <w:t>,</w:t>
      </w:r>
    </w:p>
    <w:p w14:paraId="4DE3BB69" w14:textId="77777777" w:rsidR="00D77F5B" w:rsidRPr="00E731D4" w:rsidRDefault="00D77F5B" w:rsidP="00D77F5B">
      <w:pPr>
        <w:pStyle w:val="NormalHanging"/>
      </w:pPr>
      <w:r w:rsidRPr="00E731D4">
        <w:t>–</w:t>
      </w:r>
      <w:r w:rsidRPr="00E731D4">
        <w:tab/>
        <w:t>като взе предвид публикувания на 8 юли 2017 г. доклад на Г-20/Организацията за икономическо сътрудничество и развитие - Международна мрежа за финансово образование (ОИСР-ММФО) относно финансовата грамотност на възрастните лица в държавите от Г-20,</w:t>
      </w:r>
    </w:p>
    <w:p w14:paraId="34999385" w14:textId="499E7B1D" w:rsidR="00D77F5B" w:rsidRPr="00E731D4" w:rsidRDefault="00D77F5B" w:rsidP="00D77F5B">
      <w:pPr>
        <w:pStyle w:val="NormalHanging"/>
      </w:pPr>
      <w:r w:rsidRPr="00E731D4">
        <w:t>–</w:t>
      </w:r>
      <w:r w:rsidRPr="00E731D4">
        <w:tab/>
        <w:t>като взе предвид Директива (ЕС) 2018/1808 на Европейския парламент и на Съвета от 14 ноември 2018 г. за изменение на Директива 2010/13/ЕС за координирането на някои разпоредби, установени в закони, подзаконови и административни актове на държавите членки, отнасящи се до предоставянето на аудиовизуални медийни услуги (Директива за аудиовизуалните медийни услуги), предвид променящите се пазарни условия</w:t>
      </w:r>
      <w:r w:rsidR="008F3111">
        <w:rPr>
          <w:rStyle w:val="FootnoteReference"/>
        </w:rPr>
        <w:footnoteReference w:id="1"/>
      </w:r>
      <w:r w:rsidRPr="00E731D4">
        <w:t>,</w:t>
      </w:r>
    </w:p>
    <w:p w14:paraId="02BD3022" w14:textId="77777777" w:rsidR="00D77F5B" w:rsidRPr="00E731D4" w:rsidRDefault="00D77F5B" w:rsidP="00D77F5B">
      <w:pPr>
        <w:pStyle w:val="NormalHanging"/>
      </w:pPr>
      <w:r w:rsidRPr="00E731D4">
        <w:t>–</w:t>
      </w:r>
      <w:r w:rsidRPr="00E731D4">
        <w:tab/>
        <w:t>като взе предвид Рамката на ЕС/ОИСР за финансова компетентност за възрастни в Европейския съюз, публикувана на 11 януари 2022 г.,</w:t>
      </w:r>
    </w:p>
    <w:p w14:paraId="2EEC4186" w14:textId="7A306DE3" w:rsidR="00D77F5B" w:rsidRPr="00E731D4" w:rsidRDefault="00D77F5B" w:rsidP="00D77F5B">
      <w:pPr>
        <w:pStyle w:val="NormalHanging"/>
      </w:pPr>
      <w:r w:rsidRPr="00E731D4">
        <w:t>–</w:t>
      </w:r>
      <w:r w:rsidRPr="00E731D4">
        <w:tab/>
        <w:t>като взе предвид 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w:t>
      </w:r>
      <w:r w:rsidR="008F3111">
        <w:rPr>
          <w:rStyle w:val="FootnoteReference"/>
        </w:rPr>
        <w:footnoteReference w:id="2"/>
      </w:r>
      <w:r w:rsidRPr="00E731D4">
        <w:t>;</w:t>
      </w:r>
    </w:p>
    <w:p w14:paraId="389A7BDD" w14:textId="77777777" w:rsidR="00D77F5B" w:rsidRPr="00E731D4" w:rsidRDefault="00D77F5B" w:rsidP="00D77F5B">
      <w:pPr>
        <w:pStyle w:val="NormalHanging"/>
      </w:pPr>
      <w:r w:rsidRPr="00E731D4">
        <w:t>–</w:t>
      </w:r>
      <w:r w:rsidRPr="00E731D4">
        <w:tab/>
        <w:t>като взе предвид публикувания на 12 януари 2023 г. тематичен доклад на Съвместния комитет на европейските надзорни органи относно националните инициативи за финансово образование в областта на цифровизацията, с акцент върху киберсигурността, машинациите и измамите,</w:t>
      </w:r>
    </w:p>
    <w:p w14:paraId="198E9106" w14:textId="77777777" w:rsidR="00D77F5B" w:rsidRPr="00E731D4" w:rsidRDefault="00D77F5B" w:rsidP="00D77F5B">
      <w:pPr>
        <w:pStyle w:val="NormalHanging"/>
      </w:pPr>
      <w:r w:rsidRPr="00E731D4">
        <w:t>–</w:t>
      </w:r>
      <w:r w:rsidRPr="00E731D4">
        <w:tab/>
        <w:t xml:space="preserve">като взе предвид документа на аналитичния център </w:t>
      </w:r>
      <w:proofErr w:type="spellStart"/>
      <w:r w:rsidRPr="00E731D4">
        <w:t>Bruegel</w:t>
      </w:r>
      <w:proofErr w:type="spellEnd"/>
      <w:r w:rsidRPr="00E731D4">
        <w:t xml:space="preserve"> (Брьогел), озаглавен The </w:t>
      </w:r>
      <w:proofErr w:type="spellStart"/>
      <w:r w:rsidRPr="00E731D4">
        <w:t>state</w:t>
      </w:r>
      <w:proofErr w:type="spellEnd"/>
      <w:r w:rsidRPr="00E731D4">
        <w:t xml:space="preserve"> of </w:t>
      </w:r>
      <w:proofErr w:type="spellStart"/>
      <w:r w:rsidRPr="00E731D4">
        <w:t>financial</w:t>
      </w:r>
      <w:proofErr w:type="spellEnd"/>
      <w:r w:rsidRPr="00E731D4">
        <w:t xml:space="preserve"> </w:t>
      </w:r>
      <w:proofErr w:type="spellStart"/>
      <w:r w:rsidRPr="00E731D4">
        <w:t>knowledge</w:t>
      </w:r>
      <w:proofErr w:type="spellEnd"/>
      <w:r w:rsidRPr="00E731D4">
        <w:t xml:space="preserve"> </w:t>
      </w:r>
      <w:proofErr w:type="spellStart"/>
      <w:r w:rsidRPr="00E731D4">
        <w:t>in</w:t>
      </w:r>
      <w:proofErr w:type="spellEnd"/>
      <w:r w:rsidRPr="00E731D4">
        <w:t xml:space="preserve"> </w:t>
      </w:r>
      <w:proofErr w:type="spellStart"/>
      <w:r w:rsidRPr="00E731D4">
        <w:t>the</w:t>
      </w:r>
      <w:proofErr w:type="spellEnd"/>
      <w:r w:rsidRPr="00E731D4">
        <w:t xml:space="preserve"> European </w:t>
      </w:r>
      <w:proofErr w:type="spellStart"/>
      <w:r w:rsidRPr="00E731D4">
        <w:t>Union</w:t>
      </w:r>
      <w:proofErr w:type="spellEnd"/>
      <w:r w:rsidRPr="00E731D4">
        <w:t xml:space="preserve"> (Състоянието на финансовите познания в Европейския съюз), публикуван през февруари 2024 г.,</w:t>
      </w:r>
    </w:p>
    <w:p w14:paraId="0D5E4E74" w14:textId="77777777" w:rsidR="00D77F5B" w:rsidRPr="00E731D4" w:rsidRDefault="00D77F5B" w:rsidP="00D77F5B">
      <w:pPr>
        <w:pStyle w:val="NormalHanging"/>
      </w:pPr>
      <w:r w:rsidRPr="00E731D4">
        <w:lastRenderedPageBreak/>
        <w:t>–</w:t>
      </w:r>
      <w:r w:rsidRPr="00E731D4">
        <w:tab/>
        <w:t>като взе предвид публикуваното през юли 2023 г. експресно проучване на Комисията Евробарометър № 525 относно наблюдението на равнището на финансова грамотност в ЕС,</w:t>
      </w:r>
    </w:p>
    <w:p w14:paraId="75F45F40" w14:textId="77777777" w:rsidR="00D77F5B" w:rsidRPr="00E731D4" w:rsidRDefault="00D77F5B" w:rsidP="00D77F5B">
      <w:pPr>
        <w:pStyle w:val="NormalHanging"/>
      </w:pPr>
      <w:r w:rsidRPr="00E731D4">
        <w:t>–</w:t>
      </w:r>
      <w:r w:rsidRPr="00E731D4">
        <w:tab/>
        <w:t>като взе предвид публикуваната на 2 октомври 2023 г. рамка на ЕС/ОИСР за финансова компетентност за деца и млади хора в Европейския съюз,</w:t>
      </w:r>
    </w:p>
    <w:p w14:paraId="3AF71369" w14:textId="77777777" w:rsidR="00D77F5B" w:rsidRPr="00E731D4" w:rsidRDefault="00D77F5B" w:rsidP="00D77F5B">
      <w:pPr>
        <w:pStyle w:val="NormalHanging"/>
      </w:pPr>
      <w:r w:rsidRPr="00E731D4">
        <w:t>–</w:t>
      </w:r>
      <w:r w:rsidRPr="00E731D4">
        <w:tab/>
        <w:t xml:space="preserve">като взе предвид документа, публикуван от Европейския орган за ценни книжа и пазари на 6 февруари 2024 г. и озаглавен </w:t>
      </w:r>
      <w:proofErr w:type="spellStart"/>
      <w:r w:rsidRPr="00E731D4">
        <w:t>Warning</w:t>
      </w:r>
      <w:proofErr w:type="spellEnd"/>
      <w:r w:rsidRPr="00E731D4">
        <w:t xml:space="preserve"> – </w:t>
      </w:r>
      <w:proofErr w:type="spellStart"/>
      <w:r w:rsidRPr="00E731D4">
        <w:t>For</w:t>
      </w:r>
      <w:proofErr w:type="spellEnd"/>
      <w:r w:rsidRPr="00E731D4">
        <w:t xml:space="preserve"> </w:t>
      </w:r>
      <w:proofErr w:type="spellStart"/>
      <w:r w:rsidRPr="00E731D4">
        <w:t>people</w:t>
      </w:r>
      <w:proofErr w:type="spellEnd"/>
      <w:r w:rsidRPr="00E731D4">
        <w:t xml:space="preserve"> </w:t>
      </w:r>
      <w:proofErr w:type="spellStart"/>
      <w:r w:rsidRPr="00E731D4">
        <w:t>posting</w:t>
      </w:r>
      <w:proofErr w:type="spellEnd"/>
      <w:r w:rsidRPr="00E731D4">
        <w:t xml:space="preserve"> </w:t>
      </w:r>
      <w:proofErr w:type="spellStart"/>
      <w:r w:rsidRPr="00E731D4">
        <w:t>Investment</w:t>
      </w:r>
      <w:proofErr w:type="spellEnd"/>
      <w:r w:rsidRPr="00E731D4">
        <w:t xml:space="preserve"> </w:t>
      </w:r>
      <w:proofErr w:type="spellStart"/>
      <w:r w:rsidRPr="00E731D4">
        <w:t>Recommendation</w:t>
      </w:r>
      <w:proofErr w:type="spellEnd"/>
      <w:r w:rsidRPr="00E731D4">
        <w:t xml:space="preserve"> </w:t>
      </w:r>
      <w:proofErr w:type="spellStart"/>
      <w:r w:rsidRPr="00E731D4">
        <w:t>on</w:t>
      </w:r>
      <w:proofErr w:type="spellEnd"/>
      <w:r w:rsidRPr="00E731D4">
        <w:t xml:space="preserve"> </w:t>
      </w:r>
      <w:proofErr w:type="spellStart"/>
      <w:r w:rsidRPr="00E731D4">
        <w:t>social</w:t>
      </w:r>
      <w:proofErr w:type="spellEnd"/>
      <w:r w:rsidRPr="00E731D4">
        <w:t xml:space="preserve"> </w:t>
      </w:r>
      <w:proofErr w:type="spellStart"/>
      <w:r w:rsidRPr="00E731D4">
        <w:t>media</w:t>
      </w:r>
      <w:proofErr w:type="spellEnd"/>
      <w:r w:rsidRPr="00E731D4">
        <w:t xml:space="preserve"> (Предупреждение – за хората, публикуващи инвестиционна препоръка в социалните медии),</w:t>
      </w:r>
    </w:p>
    <w:p w14:paraId="33B0720C" w14:textId="77777777" w:rsidR="00D77F5B" w:rsidRPr="00E731D4" w:rsidRDefault="00D77F5B" w:rsidP="00D77F5B">
      <w:pPr>
        <w:pStyle w:val="NormalHanging"/>
      </w:pPr>
      <w:r w:rsidRPr="00E731D4">
        <w:t>–</w:t>
      </w:r>
      <w:r w:rsidRPr="00E731D4">
        <w:tab/>
        <w:t>като взе предвид заключенията на Съвета от 14 май 2024 г. относно финансовата грамотност,</w:t>
      </w:r>
    </w:p>
    <w:p w14:paraId="1313F41A" w14:textId="77777777" w:rsidR="00D77F5B" w:rsidRPr="00E731D4" w:rsidRDefault="00D77F5B" w:rsidP="00D77F5B">
      <w:pPr>
        <w:pStyle w:val="NormalHanging"/>
      </w:pPr>
      <w:r w:rsidRPr="00E731D4">
        <w:t>–</w:t>
      </w:r>
      <w:r w:rsidRPr="00E731D4">
        <w:tab/>
        <w:t xml:space="preserve">като взе предвид доклада на ОИСР от 27 юни 2024 г., озаглавен PISA 2022 </w:t>
      </w:r>
      <w:proofErr w:type="spellStart"/>
      <w:r w:rsidRPr="00E731D4">
        <w:t>Results</w:t>
      </w:r>
      <w:proofErr w:type="spellEnd"/>
      <w:r w:rsidRPr="00E731D4">
        <w:t xml:space="preserve"> (</w:t>
      </w:r>
      <w:proofErr w:type="spellStart"/>
      <w:r w:rsidRPr="00E731D4">
        <w:t>Volume</w:t>
      </w:r>
      <w:proofErr w:type="spellEnd"/>
      <w:r w:rsidRPr="00E731D4">
        <w:t xml:space="preserve"> IV): </w:t>
      </w:r>
      <w:proofErr w:type="spellStart"/>
      <w:r w:rsidRPr="00E731D4">
        <w:t>How</w:t>
      </w:r>
      <w:proofErr w:type="spellEnd"/>
      <w:r w:rsidRPr="00E731D4">
        <w:t xml:space="preserve"> </w:t>
      </w:r>
      <w:proofErr w:type="spellStart"/>
      <w:r w:rsidRPr="00E731D4">
        <w:t>Financially</w:t>
      </w:r>
      <w:proofErr w:type="spellEnd"/>
      <w:r w:rsidRPr="00E731D4">
        <w:t xml:space="preserve"> </w:t>
      </w:r>
      <w:proofErr w:type="spellStart"/>
      <w:r w:rsidRPr="00E731D4">
        <w:t>Smart</w:t>
      </w:r>
      <w:proofErr w:type="spellEnd"/>
      <w:r w:rsidRPr="00E731D4">
        <w:t xml:space="preserve"> </w:t>
      </w:r>
      <w:proofErr w:type="spellStart"/>
      <w:r w:rsidRPr="00E731D4">
        <w:t>Are</w:t>
      </w:r>
      <w:proofErr w:type="spellEnd"/>
      <w:r w:rsidRPr="00E731D4">
        <w:t xml:space="preserve"> </w:t>
      </w:r>
      <w:proofErr w:type="spellStart"/>
      <w:r w:rsidRPr="00E731D4">
        <w:t>Students</w:t>
      </w:r>
      <w:proofErr w:type="spellEnd"/>
      <w:r w:rsidRPr="00E731D4">
        <w:t>? (Резултати от PISA за 2022 г. (том IV): Колко финансово интелигентни са учениците?),</w:t>
      </w:r>
    </w:p>
    <w:p w14:paraId="7F8856B1" w14:textId="77777777" w:rsidR="00D77F5B" w:rsidRPr="00E731D4" w:rsidRDefault="00D77F5B" w:rsidP="00D77F5B">
      <w:pPr>
        <w:pStyle w:val="NormalHanging"/>
      </w:pPr>
      <w:r w:rsidRPr="00E731D4">
        <w:t>–</w:t>
      </w:r>
      <w:r w:rsidRPr="00E731D4">
        <w:tab/>
        <w:t xml:space="preserve">като взе предвид окончателните доклади от май 2025 г. на Съвета на Международната организация на комисиите по ценни книжа (IOSCO), озаглавени </w:t>
      </w:r>
      <w:proofErr w:type="spellStart"/>
      <w:r w:rsidRPr="00E731D4">
        <w:t>Finfluencers</w:t>
      </w:r>
      <w:proofErr w:type="spellEnd"/>
      <w:r w:rsidRPr="00E731D4">
        <w:t xml:space="preserve"> (Финансови </w:t>
      </w:r>
      <w:proofErr w:type="spellStart"/>
      <w:r w:rsidRPr="00E731D4">
        <w:t>инфлуенсъри</w:t>
      </w:r>
      <w:proofErr w:type="spellEnd"/>
      <w:r w:rsidRPr="00E731D4">
        <w:t xml:space="preserve">), </w:t>
      </w:r>
      <w:proofErr w:type="spellStart"/>
      <w:r w:rsidRPr="00E731D4">
        <w:t>Online</w:t>
      </w:r>
      <w:proofErr w:type="spellEnd"/>
      <w:r w:rsidRPr="00E731D4">
        <w:t xml:space="preserve"> </w:t>
      </w:r>
      <w:proofErr w:type="spellStart"/>
      <w:r w:rsidRPr="00E731D4">
        <w:t>Imitative</w:t>
      </w:r>
      <w:proofErr w:type="spellEnd"/>
      <w:r w:rsidRPr="00E731D4">
        <w:t xml:space="preserve"> </w:t>
      </w:r>
      <w:proofErr w:type="spellStart"/>
      <w:r w:rsidRPr="00E731D4">
        <w:t>Trading</w:t>
      </w:r>
      <w:proofErr w:type="spellEnd"/>
      <w:r w:rsidRPr="00E731D4">
        <w:t xml:space="preserve"> </w:t>
      </w:r>
      <w:proofErr w:type="spellStart"/>
      <w:r w:rsidRPr="00E731D4">
        <w:t>Practices</w:t>
      </w:r>
      <w:proofErr w:type="spellEnd"/>
      <w:r w:rsidRPr="00E731D4">
        <w:t xml:space="preserve">: </w:t>
      </w:r>
      <w:proofErr w:type="spellStart"/>
      <w:r w:rsidRPr="00E731D4">
        <w:t>Copy</w:t>
      </w:r>
      <w:proofErr w:type="spellEnd"/>
      <w:r w:rsidRPr="00E731D4">
        <w:t xml:space="preserve"> </w:t>
      </w:r>
      <w:proofErr w:type="spellStart"/>
      <w:r w:rsidRPr="00E731D4">
        <w:t>Trading</w:t>
      </w:r>
      <w:proofErr w:type="spellEnd"/>
      <w:r w:rsidRPr="00E731D4">
        <w:t xml:space="preserve">, </w:t>
      </w:r>
      <w:proofErr w:type="spellStart"/>
      <w:r w:rsidRPr="00E731D4">
        <w:t>Mirror</w:t>
      </w:r>
      <w:proofErr w:type="spellEnd"/>
      <w:r w:rsidRPr="00E731D4">
        <w:t xml:space="preserve"> </w:t>
      </w:r>
      <w:proofErr w:type="spellStart"/>
      <w:r w:rsidRPr="00E731D4">
        <w:t>Trading</w:t>
      </w:r>
      <w:proofErr w:type="spellEnd"/>
      <w:r w:rsidRPr="00E731D4">
        <w:t xml:space="preserve">, </w:t>
      </w:r>
      <w:proofErr w:type="spellStart"/>
      <w:r w:rsidRPr="00E731D4">
        <w:t>Social</w:t>
      </w:r>
      <w:proofErr w:type="spellEnd"/>
      <w:r w:rsidRPr="00E731D4">
        <w:t xml:space="preserve"> </w:t>
      </w:r>
      <w:proofErr w:type="spellStart"/>
      <w:r w:rsidRPr="00E731D4">
        <w:t>Trading</w:t>
      </w:r>
      <w:proofErr w:type="spellEnd"/>
      <w:r w:rsidRPr="00E731D4">
        <w:t xml:space="preserve"> (Имитиращи търговски практики онлайн – копиране, инверсия и социален трейдинг) и </w:t>
      </w:r>
      <w:proofErr w:type="spellStart"/>
      <w:r w:rsidRPr="00E731D4">
        <w:t>Digital</w:t>
      </w:r>
      <w:proofErr w:type="spellEnd"/>
      <w:r w:rsidRPr="00E731D4">
        <w:t xml:space="preserve"> </w:t>
      </w:r>
      <w:proofErr w:type="spellStart"/>
      <w:r w:rsidRPr="00E731D4">
        <w:t>Engagement</w:t>
      </w:r>
      <w:proofErr w:type="spellEnd"/>
      <w:r w:rsidRPr="00E731D4">
        <w:t xml:space="preserve"> </w:t>
      </w:r>
      <w:proofErr w:type="spellStart"/>
      <w:r w:rsidRPr="00E731D4">
        <w:t>Practices</w:t>
      </w:r>
      <w:proofErr w:type="spellEnd"/>
      <w:r w:rsidRPr="00E731D4">
        <w:t xml:space="preserve"> (Практики за цифрово ангажиране),</w:t>
      </w:r>
    </w:p>
    <w:p w14:paraId="2C72CEEB" w14:textId="77777777" w:rsidR="00D77F5B" w:rsidRPr="00E731D4" w:rsidRDefault="00D77F5B" w:rsidP="00D77F5B">
      <w:pPr>
        <w:pStyle w:val="NormalHanging"/>
      </w:pPr>
      <w:r w:rsidRPr="00E731D4">
        <w:t>–</w:t>
      </w:r>
      <w:r w:rsidRPr="00E731D4">
        <w:tab/>
        <w:t>като взе предвид приетото на 17 юли 2025 г. становище на Европейския икономически и социален комитет относно финансовата грамотност и образованието на европейците,</w:t>
      </w:r>
    </w:p>
    <w:p w14:paraId="4B78E8B5" w14:textId="41FE3EFD" w:rsidR="00D77F5B" w:rsidRPr="00E731D4" w:rsidRDefault="00D77F5B" w:rsidP="00D77F5B">
      <w:pPr>
        <w:pStyle w:val="NormalHanging"/>
      </w:pPr>
      <w:r w:rsidRPr="00E731D4">
        <w:t>–</w:t>
      </w:r>
      <w:r w:rsidRPr="00E731D4">
        <w:tab/>
        <w:t>като взе предвид съобщението на Комисията от 30 септември 2025 г. относно стратегия за финансова грамотност за ЕС (</w:t>
      </w:r>
      <w:r w:rsidR="008F3111" w:rsidRPr="0024462B">
        <w:t>COM(2025)0681</w:t>
      </w:r>
      <w:r w:rsidRPr="00E731D4">
        <w:t>),</w:t>
      </w:r>
    </w:p>
    <w:p w14:paraId="788451B3" w14:textId="77777777" w:rsidR="00D77F5B" w:rsidRPr="00E731D4" w:rsidRDefault="00D77F5B" w:rsidP="00D77F5B">
      <w:pPr>
        <w:pStyle w:val="NormalHanging"/>
      </w:pPr>
      <w:r w:rsidRPr="00E731D4">
        <w:t>–</w:t>
      </w:r>
      <w:r w:rsidRPr="00E731D4">
        <w:tab/>
        <w:t>като взе предвид член 55 от своя Правилник за дейността,</w:t>
      </w:r>
    </w:p>
    <w:p w14:paraId="073F3A17" w14:textId="77777777" w:rsidR="00D77F5B" w:rsidRPr="00E731D4" w:rsidRDefault="00D77F5B" w:rsidP="00D77F5B">
      <w:pPr>
        <w:pStyle w:val="NormalHanging"/>
      </w:pPr>
      <w:r w:rsidRPr="00E731D4">
        <w:t>–</w:t>
      </w:r>
      <w:r w:rsidRPr="00E731D4">
        <w:tab/>
        <w:t>като взе предвид становището на комисията по култура и образование,</w:t>
      </w:r>
    </w:p>
    <w:p w14:paraId="1FA433CA" w14:textId="77777777" w:rsidR="00D77F5B" w:rsidRPr="00E731D4" w:rsidRDefault="00D77F5B" w:rsidP="00D77F5B">
      <w:pPr>
        <w:pStyle w:val="NormalHanging"/>
      </w:pPr>
      <w:r w:rsidRPr="00E731D4">
        <w:t>–</w:t>
      </w:r>
      <w:r w:rsidRPr="00E731D4">
        <w:tab/>
        <w:t>като взе предвид доклада на комисията по икономически и парични въпроси (A10-0082/2026),</w:t>
      </w:r>
    </w:p>
    <w:p w14:paraId="79637F08" w14:textId="77777777" w:rsidR="00D77F5B" w:rsidRPr="00E731D4" w:rsidRDefault="00D77F5B" w:rsidP="00D77F5B">
      <w:pPr>
        <w:pStyle w:val="NormalHanging"/>
      </w:pPr>
      <w:r w:rsidRPr="00E731D4">
        <w:t>А.</w:t>
      </w:r>
      <w:r w:rsidRPr="00E731D4">
        <w:tab/>
        <w:t>като има предвид, че финансовата грамотност е съществено житейско умение и основен инструмент, който позволява на гражданите да управляват по-добре своя личен и семеен бюджет и да се ангажират с продуктивни инвестиции и предприемачество, като взимат информирани и подходящи решения относно спестяванията, пенсионните планове и други цели и инвестиции; като има предвид, че финансовата грамотност е от съществено значение за предотвратяването на измами, невярна информация и свръхзадлъжнялост и следователно трябва да включва солидни познания за цифровите финанси, киберсигурността и идентифицирането на онлайн финансови измами; като има предвид, че публичните институции, по-специално независимите регулатори, и гражданското общество следва да играят основна роля в това отношение;</w:t>
      </w:r>
    </w:p>
    <w:p w14:paraId="790D4E03" w14:textId="77777777" w:rsidR="00D77F5B" w:rsidRPr="00E731D4" w:rsidRDefault="00D77F5B" w:rsidP="00D77F5B">
      <w:pPr>
        <w:pStyle w:val="NormalHanging"/>
      </w:pPr>
      <w:r w:rsidRPr="00E731D4">
        <w:lastRenderedPageBreak/>
        <w:t>Б.</w:t>
      </w:r>
      <w:r w:rsidRPr="00E731D4">
        <w:tab/>
        <w:t>като има предвид, че достъпността на финансовата система на ЕС би се подобрила, ако се намали прекомерната сложност на правната рамка, която я урежда;</w:t>
      </w:r>
    </w:p>
    <w:p w14:paraId="0E76CFE4" w14:textId="77777777" w:rsidR="00D77F5B" w:rsidRPr="00E731D4" w:rsidRDefault="00D77F5B" w:rsidP="00D77F5B">
      <w:pPr>
        <w:pStyle w:val="NormalHanging"/>
      </w:pPr>
      <w:r w:rsidRPr="00E731D4">
        <w:t>В.</w:t>
      </w:r>
      <w:r w:rsidRPr="00E731D4">
        <w:tab/>
        <w:t>като има предвид, че финансовата грамотност дава възможност на хората да разбират дълга, финансовите пазари, данъчното облагане и застраховането като инструменти за управление на риска, помага им да управляват финансовите рискове, да вземат информирани решения и да планират пенсионирането си; като има предвид, че с оглед на това разбирането на начина, по който функционират парите не следва да бъде нещо изключително, а по-скоро нещо, което е необходимо за личната финансова свобода; като има предвид, че данните сочат, че съществува връзка между по-високи равнища на финансова грамотност и по-голямото финансово приобщаване; като има предвид, че финансовата грамотност е концепция, насочена към резултатите, която измерва финансовата осведоменост, знанията, уменията, нагласите и поведението, необходими, за да се вземат разумни финансови решения и в крайна сметка да се постига финансово благосъстояние;</w:t>
      </w:r>
    </w:p>
    <w:p w14:paraId="7F12089C" w14:textId="77777777" w:rsidR="00D77F5B" w:rsidRPr="00E731D4" w:rsidRDefault="00D77F5B" w:rsidP="00D77F5B">
      <w:pPr>
        <w:pStyle w:val="NormalHanging"/>
      </w:pPr>
      <w:r w:rsidRPr="00E731D4">
        <w:t>Г.</w:t>
      </w:r>
      <w:r w:rsidRPr="00E731D4">
        <w:tab/>
        <w:t>като има предвид, че по-високите равнища на финансова грамотност могат да мотивират гражданите да спестяват по-ефективно, да инвестират по-разумно и да участват активно на капиталовите пазари, като по този начин насърчават приобщаващия растеж и иновациите във всички държави членки, допринасят за макроикономическата стабилност и намаляват неравенствата;</w:t>
      </w:r>
    </w:p>
    <w:p w14:paraId="71E13E02" w14:textId="77777777" w:rsidR="00D77F5B" w:rsidRPr="00E731D4" w:rsidRDefault="00D77F5B" w:rsidP="00D77F5B">
      <w:pPr>
        <w:pStyle w:val="NormalHanging"/>
      </w:pPr>
      <w:r w:rsidRPr="00E731D4">
        <w:t>Д.</w:t>
      </w:r>
      <w:r w:rsidRPr="00E731D4">
        <w:tab/>
        <w:t>като има предвид, че експресното проучване на Евробарометър на Комисията от 2023 г. относно финансовата грамотност в ЕС доказва необходимостта от подобряване на финансовата грамотност в Европа, тъй като резултатите показват, че само 18% от гражданите на ЕС показват високо равнище на финансова грамотност, с големи различия в това отношение между отделните държави членки – процентът на гражданите, показващи високо равнище на финансова грамотност, варира от 11% в две държави до над 25% само в четири държави;</w:t>
      </w:r>
    </w:p>
    <w:p w14:paraId="6914BDF2" w14:textId="77777777" w:rsidR="00D77F5B" w:rsidRPr="00E731D4" w:rsidRDefault="00D77F5B" w:rsidP="00D77F5B">
      <w:pPr>
        <w:pStyle w:val="NormalHanging"/>
      </w:pPr>
      <w:r w:rsidRPr="00E731D4">
        <w:t>Е.</w:t>
      </w:r>
      <w:r w:rsidRPr="00E731D4">
        <w:tab/>
        <w:t>като има предвид, че според проучването на Евробарометър почти 50% от възрастните лица в ЕС не разполагат с необходимите спестявания за извънредни ситуации, за да покрият разходите си за живот за три месеца, докато 16% нямат никакви спестявания за извънредни ситуации; като има предвид, че тези фактори, съчетани със значителното използване на потребителски кредити в някои региони, увеличават риска от свръхзадлъжнялост, затрудняват домакинствата да реагират на неочаквани събития, могат да окажат неблагоприятно въздействие върху икономическото и социалното сближаване и могат да ограничат насочването на спестяванията към продуктивни инвестиции в реалната икономика;</w:t>
      </w:r>
    </w:p>
    <w:p w14:paraId="5BC7EA6B" w14:textId="77777777" w:rsidR="00D77F5B" w:rsidRPr="00E731D4" w:rsidRDefault="00D77F5B" w:rsidP="00D77F5B">
      <w:pPr>
        <w:pStyle w:val="NormalHanging"/>
      </w:pPr>
      <w:r w:rsidRPr="00E731D4">
        <w:t>Ж.</w:t>
      </w:r>
      <w:r w:rsidRPr="00E731D4">
        <w:tab/>
        <w:t>като има предвид, че според проучването на Евробарометър от 2023 г. само 38% от респондентите в ЕС са уверени, че инвестиционните съвети, които получават от своята банка, застраховател или финансов консултант, са предимно в техния най-добър интерес, докато 45% нямат доверие в тях;</w:t>
      </w:r>
    </w:p>
    <w:p w14:paraId="1F78EE3A" w14:textId="77777777" w:rsidR="00D77F5B" w:rsidRPr="00E731D4" w:rsidRDefault="00D77F5B" w:rsidP="00D77F5B">
      <w:pPr>
        <w:pStyle w:val="NormalHanging"/>
      </w:pPr>
      <w:r w:rsidRPr="00E731D4">
        <w:t>З.</w:t>
      </w:r>
      <w:r w:rsidRPr="00E731D4">
        <w:tab/>
        <w:t xml:space="preserve">като има предвид, че резултатите от последните проучвания на ЕС показват, че средно в целия ЕС всеки втори възрастен може да отговори правилно на поне три от всеки пет основни въпроса, свързани с финансовите познания, като подчертават продължаващите пропуски в разбирането на инфлацията, сложната </w:t>
      </w:r>
      <w:r w:rsidRPr="00E731D4">
        <w:lastRenderedPageBreak/>
        <w:t>лихва, концепцията за рисковете и възвръщаемостта и диверсификацията; като има предвид, че е важно тези проучвания да се вземат предвид, за да се определят ключовите финансови умения и възможните последващи мерки;</w:t>
      </w:r>
    </w:p>
    <w:p w14:paraId="7D57FB5C" w14:textId="77777777" w:rsidR="00D77F5B" w:rsidRPr="00E731D4" w:rsidRDefault="00D77F5B" w:rsidP="00D77F5B">
      <w:pPr>
        <w:pStyle w:val="NormalHanging"/>
      </w:pPr>
      <w:r w:rsidRPr="00E731D4">
        <w:t>И.</w:t>
      </w:r>
      <w:r w:rsidRPr="00E731D4">
        <w:tab/>
        <w:t xml:space="preserve">като има предвид, че според </w:t>
      </w:r>
      <w:proofErr w:type="spellStart"/>
      <w:r w:rsidRPr="00E731D4">
        <w:t>Global</w:t>
      </w:r>
      <w:proofErr w:type="spellEnd"/>
      <w:r w:rsidRPr="00E731D4">
        <w:t xml:space="preserve"> </w:t>
      </w:r>
      <w:proofErr w:type="spellStart"/>
      <w:r w:rsidRPr="00E731D4">
        <w:t>Retail</w:t>
      </w:r>
      <w:proofErr w:type="spellEnd"/>
      <w:r w:rsidRPr="00E731D4">
        <w:t xml:space="preserve"> </w:t>
      </w:r>
      <w:proofErr w:type="spellStart"/>
      <w:r w:rsidRPr="00E731D4">
        <w:t>Investor</w:t>
      </w:r>
      <w:proofErr w:type="spellEnd"/>
      <w:r w:rsidRPr="00E731D4">
        <w:t xml:space="preserve"> Outlook (Глобални перспективи за инвеститорите на дребно за 2024 г.) финансовите познания са в отрицателна корелация с финансовата нестабилност както в краткосрочен, така и в дългосрочен план, което показва, че лицата, които са по-осведомени във финансово отношение, е по-вероятно да разполагат с подходящи средства за пенсиониране;</w:t>
      </w:r>
    </w:p>
    <w:p w14:paraId="335305E3" w14:textId="77777777" w:rsidR="00D77F5B" w:rsidRPr="00E731D4" w:rsidRDefault="00D77F5B" w:rsidP="00D77F5B">
      <w:pPr>
        <w:pStyle w:val="NormalHanging"/>
      </w:pPr>
      <w:r w:rsidRPr="00E731D4">
        <w:t>Й.</w:t>
      </w:r>
      <w:r w:rsidRPr="00E731D4">
        <w:tab/>
        <w:t>като има предвид, че липсата на финансова грамотност засяга непропорционално жените, младите хора, по-възрастните хора, хората с по-ниски доходи или ограничено формално образование и най-уязвимите групи в обществото;</w:t>
      </w:r>
    </w:p>
    <w:p w14:paraId="1315ACE9" w14:textId="77777777" w:rsidR="00D77F5B" w:rsidRPr="00E731D4" w:rsidRDefault="00D77F5B" w:rsidP="00D77F5B">
      <w:pPr>
        <w:pStyle w:val="NormalHanging"/>
      </w:pPr>
      <w:r w:rsidRPr="00E731D4">
        <w:t>К.</w:t>
      </w:r>
      <w:r w:rsidRPr="00E731D4">
        <w:tab/>
        <w:t>като има предвид, че по-добрата финансова грамотност допринася за социалното приобщаване, спомага за намаляване на неравенството и подкрепя и овластява уязвимите или маргинализираните групи;</w:t>
      </w:r>
    </w:p>
    <w:p w14:paraId="41971925" w14:textId="77777777" w:rsidR="00D77F5B" w:rsidRPr="00E731D4" w:rsidRDefault="00D77F5B" w:rsidP="00D77F5B">
      <w:pPr>
        <w:pStyle w:val="NormalHanging"/>
      </w:pPr>
      <w:r w:rsidRPr="00E731D4">
        <w:t>Л.</w:t>
      </w:r>
      <w:r w:rsidRPr="00E731D4">
        <w:tab/>
        <w:t>като има предвид, че участието на непрофесионалните инвеститори на капиталовите пазари продължава да бъде неравномерно в отделните държави членки и че по-високата финансова грамотност е свързана с повишена финансова устойчивост и използване на инвестициите;</w:t>
      </w:r>
    </w:p>
    <w:p w14:paraId="5CAC8A9D" w14:textId="77777777" w:rsidR="00D77F5B" w:rsidRPr="00E731D4" w:rsidRDefault="00D77F5B" w:rsidP="00D77F5B">
      <w:pPr>
        <w:pStyle w:val="NormalHanging"/>
      </w:pPr>
      <w:r w:rsidRPr="00E731D4">
        <w:t>М.</w:t>
      </w:r>
      <w:r w:rsidRPr="00E731D4">
        <w:tab/>
        <w:t xml:space="preserve">като има предвид, че проучванията показват, че инвеститорите особено от поколение Z (т.е. хората, родени между 1997 г. и 2012 г.) използват предимно социалните медии, търсенето в интернет и личните връзки, за да се образоват по инвестиционни и финансови въпроси; като има предвид, че според доклада на 2024 </w:t>
      </w:r>
      <w:proofErr w:type="spellStart"/>
      <w:r w:rsidRPr="00E731D4">
        <w:t>Global</w:t>
      </w:r>
      <w:proofErr w:type="spellEnd"/>
      <w:r w:rsidRPr="00E731D4">
        <w:t xml:space="preserve"> </w:t>
      </w:r>
      <w:proofErr w:type="spellStart"/>
      <w:r w:rsidRPr="00E731D4">
        <w:t>Retail</w:t>
      </w:r>
      <w:proofErr w:type="spellEnd"/>
      <w:r w:rsidRPr="00E731D4">
        <w:t xml:space="preserve"> </w:t>
      </w:r>
      <w:proofErr w:type="spellStart"/>
      <w:r w:rsidRPr="00E731D4">
        <w:t>Investor</w:t>
      </w:r>
      <w:proofErr w:type="spellEnd"/>
      <w:r w:rsidRPr="00E731D4">
        <w:t xml:space="preserve"> Outlook (Глобални перспективи за инвеститорите на дребно за 2024 г.) социалните медии са се превърнали в преобладаващ източник на информация за по-младите възрастови групи;</w:t>
      </w:r>
    </w:p>
    <w:p w14:paraId="624E91A2" w14:textId="77777777" w:rsidR="00D77F5B" w:rsidRPr="00E731D4" w:rsidRDefault="00D77F5B" w:rsidP="00D77F5B">
      <w:pPr>
        <w:pStyle w:val="NormalHanging"/>
      </w:pPr>
      <w:r w:rsidRPr="00E731D4">
        <w:t>Н.</w:t>
      </w:r>
      <w:r w:rsidRPr="00E731D4">
        <w:tab/>
        <w:t>като има предвид, че цифровият преход разширява достъпа до спестовни и инвестиционни продукти, но също така увеличава излагането на гражданите на агресивни маркетингови стратегии и онлайн измами, което превръща цифровизацията както във възможност, така и в риск;</w:t>
      </w:r>
    </w:p>
    <w:p w14:paraId="7B35E391" w14:textId="77777777" w:rsidR="00D77F5B" w:rsidRPr="00E731D4" w:rsidRDefault="00D77F5B" w:rsidP="00D77F5B">
      <w:pPr>
        <w:pStyle w:val="NormalHanging"/>
      </w:pPr>
      <w:r w:rsidRPr="00E731D4">
        <w:t>О.</w:t>
      </w:r>
      <w:r w:rsidRPr="00E731D4">
        <w:tab/>
        <w:t>като има предвид, че политиката на ЕС в областта на финансовата грамотност може да бъде успешна само ако е придружена от лесно достъпни и съобразени с риска финансови инструменти;</w:t>
      </w:r>
    </w:p>
    <w:p w14:paraId="5D682B35" w14:textId="77777777" w:rsidR="00D77F5B" w:rsidRPr="00E731D4" w:rsidRDefault="00D77F5B" w:rsidP="00D77F5B">
      <w:pPr>
        <w:pStyle w:val="NormalHanging"/>
      </w:pPr>
      <w:r w:rsidRPr="00E731D4">
        <w:t>П.</w:t>
      </w:r>
      <w:r w:rsidRPr="00E731D4">
        <w:tab/>
        <w:t>като има предвид, че платформите за публично-частно сътрудничество и общоевропейските инициативи доказаха ефективността си при мобилизирането на училищата, гражданското общество и предприятията в държавите членки;</w:t>
      </w:r>
    </w:p>
    <w:p w14:paraId="004E8213" w14:textId="77777777" w:rsidR="00D77F5B" w:rsidRPr="00E731D4" w:rsidRDefault="00D77F5B" w:rsidP="00D77F5B">
      <w:pPr>
        <w:pStyle w:val="NormalHanging"/>
      </w:pPr>
      <w:r w:rsidRPr="00E731D4">
        <w:t>Р.</w:t>
      </w:r>
      <w:r w:rsidRPr="00E731D4">
        <w:tab/>
        <w:t>като има предвид, че финансовата грамотност сред предприемачите и малките и средните предприятия (МСП) е критичен, но недостатъчно измерен аспект на устойчивостта и конкурентоспособността на ЕС, който изисква специален мониторинг и адаптирани програми;</w:t>
      </w:r>
    </w:p>
    <w:p w14:paraId="5EE0C301" w14:textId="77777777" w:rsidR="00D77F5B" w:rsidRPr="00E731D4" w:rsidRDefault="00D77F5B" w:rsidP="00D77F5B">
      <w:pPr>
        <w:pStyle w:val="NormalHanging"/>
      </w:pPr>
      <w:r w:rsidRPr="00E731D4">
        <w:t>С.</w:t>
      </w:r>
      <w:r w:rsidRPr="00E731D4">
        <w:tab/>
        <w:t xml:space="preserve">като има предвид, че в Програмата за потребителите до 2030 г. Комисията поставя справедливостта в областта на цифровите технологии, правоприлагането на разпоредбите и трансграничния достъп до финансови услуги на дребно в основата </w:t>
      </w:r>
      <w:r w:rsidRPr="00E731D4">
        <w:lastRenderedPageBreak/>
        <w:t>на конкурентоспособността и включва изпълнението на стратегията на ЕС за финансова грамотност и въвеждането на спестовни и инвестиционни сметки;</w:t>
      </w:r>
    </w:p>
    <w:p w14:paraId="6FA5EEBB" w14:textId="77777777" w:rsidR="00D77F5B" w:rsidRPr="00E731D4" w:rsidRDefault="00D77F5B" w:rsidP="00D77F5B">
      <w:pPr>
        <w:pStyle w:val="NormalHanging"/>
      </w:pPr>
      <w:r w:rsidRPr="00E731D4">
        <w:t>Т.</w:t>
      </w:r>
      <w:r w:rsidRPr="00E731D4">
        <w:tab/>
        <w:t xml:space="preserve">като има предвид, че в Програмата за потребителите до 2030 г. се предлага Акт за справедливост в областта на цифровите технологии за справяне с тъмните модели, проектирането, предизвикващо пристрастяване, и проблемните практики от страна на </w:t>
      </w:r>
      <w:proofErr w:type="spellStart"/>
      <w:r w:rsidRPr="00E731D4">
        <w:t>инфлуенсъри</w:t>
      </w:r>
      <w:proofErr w:type="spellEnd"/>
      <w:r w:rsidRPr="00E731D4">
        <w:t>, както и за въвеждане на по-силна защита на малолетните и непълнолетните лица; като има предвид, че програмата включва обявяването на план за действие на ЕС относно онлайн измамите, насочен към подобряване на превантивните мерки, повишаване на ефективността на действията по правоприлагане и засилване на подкрепата за жертвите на измами, като по този начин се допълва прилагането на Акта за цифровите услуги;</w:t>
      </w:r>
    </w:p>
    <w:p w14:paraId="4BC45D57" w14:textId="77777777" w:rsidR="00D77F5B" w:rsidRPr="00E731D4" w:rsidRDefault="00D77F5B" w:rsidP="00D77F5B">
      <w:pPr>
        <w:pStyle w:val="NormalHanging"/>
      </w:pPr>
      <w:r w:rsidRPr="00E731D4">
        <w:t>У.</w:t>
      </w:r>
      <w:r w:rsidRPr="00E731D4">
        <w:tab/>
        <w:t xml:space="preserve">като има предвид, че социалните медии се използват все повече за разпространение, споделяне и обсъждане на информация за финансовите пазари и за инвестиционни стратегии и продукти и че в този контекст ролята на „финансовите </w:t>
      </w:r>
      <w:proofErr w:type="spellStart"/>
      <w:r w:rsidRPr="00E731D4">
        <w:t>инфлуенсъри</w:t>
      </w:r>
      <w:proofErr w:type="spellEnd"/>
      <w:r w:rsidRPr="00E731D4">
        <w:t>“ („</w:t>
      </w:r>
      <w:proofErr w:type="spellStart"/>
      <w:r w:rsidRPr="00E731D4">
        <w:t>финфлуенсъри</w:t>
      </w:r>
      <w:proofErr w:type="spellEnd"/>
      <w:r w:rsidRPr="00E731D4">
        <w:t>“) създава нови възможности за информиране и приобщаване, но също така може да породи рискове, например конфликти на интереси, подвеждаща реклама, невярна информация или измамна комуникация, с което се създават реални рискове под формата на неподходящи инвестиции;</w:t>
      </w:r>
    </w:p>
    <w:p w14:paraId="473DB18A" w14:textId="77777777" w:rsidR="00D77F5B" w:rsidRPr="00E731D4" w:rsidRDefault="00D77F5B" w:rsidP="00D77F5B">
      <w:pPr>
        <w:pStyle w:val="NormalHanging"/>
      </w:pPr>
      <w:r w:rsidRPr="00E731D4">
        <w:t>Ф.</w:t>
      </w:r>
      <w:r w:rsidRPr="00E731D4">
        <w:tab/>
        <w:t>като има предвид, че нарастването на усъвършенстваните онлайн финансови измами, основани на злоупотребата с нови технологии и ИИ, трябва да се разглежда като покана за повишаване на цифровата финансова грамотност, за да се гарантира, че потребителите не само разбират основните финансови понятия, но и знаят как да се защитават в една все по-сложна, ускорена и лесно достъпна цифрова среда; като има предвид, че финансовите измами, включително опитите за финансови измами, подкопават доверието във финансовата система, и подчертава, че онлайн платформите и търсачките носят особена отговорност за откриването и смекчаването на рисковете от онлайн инвестиционни измами;</w:t>
      </w:r>
    </w:p>
    <w:p w14:paraId="24D0DA4B" w14:textId="77777777" w:rsidR="00D77F5B" w:rsidRPr="00E731D4" w:rsidRDefault="00D77F5B" w:rsidP="00D77F5B">
      <w:pPr>
        <w:pStyle w:val="NormalHanging"/>
      </w:pPr>
      <w:r w:rsidRPr="00E731D4">
        <w:t>Х.</w:t>
      </w:r>
      <w:r w:rsidRPr="00E731D4">
        <w:tab/>
        <w:t xml:space="preserve">като има предвид, че в някои случаи, когато става въпрос за предоставяне на информация по финансови въпроси на аудиторията, финансовите </w:t>
      </w:r>
      <w:proofErr w:type="spellStart"/>
      <w:r w:rsidRPr="00E731D4">
        <w:t>инфлуенсъри</w:t>
      </w:r>
      <w:proofErr w:type="spellEnd"/>
      <w:r w:rsidRPr="00E731D4">
        <w:t xml:space="preserve"> действат по начин, сходен с този на доставчиците на медийни услуги, но без да спазват регулаторните инструменти или инструменти за саморегулиране, свързани със стандартите за прозрачност и качество на търговските съобщения или с точността, надеждността или достоверността на предоставяното съдържание;</w:t>
      </w:r>
    </w:p>
    <w:p w14:paraId="7B533CF2" w14:textId="77777777" w:rsidR="00D77F5B" w:rsidRPr="00E731D4" w:rsidRDefault="00D77F5B" w:rsidP="00D77F5B">
      <w:pPr>
        <w:pStyle w:val="NormalHanging"/>
      </w:pPr>
      <w:r w:rsidRPr="00E731D4">
        <w:t>Ц.</w:t>
      </w:r>
      <w:r w:rsidRPr="00E731D4">
        <w:tab/>
        <w:t xml:space="preserve">като има предвид, че въпреки че някои държави членки започнаха да квалифицират </w:t>
      </w:r>
      <w:proofErr w:type="spellStart"/>
      <w:r w:rsidRPr="00E731D4">
        <w:t>инфлуенсърите</w:t>
      </w:r>
      <w:proofErr w:type="spellEnd"/>
      <w:r w:rsidRPr="00E731D4">
        <w:t xml:space="preserve">, включително финансовите </w:t>
      </w:r>
      <w:proofErr w:type="spellStart"/>
      <w:r w:rsidRPr="00E731D4">
        <w:t>инфлуенсъри</w:t>
      </w:r>
      <w:proofErr w:type="spellEnd"/>
      <w:r w:rsidRPr="00E731D4">
        <w:t xml:space="preserve">, като аудио-визуални медийни услуги по заявка съгласно Директивата за аудио-визуалните медийни услуги (ДАВМУ), законодателната среда, уреждаща </w:t>
      </w:r>
      <w:proofErr w:type="spellStart"/>
      <w:r w:rsidRPr="00E731D4">
        <w:t>инфлуенсърите</w:t>
      </w:r>
      <w:proofErr w:type="spellEnd"/>
      <w:r w:rsidRPr="00E731D4">
        <w:t>, като цяло е разнообразна в рамките на ЕС;</w:t>
      </w:r>
    </w:p>
    <w:p w14:paraId="4355F79D" w14:textId="77777777" w:rsidR="00D77F5B" w:rsidRPr="00E731D4" w:rsidRDefault="00D77F5B" w:rsidP="00D77F5B">
      <w:pPr>
        <w:pStyle w:val="NormalHanging"/>
      </w:pPr>
      <w:r w:rsidRPr="00E731D4">
        <w:t>Ч.</w:t>
      </w:r>
      <w:r w:rsidRPr="00E731D4">
        <w:tab/>
        <w:t xml:space="preserve">като има предвид, че надеждността, приобщаването и прозрачността на цифровите комуникации от страна на финансовите </w:t>
      </w:r>
      <w:proofErr w:type="spellStart"/>
      <w:r w:rsidRPr="00E731D4">
        <w:t>инфлуенсъри</w:t>
      </w:r>
      <w:proofErr w:type="spellEnd"/>
      <w:r w:rsidRPr="00E731D4">
        <w:t xml:space="preserve"> са ключови условия, за да се запази доверието на обществото в тяхната работа;</w:t>
      </w:r>
    </w:p>
    <w:p w14:paraId="54092ADC" w14:textId="77777777" w:rsidR="00D77F5B" w:rsidRPr="00E731D4" w:rsidRDefault="00D77F5B" w:rsidP="00D77F5B">
      <w:pPr>
        <w:pStyle w:val="NormalHanging"/>
      </w:pPr>
      <w:r w:rsidRPr="00E731D4">
        <w:lastRenderedPageBreak/>
        <w:t>Ш.</w:t>
      </w:r>
      <w:r w:rsidRPr="00E731D4">
        <w:tab/>
        <w:t>като има предвид, че все повече като основен източник на финансова информация се използват цифрови медии с кратка форма, които може да са лишени от контекст или да са непроверени;</w:t>
      </w:r>
    </w:p>
    <w:p w14:paraId="7EBE182E" w14:textId="77777777" w:rsidR="00D77F5B" w:rsidRPr="00E731D4" w:rsidRDefault="00D77F5B" w:rsidP="00D77F5B">
      <w:pPr>
        <w:pStyle w:val="NormalHanging"/>
      </w:pPr>
      <w:r w:rsidRPr="00E731D4">
        <w:t>Щ.</w:t>
      </w:r>
      <w:r w:rsidRPr="00E731D4">
        <w:tab/>
        <w:t>като има предвид, че насърчаването и стимулирането на участието в пазара на дребно е от жизненоважно значение, за да се постигне напредък по отношение на съюза на спестяванията и инвестициите в ЕС и за да се подобри дългосрочната финансова сигурност и просперитет за всички европейци, като същевременно се намаляват неравенствата;</w:t>
      </w:r>
    </w:p>
    <w:p w14:paraId="5DB289E1" w14:textId="77777777" w:rsidR="00D77F5B" w:rsidRPr="0024462B" w:rsidRDefault="00D77F5B" w:rsidP="00D77F5B">
      <w:pPr>
        <w:pStyle w:val="Normal12a"/>
        <w:rPr>
          <w:b/>
          <w:bCs/>
          <w:i/>
          <w:iCs/>
        </w:rPr>
      </w:pPr>
      <w:r w:rsidRPr="0024462B">
        <w:rPr>
          <w:b/>
          <w:bCs/>
          <w:i/>
          <w:iCs/>
        </w:rPr>
        <w:t>Финансовата грамотност като общо усилие и споделена отговорност</w:t>
      </w:r>
    </w:p>
    <w:p w14:paraId="25606F9B" w14:textId="77777777" w:rsidR="00D77F5B" w:rsidRPr="00E731D4" w:rsidRDefault="00D77F5B" w:rsidP="00D77F5B">
      <w:pPr>
        <w:pStyle w:val="NormalHanging12a"/>
      </w:pPr>
      <w:r w:rsidRPr="00E731D4">
        <w:t>1.</w:t>
      </w:r>
      <w:r w:rsidRPr="00E731D4">
        <w:tab/>
        <w:t>разбира, че насърчаването на финансовата грамотност и прилагането на програми и инициативи за финансова грамотност в цяла Европа е ключов и хоризонтален приоритет за ЕС и неговите държави членки и важно условие за гарантиране на равни финансови възможности за неговите граждани, тъй като настоящото ниско равнище на финансова грамотност подкопава конкурентоспособността на ЕС, увеличава неравенствата и възпрепятства инвестициите на дребно в реалната икономика и нейната производителност, вреди на справедливостта между поколенията, лишава предприятията, особено МСП, от добре информирана инвеститорска база и сериозно застрашава устойчивостта, благосъстоянието и независимостта на домакинствата; същевременно това ниско равнище на финансова грамотност забавя способността на инвестициите на дребно да се възползват пълноценно от капиталовите пазари и увеличава уязвимостта на гражданите към измамнически схеми в интернет и подвеждаща реклама;</w:t>
      </w:r>
    </w:p>
    <w:p w14:paraId="7FA6523D" w14:textId="77777777" w:rsidR="00D77F5B" w:rsidRPr="00E731D4" w:rsidRDefault="00D77F5B" w:rsidP="00D77F5B">
      <w:pPr>
        <w:pStyle w:val="NormalHanging12a"/>
      </w:pPr>
      <w:r w:rsidRPr="00E731D4">
        <w:t>2.</w:t>
      </w:r>
      <w:r w:rsidRPr="00E731D4">
        <w:tab/>
        <w:t>подчертава, че по-добрата финансова грамотност и разбиране на финансовия сектор и финансовите институции косвено допринасят за финансовата стабилност; подчертава, че подобрената финансова грамотност ще даде възможност на гражданите да вземат по-информирани решения относно своите разходи, спестявания, пенсии, инвестиции и финансово планиране за бъдещето, като по този начин ще допринася за икономическата сигурност;</w:t>
      </w:r>
    </w:p>
    <w:p w14:paraId="2AADF28F" w14:textId="77777777" w:rsidR="00D77F5B" w:rsidRPr="00E731D4" w:rsidRDefault="00D77F5B" w:rsidP="00D77F5B">
      <w:pPr>
        <w:pStyle w:val="NormalHanging12a"/>
      </w:pPr>
      <w:r w:rsidRPr="00E731D4">
        <w:t>3.</w:t>
      </w:r>
      <w:r w:rsidRPr="00E731D4">
        <w:tab/>
        <w:t>потвърждава, че подобряването на финансовата грамотност може да подпомогне растежа на ЕС и да спомогне за стимулирането на частните инвестиции, като допълни една нарочна инвестиционна стратегия, подкрепена с устойчиво публично финансиране, за да се направляват инвестициите, необходими за да се повиши производителността на ЕС, да се подкрепи екологичният и цифровият преход, да се укрепи сигурността и промишленият суверенитет на ЕС и да се създават качествени работни места;</w:t>
      </w:r>
    </w:p>
    <w:p w14:paraId="6E3F304A" w14:textId="1EA7BDAF" w:rsidR="00D77F5B" w:rsidRPr="00E731D4" w:rsidRDefault="00D77F5B" w:rsidP="00D77F5B">
      <w:pPr>
        <w:pStyle w:val="NormalHanging12a"/>
      </w:pPr>
      <w:r w:rsidRPr="00E731D4">
        <w:t>4.</w:t>
      </w:r>
      <w:r w:rsidRPr="00E731D4">
        <w:tab/>
        <w:t>насърчава държавите членки да актуализират препоръката на Съвета относно ключовите компетентности за учене през целия живот</w:t>
      </w:r>
      <w:r w:rsidR="008F3111">
        <w:rPr>
          <w:rStyle w:val="FootnoteReference"/>
        </w:rPr>
        <w:footnoteReference w:id="3"/>
      </w:r>
      <w:r w:rsidRPr="00E731D4">
        <w:t>, така че финансовата грамотност да бъде определена като независима ключова компетентност;</w:t>
      </w:r>
    </w:p>
    <w:p w14:paraId="092C66A5" w14:textId="77777777" w:rsidR="00D77F5B" w:rsidRPr="00E731D4" w:rsidRDefault="00D77F5B" w:rsidP="00D77F5B">
      <w:pPr>
        <w:pStyle w:val="NormalHanging12a"/>
      </w:pPr>
      <w:r w:rsidRPr="00E731D4">
        <w:t>5.</w:t>
      </w:r>
      <w:r w:rsidRPr="00E731D4">
        <w:tab/>
        <w:t xml:space="preserve">счита, че мерките, предприети на равнището на държавите членки, когато са добре координирани с Комисията, са доказано най-ефективни в насърчаването на инвеститорите на дребно да участват на капиталовите пазари, включително чрез пенсионните системи; счита, че подобряването на финансовата грамотност ще </w:t>
      </w:r>
      <w:r w:rsidRPr="00E731D4">
        <w:lastRenderedPageBreak/>
        <w:t>даде възможност на инвеститорите на дребно да решават как и къде да разпределят спестяванията си, което може да насърчи по-голямо участие на пазара;</w:t>
      </w:r>
    </w:p>
    <w:p w14:paraId="076A80D1" w14:textId="77777777" w:rsidR="00D77F5B" w:rsidRPr="00E731D4" w:rsidRDefault="00D77F5B" w:rsidP="00D77F5B">
      <w:pPr>
        <w:pStyle w:val="NormalHanging12a"/>
      </w:pPr>
      <w:r w:rsidRPr="00E731D4">
        <w:t>6.</w:t>
      </w:r>
      <w:r w:rsidRPr="00E731D4">
        <w:tab/>
        <w:t>подчертава, че макар финансовото образование да е основният инструмент за пряко решаване на въпроса с финансовата грамотност, образованието трябва да бъде допълнено с необходимата регулаторна защита и проактивни мерки от страна на сектора на финансовите услуги, включително защита на потребителите и предотвратяване на измами;</w:t>
      </w:r>
    </w:p>
    <w:p w14:paraId="1BDC803C" w14:textId="77777777" w:rsidR="00D77F5B" w:rsidRPr="00E731D4" w:rsidRDefault="00D77F5B" w:rsidP="00D77F5B">
      <w:pPr>
        <w:pStyle w:val="NormalHanging12a"/>
      </w:pPr>
      <w:r w:rsidRPr="00E731D4">
        <w:t>7.</w:t>
      </w:r>
      <w:r w:rsidRPr="00E731D4">
        <w:tab/>
        <w:t>подчертава нарастващата цифровизация на финансовия сектор и необходимостта от цифрови умения като съществена част от финансовото образование или като допълнение към него; в този контекст отбелязва необходимостта от последователно актуализиране на инструментите за финансово образование, за да се вземе предвид напредъкът в областта на цифровите технологии;</w:t>
      </w:r>
    </w:p>
    <w:p w14:paraId="75303B03" w14:textId="77777777" w:rsidR="00D77F5B" w:rsidRPr="00E731D4" w:rsidRDefault="00D77F5B" w:rsidP="00D77F5B">
      <w:pPr>
        <w:pStyle w:val="NormalHanging12a"/>
      </w:pPr>
      <w:r w:rsidRPr="00E731D4">
        <w:t>8.</w:t>
      </w:r>
      <w:r w:rsidRPr="00E731D4">
        <w:tab/>
        <w:t>насърчава държавите членки да интегрират в училищните програми, на всички етапи от формалното образование, съобразени с възрастта проекти за финансова грамотност, като допълнение към цифровото и медийното образование и успоредно с официалните програми, като същевременно насърчават инициативи за подкрепа на учителите; поради това поощрява създаването на подкрепяни от ЕС мрежи за обучение на учители с цел да се насърчават последователни и висококачествени методи на преподаване на финансова грамотност в целия ЕС въз основа на най-добрите практики в държавите членки; подчертава, че държавите членки, които включват финансовото образование в своите национални учебни програми, са сред държавите с най-високи резултати в проучванията за финансовата грамотност в ЕС;</w:t>
      </w:r>
    </w:p>
    <w:p w14:paraId="5654CB4A" w14:textId="77777777" w:rsidR="00D77F5B" w:rsidRPr="00E731D4" w:rsidRDefault="00D77F5B" w:rsidP="00D77F5B">
      <w:pPr>
        <w:pStyle w:val="NormalHanging12a"/>
      </w:pPr>
      <w:r w:rsidRPr="00E731D4">
        <w:t>9.</w:t>
      </w:r>
      <w:r w:rsidRPr="00E731D4">
        <w:tab/>
        <w:t>насърчава държавите членки да прилагат образователни инициативи, подходящи за всички етапи от живота, с цел стимулиране на ученето през целия живот; разбира, че тези инициативи следва да бъдат приведени в съответствие с важни етапи от живота, като например завършване на конкретни равнища на формалното образование, навлизане в етапа на придобиване на недвижима собственост или наближаване на пенсионна възраст, за да се увеличи максимално въздействието на тези инициативи;</w:t>
      </w:r>
    </w:p>
    <w:p w14:paraId="0E07B0A0" w14:textId="77777777" w:rsidR="00D77F5B" w:rsidRPr="00E731D4" w:rsidRDefault="00D77F5B" w:rsidP="00D77F5B">
      <w:pPr>
        <w:pStyle w:val="NormalHanging12a"/>
      </w:pPr>
      <w:r w:rsidRPr="00E731D4">
        <w:t>10.</w:t>
      </w:r>
      <w:r w:rsidRPr="00E731D4">
        <w:tab/>
        <w:t>подчертава значението на запазването на принципите на независимост и прозрачност при насърчаването на мерки или инициативи в областта на финансовото образование;</w:t>
      </w:r>
    </w:p>
    <w:p w14:paraId="580F9C53" w14:textId="77777777" w:rsidR="00D77F5B" w:rsidRPr="00E731D4" w:rsidRDefault="00D77F5B" w:rsidP="00D77F5B">
      <w:pPr>
        <w:pStyle w:val="NormalHanging12a"/>
      </w:pPr>
      <w:r w:rsidRPr="00E731D4">
        <w:t>11.</w:t>
      </w:r>
      <w:r w:rsidRPr="00E731D4">
        <w:tab/>
        <w:t>предлага създаването на Европейска рамка за задълбочени финансови умения за възрастни, като продължение на съществуващата съвместна рамка, с модули за лично финансово планиране, сравняване на продукти, риск и диверсификация, както и устойчиви инвестиции, като се използват национални платформи за обучение;</w:t>
      </w:r>
    </w:p>
    <w:p w14:paraId="69ED10D0" w14:textId="77777777" w:rsidR="00D77F5B" w:rsidRPr="00E731D4" w:rsidRDefault="00D77F5B" w:rsidP="00D77F5B">
      <w:pPr>
        <w:pStyle w:val="NormalHanging12a"/>
      </w:pPr>
      <w:r w:rsidRPr="00E731D4">
        <w:t>12.</w:t>
      </w:r>
      <w:r w:rsidRPr="00E731D4">
        <w:tab/>
        <w:t xml:space="preserve">призовава държавите членки да стимулират, чрез подходящи мерки на политиката, финансовото образование, основано на работното място, ученето през целия живот и програмите за финансово благосъстояние, за да се подобри информираното вземане на решения, по-специално по отношение на пенсиите, средносрочните и дългосрочните спестявания и инвестиции, допълнителното пенсионно осигуряване и личното бюджетиране; във връзка с това подчертава </w:t>
      </w:r>
      <w:r w:rsidRPr="00E731D4">
        <w:lastRenderedPageBreak/>
        <w:t>ролята на гражданското общество, особено на организациите на инвеститорите на дребно, и съответните социални партньори при подкрепата и прилагането на тези мерки, както и необходимостта от ефективна комуникация с гражданите относно техните пенсии и очаквани доходи;</w:t>
      </w:r>
    </w:p>
    <w:p w14:paraId="46AAF4A6" w14:textId="44623391" w:rsidR="00D77F5B" w:rsidRPr="00E731D4" w:rsidRDefault="00D77F5B" w:rsidP="00D77F5B">
      <w:pPr>
        <w:pStyle w:val="NormalHanging12a"/>
      </w:pPr>
      <w:r w:rsidRPr="00E731D4">
        <w:t>13.</w:t>
      </w:r>
      <w:r w:rsidRPr="00E731D4">
        <w:tab/>
        <w:t>призовава настоятелно държавите членки да участват в тестовете за финансова грамотност за младежи по Програмата на ОИСР за международно оценяване на учениците (PISA) и да въведат редовни проучвания за възрастните; отново заявява, че финансовата грамотност е концепция, основана на резултатите, и че националните стратегии следва да имат ясни и измерими показатели за напредък, като се основават на инструментариума на ОИСР/ММФО за измерване на финансовата грамотност и финансовото приобщаване</w:t>
      </w:r>
      <w:r w:rsidR="008F3111">
        <w:rPr>
          <w:rStyle w:val="FootnoteReference"/>
        </w:rPr>
        <w:footnoteReference w:id="4"/>
      </w:r>
      <w:r w:rsidRPr="00E731D4">
        <w:t>; отбелязва освен това, че определянето на цели и резултати следва да насърчава националната ангажираност със стратегиите; препоръчва на Комисията и на държавите членки да включат степен на гъвкавост в стратегиите за финансова грамотност, така че те да могат да бъдат адаптирани в светлината на констатациите от всяка оценка на ефикасността;</w:t>
      </w:r>
    </w:p>
    <w:p w14:paraId="27784C2A" w14:textId="77777777" w:rsidR="00D77F5B" w:rsidRPr="00E731D4" w:rsidRDefault="00D77F5B" w:rsidP="00D77F5B">
      <w:pPr>
        <w:pStyle w:val="NormalHanging12a"/>
      </w:pPr>
      <w:r w:rsidRPr="00E731D4">
        <w:t>14.</w:t>
      </w:r>
      <w:r w:rsidRPr="00E731D4">
        <w:tab/>
        <w:t>повтаря необходимостта от адаптирани и насочени към общността инициативи и отхвърля универсалния подход; отбелязва, че тези инициативи следва да се основават на национални мерки и да отразяват различните равнища на финансова грамотност в различен контекст, като по този начин спомагат за по-широкото и последователно увеличаване на финансовите познания; подчертава положението на жените, младите хора, по-възрастните хора, хората с увреждания и заболявания и хората от селските райони и подчертава необходимостта от ангажирането на социалните партньори, профсъюзите, организациите на инвеститорите на дребно, търговските камари, сектора на финансовите технологии, мрежите на МСП и движенията на гражданското общество, както и сектора на финансовите услуги, в общите усилия да се отговори на тези специфични нужди и да се разработят конкретни проекти, които са възможно най-близо до гражданите и общностите, по-специално до гражданите, които са по-слабо финансово грамотни и следователно са в по-голяма степен изложени на финансови сътресения и по-уязвими на финансови измами; призовава за специални и целенасочени програми за най-уязвимите групи, включително такива извън формалното образование;</w:t>
      </w:r>
    </w:p>
    <w:p w14:paraId="4D0EA227" w14:textId="77777777" w:rsidR="00D77F5B" w:rsidRPr="00E731D4" w:rsidRDefault="00D77F5B" w:rsidP="00D77F5B">
      <w:pPr>
        <w:pStyle w:val="NormalHanging12a"/>
      </w:pPr>
      <w:r w:rsidRPr="00E731D4">
        <w:t>15.</w:t>
      </w:r>
      <w:r w:rsidRPr="00E731D4">
        <w:tab/>
        <w:t>отбелязва, че на все по-ранна възраст младите хора са изложени, към тях са насочени реклами за и им се предлагат финансови услуги чрез множество канали, особено социалните медии, което показва необходимостта от насърчаване на финансовата грамотност на ранен етап;</w:t>
      </w:r>
    </w:p>
    <w:p w14:paraId="456F832A" w14:textId="77777777" w:rsidR="00D77F5B" w:rsidRPr="00E731D4" w:rsidRDefault="00D77F5B" w:rsidP="00D77F5B">
      <w:pPr>
        <w:pStyle w:val="NormalHanging12a"/>
      </w:pPr>
      <w:r w:rsidRPr="00E731D4">
        <w:t>16.</w:t>
      </w:r>
      <w:r w:rsidRPr="00E731D4">
        <w:tab/>
        <w:t>подчертава необходимостта от целенасочено образование по отношение на онлайн финансовите измами, включително пирамидални схеми, схеми за повдигане и напускане и измамни инвестиционни общности; подчертава, че с оглед на широко разпространената финансова уязвимост е необходимо да се повиши осведомеността за рисковете, които носи задлъжнялостта;</w:t>
      </w:r>
    </w:p>
    <w:p w14:paraId="6207C9A8" w14:textId="77777777" w:rsidR="00D77F5B" w:rsidRPr="00E731D4" w:rsidRDefault="00D77F5B" w:rsidP="00D77F5B">
      <w:pPr>
        <w:pStyle w:val="NormalHanging12a"/>
      </w:pPr>
      <w:r w:rsidRPr="00E731D4">
        <w:lastRenderedPageBreak/>
        <w:t>17.</w:t>
      </w:r>
      <w:r w:rsidRPr="00E731D4">
        <w:tab/>
        <w:t>призовава за мерки за засилване на финансовата грамотност и предприемаческите умения на хората, които започват нови бизнес начинания, като се обръща специално внимание на предприемачите в неравностойно положение, включително на тези извън традиционната образователна система;</w:t>
      </w:r>
    </w:p>
    <w:p w14:paraId="5FD02558" w14:textId="77777777" w:rsidR="00D77F5B" w:rsidRPr="00E731D4" w:rsidRDefault="00D77F5B" w:rsidP="00D77F5B">
      <w:pPr>
        <w:pStyle w:val="NormalHanging12a"/>
      </w:pPr>
      <w:r w:rsidRPr="00E731D4">
        <w:t>18.</w:t>
      </w:r>
      <w:r w:rsidRPr="00E731D4">
        <w:tab/>
        <w:t>насърчава държавите членки да допускат и популяризират системи за микроквалификации за организатори на обучение за възрастни (общностни лидери, социални работници, синдикални представители);</w:t>
      </w:r>
    </w:p>
    <w:p w14:paraId="4F358FB6" w14:textId="77777777" w:rsidR="00D77F5B" w:rsidRPr="00E731D4" w:rsidRDefault="00D77F5B" w:rsidP="00D77F5B">
      <w:pPr>
        <w:pStyle w:val="NormalHanging12a"/>
      </w:pPr>
      <w:r w:rsidRPr="00E731D4">
        <w:t>19.</w:t>
      </w:r>
      <w:r w:rsidRPr="00E731D4">
        <w:tab/>
        <w:t>призовава Комисията да разшири действията за учене за възрастни по програмата „Еразъм +“ и съответните направления на програмата „Цифрова Европа“, за да помогне на държавите членки да разработят съобразени с възрастта курсове за цифрова грамотност и финансова грамотност, като гарантира, че по-възрастните граждани и други уязвими възрастни могат безопасно да използват онлайн банкиране, мобилни плащания и цифрови комуникационни канали;</w:t>
      </w:r>
    </w:p>
    <w:p w14:paraId="54D724CA" w14:textId="77777777" w:rsidR="00D77F5B" w:rsidRPr="00E731D4" w:rsidRDefault="00D77F5B" w:rsidP="00D77F5B">
      <w:pPr>
        <w:pStyle w:val="NormalHanging12a"/>
      </w:pPr>
      <w:r w:rsidRPr="00E731D4">
        <w:t>20.</w:t>
      </w:r>
      <w:r w:rsidRPr="00E731D4">
        <w:tab/>
        <w:t>подчертава, че жените продължават да бъдат непропорционално засегнати от ниските равнища на финансова грамотност, като те представляват 60% от европейците с ниска финансова грамотност; поради това подчертава необходимостта от премахване както на разликата във финансовата грамотност, така и на разликата в заплащането на жените и мъжете, за да се овластят жените икономически и да се гарантира пълноценното им участие в обществото; призовава ЕС и неговите държави членки да гарантират, че жените имат достъп до инструментите, ресурсите и възможностите, необходими им, за да бъдат успешни, особено в секторите, в които те продължават да бъдат недостатъчно представени;</w:t>
      </w:r>
    </w:p>
    <w:p w14:paraId="5CAB33E5" w14:textId="77777777" w:rsidR="00D77F5B" w:rsidRPr="00E731D4" w:rsidRDefault="00D77F5B" w:rsidP="00D77F5B">
      <w:pPr>
        <w:pStyle w:val="NormalHanging12a"/>
      </w:pPr>
      <w:r w:rsidRPr="00E731D4">
        <w:t>21.</w:t>
      </w:r>
      <w:r w:rsidRPr="00E731D4">
        <w:tab/>
        <w:t>отбелязва, че финансовото образование на студентите и пълнолетните младежи също така може да подобри финансовите познания на тези, които са част от непосредственото им обкръжение, което означава потенциален мултиплициращ ефект, свързан с финансовото образование, насочено към по-младите хора;</w:t>
      </w:r>
    </w:p>
    <w:p w14:paraId="2EF2C237" w14:textId="77777777" w:rsidR="00D77F5B" w:rsidRPr="00E731D4" w:rsidRDefault="00D77F5B" w:rsidP="00D77F5B">
      <w:pPr>
        <w:pStyle w:val="NormalHanging12a"/>
      </w:pPr>
      <w:r w:rsidRPr="00E731D4">
        <w:t>22.</w:t>
      </w:r>
      <w:r w:rsidRPr="00E731D4">
        <w:tab/>
        <w:t>подчертава, че финансовата грамотност изисква финансов достъп, и поради това призовава националните и европейските компетентни органи, особено надзорните органи, да прилагат съществуващото законодателство, за да гарантират, че наличните на пазара финансови инструменти са лесно достъпни, съобразени с риска и привлекателни от данъчна гледна точка, както и че цялата необходима информация по отношение на техните условия се предоставя по прозрачен и разбираем начин;</w:t>
      </w:r>
    </w:p>
    <w:p w14:paraId="321192A5" w14:textId="77777777" w:rsidR="00D77F5B" w:rsidRPr="00E731D4" w:rsidRDefault="00D77F5B" w:rsidP="00D77F5B">
      <w:pPr>
        <w:pStyle w:val="NormalHanging12a"/>
      </w:pPr>
      <w:r w:rsidRPr="00E731D4">
        <w:t>23.</w:t>
      </w:r>
      <w:r w:rsidRPr="00E731D4">
        <w:tab/>
        <w:t>разбира, че настоящата правна рамка относно финансовите услуги, въпреки че има за цел да подобри прозрачността, защитата и оповестяването, често е твърде сложна, за да подкрепи истински информирани решения за средностатистическия човек; признава, че е важно да се гарантира, че гражданите на ЕС разбират финансовите продукти, и подчертава, че инициативите за финансово образование не могат да заменят необходимостта от силна рамка за защита на инвеститорите;</w:t>
      </w:r>
    </w:p>
    <w:p w14:paraId="67339589" w14:textId="77777777" w:rsidR="00D77F5B" w:rsidRPr="00E731D4" w:rsidRDefault="00D77F5B" w:rsidP="00D77F5B">
      <w:pPr>
        <w:pStyle w:val="NormalHanging12a"/>
      </w:pPr>
      <w:r w:rsidRPr="00E731D4">
        <w:t>24.</w:t>
      </w:r>
      <w:r w:rsidRPr="00E731D4">
        <w:tab/>
        <w:t>подчертава значението и добавената стойност на обществената подкрепа, по-специално чрез подходящи данъчни политики, за инициативите за финансова грамотност, насърчавани от доставчиците на финансови услуги и заинтересованите страни от сектора;</w:t>
      </w:r>
    </w:p>
    <w:p w14:paraId="40FCA18E" w14:textId="77777777" w:rsidR="00D77F5B" w:rsidRPr="00E731D4" w:rsidRDefault="00D77F5B" w:rsidP="00D77F5B">
      <w:pPr>
        <w:pStyle w:val="NormalHanging12a"/>
      </w:pPr>
      <w:r w:rsidRPr="00E731D4">
        <w:lastRenderedPageBreak/>
        <w:t>25.</w:t>
      </w:r>
      <w:r w:rsidRPr="00E731D4">
        <w:tab/>
        <w:t>признава предприятията от ЕС за ключови участници във всеобхватния подход за повишаване на финансовата грамотност в ЕС и за важни фактори, допринасящи за финансовото здраве на гражданите;</w:t>
      </w:r>
    </w:p>
    <w:p w14:paraId="36CE96EF" w14:textId="77777777" w:rsidR="00D77F5B" w:rsidRPr="00E731D4" w:rsidRDefault="00D77F5B" w:rsidP="00D77F5B">
      <w:pPr>
        <w:pStyle w:val="NormalHanging12a"/>
      </w:pPr>
      <w:r w:rsidRPr="00E731D4">
        <w:t>26.</w:t>
      </w:r>
      <w:r w:rsidRPr="00E731D4">
        <w:tab/>
        <w:t>подчертава, че в контекста на инициативите на ЕС или националните инициативи за насърчаване на финансовата грамотност следва да се даде приоритет на тези, които са насочени към региони, характеризиращи се със слаб икономически растеж, ниски равнища на спестявания и значителни дългове, натрупани в резултат на потребителски кредити, където домакинствата са изложени на по-голям риск от свръхзадлъжнялост;</w:t>
      </w:r>
    </w:p>
    <w:p w14:paraId="2E811A34" w14:textId="77777777" w:rsidR="00D77F5B" w:rsidRPr="00E731D4" w:rsidRDefault="00D77F5B" w:rsidP="00D77F5B">
      <w:pPr>
        <w:pStyle w:val="NormalHanging12a"/>
      </w:pPr>
      <w:r w:rsidRPr="00E731D4">
        <w:t>27.</w:t>
      </w:r>
      <w:r w:rsidRPr="00E731D4">
        <w:tab/>
        <w:t>подчертава, че увеличаването на финансовата грамотност не е възможно без по-голям финансов достъп за гражданите; призовава за създаването на по-достъпни финансови инструменти за всички граждани, особено за тези, които търсят възможност да направят първите си инвестиции; изисква да се прилага съществуващото законодателство, за да се гарантира, че финансовите инструменти са лесно достъпни и че на гражданите се предоставя необходимата информация по прозрачен и разбираем начин; във връзка с това приветства предложението на Комисията за спестовни и инвестиционни сметки като подкрепяща мярка за създаване на по-добри финансови възможности за гражданите, които желаят да инвестират, и призовава тези инструменти да бъдат на разположение във всички държави членки като част от рамка, насочена към създаването на инвестиционна култура в ЕС;</w:t>
      </w:r>
    </w:p>
    <w:p w14:paraId="29D70C64" w14:textId="77777777" w:rsidR="00D77F5B" w:rsidRPr="00E731D4" w:rsidRDefault="00D77F5B" w:rsidP="00D77F5B">
      <w:pPr>
        <w:pStyle w:val="NormalHanging12a"/>
      </w:pPr>
      <w:r w:rsidRPr="00E731D4">
        <w:t>28.</w:t>
      </w:r>
      <w:r w:rsidRPr="00E731D4">
        <w:tab/>
        <w:t xml:space="preserve">предлага да се създаде доброволна общоевропейска мрежа от заинтересовани страни и компетентни органи както на национално, така и на европейско равнище, която да се основава на конкретни </w:t>
      </w:r>
      <w:proofErr w:type="spellStart"/>
      <w:r w:rsidRPr="00E731D4">
        <w:t>трансверсални</w:t>
      </w:r>
      <w:proofErr w:type="spellEnd"/>
      <w:r w:rsidRPr="00E731D4">
        <w:t xml:space="preserve"> и всеобхватни решения за повишаване на равнищата на финансова грамотност и да доведе до дългосрочни промени в поведението в области като бюджетиране, спестяване и подбор на подходящи продукти, включително научни изследвания относно настоящите пропуски в знанията; подчертава, че тази мрежа следва да бъде техническа по своя характер, без политическа и търговска намеса и следва да има прозрачна структура на управление; за тази цел подчертава необходимостта да се избегне създаването на постоянни бюрократични структури и да се сведе до минимум използването на скъпоструващи външни консултантски услуги, за да се предоставят наличните ресурси за услуги и проекти, насочени пряко към гражданите на ЕС;</w:t>
      </w:r>
    </w:p>
    <w:p w14:paraId="3A032774" w14:textId="77777777" w:rsidR="00D77F5B" w:rsidRPr="00E731D4" w:rsidRDefault="00D77F5B" w:rsidP="00D77F5B">
      <w:pPr>
        <w:pStyle w:val="NormalHanging12a"/>
      </w:pPr>
      <w:r w:rsidRPr="00E731D4">
        <w:t>29.</w:t>
      </w:r>
      <w:r w:rsidRPr="00E731D4">
        <w:tab/>
        <w:t xml:space="preserve">приветства ангажимента на Комисията да организира редовни семинари с цел насърчаване на подобна общоевропейска мрежа и общност от специалисти в областта на финансовата грамотност от частния сектор и организации с нестопанска цел; подчертава, че най-добрите практики, кодексите за поведение и ръководните принципи за финансова грамотност не следва да се разработват изолирано; поради това настоятелно призовава Комисията да обмисли включването </w:t>
      </w:r>
      <w:proofErr w:type="spellStart"/>
      <w:r w:rsidRPr="00E731D4">
        <w:t>ad</w:t>
      </w:r>
      <w:proofErr w:type="spellEnd"/>
      <w:r w:rsidRPr="00E731D4">
        <w:t xml:space="preserve"> </w:t>
      </w:r>
      <w:proofErr w:type="spellStart"/>
      <w:r w:rsidRPr="00E731D4">
        <w:t>hoc</w:t>
      </w:r>
      <w:proofErr w:type="spellEnd"/>
      <w:r w:rsidRPr="00E731D4">
        <w:t xml:space="preserve"> или за постоянно в тази общност на правителствени агенции и национални компетентни органи;</w:t>
      </w:r>
    </w:p>
    <w:p w14:paraId="260D5FCA" w14:textId="77777777" w:rsidR="00D77F5B" w:rsidRPr="00E731D4" w:rsidRDefault="00D77F5B" w:rsidP="00D77F5B">
      <w:pPr>
        <w:pStyle w:val="NormalHanging12a"/>
      </w:pPr>
      <w:r w:rsidRPr="00E731D4">
        <w:t>30.</w:t>
      </w:r>
      <w:r w:rsidRPr="00E731D4">
        <w:tab/>
        <w:t>подчертава, че инвестициите във финансовата грамотност носят висока възвръщаемост в контекста на икономическия растеж и увеличаването на индивидуалните, стопанските и публичните финанси; поради това приветства пилотния проект за финансова грамотност, който наскоро беше одобрен като част от бюджета на ЕС за 2026 г.;</w:t>
      </w:r>
    </w:p>
    <w:p w14:paraId="6A208945" w14:textId="77777777" w:rsidR="00D77F5B" w:rsidRPr="00E731D4" w:rsidRDefault="00D77F5B" w:rsidP="00D77F5B">
      <w:pPr>
        <w:pStyle w:val="NormalHanging12a"/>
      </w:pPr>
      <w:r w:rsidRPr="00E731D4">
        <w:lastRenderedPageBreak/>
        <w:t>31.</w:t>
      </w:r>
      <w:r w:rsidRPr="00E731D4">
        <w:tab/>
        <w:t>подчертава, че всички стратегии, както на равнището на държавите членки, така и на равнището на ЕС, следва да се разработват и прилагат в координация с публичните органи, гражданските организации, университетите, профсъюзите и частните заинтересовани страни; подчертава, че мерките, разработени от националните правителства и Комисията, следва да отчитат ролята на участниците на пазара;</w:t>
      </w:r>
    </w:p>
    <w:p w14:paraId="7D3F0171" w14:textId="77777777" w:rsidR="00D77F5B" w:rsidRPr="00E731D4" w:rsidRDefault="00D77F5B" w:rsidP="00D77F5B">
      <w:pPr>
        <w:pStyle w:val="NormalHanging12a"/>
      </w:pPr>
      <w:r w:rsidRPr="00E731D4">
        <w:t>32.</w:t>
      </w:r>
      <w:r w:rsidRPr="00E731D4">
        <w:tab/>
        <w:t>призовава държавите членки да включат показатели за финансова грамотност в своите стратегии за финансово приобщаване и да насърчават спестяванията и частните инвестиции чрез иновативни правни и административни инструменти;</w:t>
      </w:r>
    </w:p>
    <w:p w14:paraId="75274309" w14:textId="77777777" w:rsidR="00D77F5B" w:rsidRPr="00E731D4" w:rsidRDefault="00D77F5B" w:rsidP="00D77F5B">
      <w:pPr>
        <w:pStyle w:val="NormalHanging12a"/>
      </w:pPr>
      <w:r w:rsidRPr="00E731D4">
        <w:t>33.</w:t>
      </w:r>
      <w:r w:rsidRPr="00E731D4">
        <w:tab/>
        <w:t>призовава Съвета да издаде препоръка за установяване на общи принципи и минимални стандарти за финансово образование въз основа на подход, който включва сътрудничество между публичния сектор и частните участници; предлага европейската референтна точка за събиране на добри практики, проучвания и инструменти автоматично да включва приноса на университети, организации на гражданското общество, мозъчни тръстове и финансови институции, които вече развиват успешни инициативи;</w:t>
      </w:r>
    </w:p>
    <w:p w14:paraId="7E439B30" w14:textId="77777777" w:rsidR="00D77F5B" w:rsidRPr="00E731D4" w:rsidRDefault="00D77F5B" w:rsidP="00D77F5B">
      <w:pPr>
        <w:pStyle w:val="Normal12a"/>
      </w:pPr>
      <w:r w:rsidRPr="00E731D4">
        <w:rPr>
          <w:b/>
          <w:i/>
        </w:rPr>
        <w:t>Финансовата грамотност като крайъгълен камък на съюза на спестяванията и инвестициите</w:t>
      </w:r>
    </w:p>
    <w:p w14:paraId="02A58870" w14:textId="77777777" w:rsidR="00D77F5B" w:rsidRPr="00E731D4" w:rsidRDefault="00D77F5B" w:rsidP="00D77F5B">
      <w:pPr>
        <w:pStyle w:val="NormalHanging12a"/>
      </w:pPr>
      <w:r w:rsidRPr="00E731D4">
        <w:t>34.</w:t>
      </w:r>
      <w:r w:rsidRPr="00E731D4">
        <w:tab/>
        <w:t>приветства съобщението на Комисията от 30 септември 2025 г. относно стратегия за финансова грамотност за ЕС и взема под внимание нейните четири стълба, като подчертава, че тази важна инициатива трябва да бъде последвана, когато е целесъобразно и във възможно най-кратък срок, от конкретни мерки;</w:t>
      </w:r>
    </w:p>
    <w:p w14:paraId="236FD7E1" w14:textId="77777777" w:rsidR="00D77F5B" w:rsidRPr="00E731D4" w:rsidRDefault="00D77F5B" w:rsidP="00D77F5B">
      <w:pPr>
        <w:pStyle w:val="NormalHanging12a"/>
      </w:pPr>
      <w:r w:rsidRPr="00E731D4">
        <w:t>35.</w:t>
      </w:r>
      <w:r w:rsidRPr="00E731D4">
        <w:tab/>
        <w:t>приветства намерението на Комисията да проведе обширна комуникационна кампания и кампания в социалните медии относно финансовата грамотност, както е посочено в стратегията на ЕС за финансова грамотност; счита, че тази кампания следва да бъде постоянна, многоезична и общоевропейска, разработена в сътрудничество с националните органи, обществените радио- и телевизионни оператори, културните мрежи и независимите организации за проверка на фактите и следва да бъде насочена към разобличаване на финансовата дезинформация, насърчаване на безопасното онлайн поведение и предупреждаване на гражданите за широко разпространени финансови измамнически схеми­, особено на младите и по-възрастните хора; счита, че националните компетентни органи следва да осъществяват целенасочена разяснителна работа чрез социалните и традиционните медии, за да се повиши осведомеността и да се подобри финансовата грамотност;</w:t>
      </w:r>
    </w:p>
    <w:p w14:paraId="14B98625" w14:textId="77777777" w:rsidR="00D77F5B" w:rsidRPr="00E731D4" w:rsidRDefault="00D77F5B" w:rsidP="00D77F5B">
      <w:pPr>
        <w:pStyle w:val="NormalHanging12a"/>
      </w:pPr>
      <w:r w:rsidRPr="00E731D4">
        <w:t>36.</w:t>
      </w:r>
      <w:r w:rsidRPr="00E731D4">
        <w:tab/>
        <w:t>припомня, че Европейският съвет призова за спешни мерки, като се започне от училищата, с които да се насърчава финансовата грамотност в обществото; подчертава, че новата стратегия на ЕС за финансова грамотност и изложените в нея мерки имат за цел значително да подобрят равнищата на финансово образование в цяла Европа и следва да бъдат използвани като инструмент за насърчаване на икономическия растеж и конкурентоспособността, както и на финансовото равенство и равните възможности;</w:t>
      </w:r>
    </w:p>
    <w:p w14:paraId="2C5BF4C9" w14:textId="77777777" w:rsidR="00D77F5B" w:rsidRPr="00E731D4" w:rsidRDefault="00D77F5B" w:rsidP="00D77F5B">
      <w:pPr>
        <w:pStyle w:val="NormalHanging12a"/>
      </w:pPr>
      <w:r w:rsidRPr="00E731D4">
        <w:t>37.</w:t>
      </w:r>
      <w:r w:rsidRPr="00E731D4">
        <w:tab/>
        <w:t xml:space="preserve">отбелязва, че стратегията на Комисията за финансова грамотност, като част от съюза на спестяванията и инвестициите, е съсредоточена върху конкурентоспособността и освобождаването на спестявания и инвестиции, но </w:t>
      </w:r>
      <w:r w:rsidRPr="00E731D4">
        <w:lastRenderedPageBreak/>
        <w:t>подчертава, че тя следва също така да включва насърчаването на равни възможности и финансово овластяване за всички граждани; призовава за конкретни мерки, които да дадат възможност на гражданите, особено на тези от най-уязвимите групи, да изграждат, управляват и увеличават своето богатство; настоятелно призовава към финансовата грамотност да се подхожда всеобхватно и тя да се използва като инструмент за насърчаване на икономическия растеж и конкурентоспособността, както и на финансовото равенство и равните възможности;</w:t>
      </w:r>
    </w:p>
    <w:p w14:paraId="5ECA9776" w14:textId="77777777" w:rsidR="00D77F5B" w:rsidRPr="00E731D4" w:rsidRDefault="00D77F5B" w:rsidP="00D77F5B">
      <w:pPr>
        <w:pStyle w:val="NormalHanging12a"/>
      </w:pPr>
      <w:r w:rsidRPr="00E731D4">
        <w:t>38.</w:t>
      </w:r>
      <w:r w:rsidRPr="00E731D4">
        <w:tab/>
        <w:t>подчертава, че е важно националните стратегии и стратегиите на ЕС за финансова грамотност да се основават на съответните доказателства и анализи, съобразени със специфичните характеристики на всяка юрисдикция; припомня необходимостта от систематично наблюдение и оценка на финансовата грамотност, за да се предоставят съпоставими данни, чрез които да се оцени напредъкът във времето, и подчертава, че е от жизненоважно значение да се извлекат поуки от най-добрите практики в отделните държави членки;</w:t>
      </w:r>
    </w:p>
    <w:p w14:paraId="1D217EE8" w14:textId="77777777" w:rsidR="00D77F5B" w:rsidRPr="00E731D4" w:rsidRDefault="00D77F5B" w:rsidP="00D77F5B">
      <w:pPr>
        <w:pStyle w:val="NormalHanging12a"/>
      </w:pPr>
      <w:r w:rsidRPr="00E731D4">
        <w:t>39.</w:t>
      </w:r>
      <w:r w:rsidRPr="00E731D4">
        <w:tab/>
        <w:t>призовава Комисията да включи предприемачеството в обхвата на стратегията за финансова грамотност и в инструментариум за държавите членки за засилване на координацията в това отношение;</w:t>
      </w:r>
    </w:p>
    <w:p w14:paraId="290E597B" w14:textId="77777777" w:rsidR="00D77F5B" w:rsidRPr="00E731D4" w:rsidRDefault="00D77F5B" w:rsidP="00D77F5B">
      <w:pPr>
        <w:pStyle w:val="NormalHanging12a"/>
      </w:pPr>
      <w:r w:rsidRPr="00E731D4">
        <w:t>40.</w:t>
      </w:r>
      <w:r w:rsidRPr="00E731D4">
        <w:tab/>
        <w:t>подкрепя целта за изготвяне на план за действие на ЕС относно финансовите измами онлайн и припомня необходимостта от справяне с високите равнища на финансови измами с надеждни мерки за предотвратяване и смекчаване на последиците на регулаторно, надзорно и административно равнище;</w:t>
      </w:r>
    </w:p>
    <w:p w14:paraId="268B9D4D" w14:textId="77777777" w:rsidR="00D77F5B" w:rsidRPr="00E731D4" w:rsidRDefault="00D77F5B" w:rsidP="00D77F5B">
      <w:pPr>
        <w:pStyle w:val="NormalHanging12a"/>
      </w:pPr>
      <w:r w:rsidRPr="00E731D4">
        <w:t>41.</w:t>
      </w:r>
      <w:r w:rsidRPr="00E731D4">
        <w:tab/>
        <w:t>подчертава необходимостта от съсредоточаване на усилията върху пенсионната грамотност, за да се допринесе за пенсионната сигурност на гражданите в ЕС и да се гарантира, че гражданите на ЕС осъзнават значението на публичните задължителни пенсии, професионалните пенсии и допълнителните лични пенсии; припомня значението на застрахователните и пенсионните продукти като начини за спестяване, които са от полза както за финансовото здраве и сигурност на гражданите, така и за конкурентните капиталови пазари, като стимулират развитието на съюза на спестяванията и инвестициите;</w:t>
      </w:r>
    </w:p>
    <w:p w14:paraId="551E4FBD" w14:textId="77777777" w:rsidR="00D77F5B" w:rsidRPr="00E731D4" w:rsidRDefault="00D77F5B" w:rsidP="00D77F5B">
      <w:pPr>
        <w:pStyle w:val="NormalHanging12a"/>
      </w:pPr>
      <w:r w:rsidRPr="00E731D4">
        <w:t>42.</w:t>
      </w:r>
      <w:r w:rsidRPr="00E731D4">
        <w:tab/>
        <w:t xml:space="preserve">приканва Комисията и европейските надзорни органи да поддържат, разширяват и редовно да актуализират достъпен регистър на ЕС с възможност за търсене на инициативи на ЕС и национални инициативи за финансово образование, както е описано в съобщението на Комисията, включително най-добри практики относно програмите на работното място, проектите за ангажиране на младите хора и основаните на общността подходи в подкрепа на по-широкото използване на добрите примери на държавите членки; подчертава, че този регистър следва да се основава на съществуващите платформи и инфраструктура и следва да използва във възможно най-голяма степен съществуващите национални и частни ресурси, за да се предотврати дублирането на работа, което би оказало по-голям натиск върху бюджета на ЕС; подчертава, че акцентът следва да бъде поставен върху качеството и съпоставимостта на наличната информация; настоява, че този регистър трябва да има специален раздел за ресурси за киберсигурност и предотвратяване на измамнически схеми в интернет, който да е създаден в сътрудничество с националните агенции за киберсигурност; подчертава, че регистърът следва също така да включва иновативни и доказани инициативи от държави извън ЕС, които биха могли да послужат като планове за действие на ЕС, </w:t>
      </w:r>
      <w:r w:rsidRPr="00E731D4">
        <w:lastRenderedPageBreak/>
        <w:t>като същевременно останат икономически ефективни и не създават ненужна допълнителна административна тежест за участващите заинтересовани страни;</w:t>
      </w:r>
    </w:p>
    <w:p w14:paraId="06E5EB6B" w14:textId="77777777" w:rsidR="00D77F5B" w:rsidRPr="00E731D4" w:rsidRDefault="00D77F5B" w:rsidP="00D77F5B">
      <w:pPr>
        <w:pStyle w:val="NormalHanging12a"/>
      </w:pPr>
      <w:r w:rsidRPr="00E731D4">
        <w:t>43.</w:t>
      </w:r>
      <w:r w:rsidRPr="00E731D4">
        <w:tab/>
        <w:t>подчертава, че проектите за финансова грамотност, които се финансират или съфинансират от ЕС или се управляват от публични органи, следва да бъдат подкрепени от строги инструменти за оценка, включително, когато е целесъобразно, последващи оценки или въпросници, чието предназначение е да оценяват развитието на финансовите знания сред получателите на образование в областта на финансовата грамотност и степента, в която техните финансови навици са се променили;</w:t>
      </w:r>
    </w:p>
    <w:p w14:paraId="3D850E9C" w14:textId="77777777" w:rsidR="00D77F5B" w:rsidRPr="00E731D4" w:rsidRDefault="00D77F5B" w:rsidP="00D77F5B">
      <w:pPr>
        <w:pStyle w:val="NormalHanging12a"/>
      </w:pPr>
      <w:r w:rsidRPr="00E731D4">
        <w:t>44.</w:t>
      </w:r>
      <w:r w:rsidRPr="00E731D4">
        <w:tab/>
        <w:t>призовава Комисията да докладва до края на 2027 г. относно възприемането и ефективността на стратегията за финансова грамотност, като направи разбивка на информацията по държави членки и по целеви области, когато е целесъобразно, и като включи резултатите от мрежата на посланиците, предложения кодекс за поведение и комуникационната кампания в целия ЕС и предложи допълнителни действия, ако това бъде счетено за необходимо; приканва Комисията да представи тези констатации на Парламента; призовава Комисията да публикува доклад за напредъка в това отношение на всеки три години и/или проучване на Евробарометър относно финансовата грамотност;</w:t>
      </w:r>
    </w:p>
    <w:p w14:paraId="348E4CFE" w14:textId="77777777" w:rsidR="00D77F5B" w:rsidRPr="00E731D4" w:rsidRDefault="00D77F5B" w:rsidP="00D77F5B">
      <w:pPr>
        <w:pStyle w:val="NormalHanging12a"/>
      </w:pPr>
      <w:r w:rsidRPr="00E731D4">
        <w:t>45.</w:t>
      </w:r>
      <w:r w:rsidRPr="00E731D4">
        <w:tab/>
        <w:t>признава, че финансовата грамотност може да бъде придобита от много източници и че наличието на множество подходи е полезно; признава също така, че хората вече проучват възможностите за инвестиции на дребно чрез лесни за използване продукти, например фондове, търгувани на организирани пазари, често чрез онлайн портали или цифрови приложения; подчертава значението за обществото и за индивидуалната финансова сигурност на засиленото участие на инвеститорите на дребно на финансовите пазари, при условие че това участие е информирано; приветства, че европейските граждани развиват култура на инвестиции, за която способстват медиите и онлайн ангажирането, и призовава за ускоряване на този процес;</w:t>
      </w:r>
    </w:p>
    <w:p w14:paraId="522C6957" w14:textId="77777777" w:rsidR="00D77F5B" w:rsidRPr="00E731D4" w:rsidRDefault="00D77F5B" w:rsidP="00D77F5B">
      <w:pPr>
        <w:pStyle w:val="NormalHanging12a"/>
      </w:pPr>
      <w:r w:rsidRPr="00E731D4">
        <w:t>46.</w:t>
      </w:r>
      <w:r w:rsidRPr="00E731D4">
        <w:tab/>
        <w:t>приветства ангажимента на Комисията да премине към опростяване на нормативната уредба и очаква нейните усилия в това отношение да доведат до по-малко сложност на финансовите продукти, като същевременно се запазят високи стандарти за защита на инвеститорите; изисква от Комисията да прилага принципите на своята стратегия за финансова грамотност, както и принципите на пропорционалност, субсидиарност и основан на доказателства анализ, в контекста на евентуални инициативи в областта на банковото дело, финансовите пазари или регулаторните рамки в областта на застраховането, за да направи финансовите продукти по-прозрачни и по-лесни за разбиране от крайните ползватели, без да се подкопават съществуващите стандарти за защита на потребителите и инвеститорите; освен това счита, че е важно тези принципи да бъдат взети предвид в планирания пакет за образованието, предвиден в работната програма на Комисията за 2026 г.;</w:t>
      </w:r>
    </w:p>
    <w:p w14:paraId="0CD209DF" w14:textId="77777777" w:rsidR="00D77F5B" w:rsidRPr="00E731D4" w:rsidRDefault="00D77F5B" w:rsidP="00D77F5B">
      <w:pPr>
        <w:pStyle w:val="NormalHanging12a"/>
      </w:pPr>
      <w:r w:rsidRPr="00E731D4">
        <w:t>47.</w:t>
      </w:r>
      <w:r w:rsidRPr="00E731D4">
        <w:tab/>
        <w:t xml:space="preserve">подчертава необходимостта от систематична политическа съгласуваност между финансовата грамотност, правилата за защита на инвеститорите на дребно, европейския подробен план за спестовно-инвестиционни сметки, други инициативи в рамките на съюза на спестяванията и инвестициите и разпоредбите за банковия и финансовия пазар, за да се гарантира защитата на потребителите и </w:t>
      </w:r>
      <w:r w:rsidRPr="00E731D4">
        <w:lastRenderedPageBreak/>
        <w:t>да се осигури предлагането на прозрачни, съобразени с риска, но лесно достъпни финансови продукти за гражданите;</w:t>
      </w:r>
    </w:p>
    <w:p w14:paraId="70D16CA0" w14:textId="77777777" w:rsidR="00D77F5B" w:rsidRPr="00E731D4" w:rsidRDefault="00D77F5B" w:rsidP="00D77F5B">
      <w:pPr>
        <w:pStyle w:val="NormalHanging12a"/>
      </w:pPr>
      <w:r w:rsidRPr="00E731D4">
        <w:t>48.</w:t>
      </w:r>
      <w:r w:rsidRPr="00E731D4">
        <w:tab/>
        <w:t xml:space="preserve">подчертава, че финансовата грамотност трябва да обхваща и уменията в областта на киберсигурността, включително признаването на опитите за </w:t>
      </w:r>
      <w:proofErr w:type="spellStart"/>
      <w:r w:rsidRPr="00E731D4">
        <w:t>фишинг</w:t>
      </w:r>
      <w:proofErr w:type="spellEnd"/>
      <w:r w:rsidRPr="00E731D4">
        <w:t>, онлайн измамническите схеми и генерираните от ИИ измами, и призовава Комисията да свърже своите стратегии в областта на финансовата грамотност и киберсигурността чрез координирани кампании за повишаване на обществената осведоменост;</w:t>
      </w:r>
    </w:p>
    <w:p w14:paraId="2D41344E" w14:textId="77777777" w:rsidR="00D77F5B" w:rsidRPr="00E731D4" w:rsidRDefault="00D77F5B" w:rsidP="00D77F5B">
      <w:pPr>
        <w:pStyle w:val="NormalHanging12a"/>
      </w:pPr>
      <w:r w:rsidRPr="00E731D4">
        <w:t>49.</w:t>
      </w:r>
      <w:r w:rsidRPr="00E731D4">
        <w:tab/>
        <w:t>подкрепя определянето на ежегоден „Европейски ден на финансовото образование“ за насърчаване на текущи инициативи за повишаване на осведомеността като последващо действие във връзка със становището на Европейския икономически и социален комитет от 16 юли 2025 г., озаглавено „Финансова грамотност и образование за европейските граждани“;</w:t>
      </w:r>
    </w:p>
    <w:p w14:paraId="398069AE" w14:textId="77777777" w:rsidR="00D77F5B" w:rsidRPr="00E731D4" w:rsidRDefault="00D77F5B" w:rsidP="00D77F5B">
      <w:pPr>
        <w:pStyle w:val="NormalHanging12a"/>
      </w:pPr>
      <w:r w:rsidRPr="00E731D4">
        <w:t>50.</w:t>
      </w:r>
      <w:r w:rsidRPr="00E731D4">
        <w:tab/>
        <w:t>призовава отново за систематична съгласуваност със законодателните инструменти извън областта на финансовите услуги и банковия сектор и подчертава, че е важно да се гарантира, че въпросите, свързани с финансовата грамотност, се вземат предвид в контекста на бъдещия Акт за справедливост в областта на цифровите технологии и прилагането на Акта за цифровите услуги, така че задълженията на онлайн платформите и правилата в областта на потребителското право да подкрепят резултатите в областта на финансовата грамотност и безопасните цифрови инвестиционни маршрути;</w:t>
      </w:r>
    </w:p>
    <w:p w14:paraId="0E630DC8" w14:textId="77777777" w:rsidR="00D77F5B" w:rsidRPr="00E731D4" w:rsidRDefault="00D77F5B" w:rsidP="00D77F5B">
      <w:pPr>
        <w:pStyle w:val="NormalHanging12a"/>
      </w:pPr>
      <w:r w:rsidRPr="00E731D4">
        <w:t>51.</w:t>
      </w:r>
      <w:r w:rsidRPr="00E731D4">
        <w:tab/>
        <w:t>посочва, че цифровата революция, предизвикана от ИИ, предлага възможност за съчетаване на финансовото образование с цифровата грамотност, тъй като финансовото образование може да бъде персонализирано с помощта на ИИ и различни цифрови инструменти; призовава Комисията да проучи в доклад, който ще бъде представен на Парламента, потенциала, рисковете и ограниченията на ИИ за насърчаване на финансовата грамотност, включително персонализирани, основани на ИИ образователни инструменти, съобразени с различните нужди на ползвателите, и използването на технологии с ИИ за откриване на измами, измамнически схеми в интернет, дълбинни фалшификати и други генерирани от ИИ заплахи;</w:t>
      </w:r>
    </w:p>
    <w:p w14:paraId="091475C5" w14:textId="77777777" w:rsidR="00D77F5B" w:rsidRPr="00E731D4" w:rsidRDefault="00D77F5B" w:rsidP="00D77F5B">
      <w:pPr>
        <w:pStyle w:val="NormalHanging12a"/>
      </w:pPr>
      <w:r w:rsidRPr="00E731D4">
        <w:t>52.</w:t>
      </w:r>
      <w:r w:rsidRPr="00E731D4">
        <w:tab/>
        <w:t xml:space="preserve">подчертава, че ИИ може да подкрепи увеличаването на финансовите консултации на достъпни цени, да даде възможност за автоматизирано създаване на персонализиран портфейл, да разшири програмите за финансово образование и да подкрепи предоставянето на адаптирани стимули, чрез които да се насърчава поведение, оптимизирано за финансовите цели на дадено лице; посочва, че инструментите с ИИ могат също така да доведат до значителни рискове в зависимост от начина, по който се използват от финансовите </w:t>
      </w:r>
      <w:proofErr w:type="spellStart"/>
      <w:r w:rsidRPr="00E731D4">
        <w:t>инфлуенсъри</w:t>
      </w:r>
      <w:proofErr w:type="spellEnd"/>
      <w:r w:rsidRPr="00E731D4">
        <w:t>; призовава Комисията внимателно да обмисли как да се справи с въздействието на ИИ в това отношение и да смекчи потенциалните рискове, включително свързаните с използването на лични данни;</w:t>
      </w:r>
    </w:p>
    <w:p w14:paraId="70F6BE4F" w14:textId="77777777" w:rsidR="00D77F5B" w:rsidRPr="00E731D4" w:rsidRDefault="00D77F5B" w:rsidP="00D77F5B">
      <w:pPr>
        <w:pStyle w:val="NormalHanging12a"/>
      </w:pPr>
      <w:r w:rsidRPr="00E731D4">
        <w:t>53.</w:t>
      </w:r>
      <w:r w:rsidRPr="00E731D4">
        <w:tab/>
        <w:t>насърчава Комисията да интегрира националните схеми за сравнение на спестовно-инвестиционните сметки в механизъм на ЕС за сравнение, с калкулатори за сравнение на всички такси и визуални обяснения относно аспекти като риск и възвръщаемост, сложна лихва, инфлация и такси, наред с другото;</w:t>
      </w:r>
    </w:p>
    <w:p w14:paraId="44EFE24C" w14:textId="77777777" w:rsidR="00D77F5B" w:rsidRPr="00E731D4" w:rsidRDefault="00D77F5B" w:rsidP="00D77F5B">
      <w:pPr>
        <w:pStyle w:val="NormalHanging12a"/>
      </w:pPr>
      <w:r w:rsidRPr="00E731D4">
        <w:lastRenderedPageBreak/>
        <w:t>54.</w:t>
      </w:r>
      <w:r w:rsidRPr="00E731D4">
        <w:tab/>
        <w:t>заявява отново във връзка с това, че преносимостта на спестовно-инвестиционни сметки между доставчиците и през границите е важна, за да се постигнат целите на съюза на спестяванията и инвестициите и за да се повиши финансовата осведоменост и грамотност; в този контекст разбира, че преносимостта на европейските спестовно-инвестиционни сметки следва да бъде евтина и не следва да води до данъчни събития;</w:t>
      </w:r>
    </w:p>
    <w:p w14:paraId="41C9525A" w14:textId="77777777" w:rsidR="00D77F5B" w:rsidRPr="00E731D4" w:rsidRDefault="00D77F5B" w:rsidP="00D77F5B">
      <w:pPr>
        <w:pStyle w:val="NormalHanging12a"/>
      </w:pPr>
      <w:r w:rsidRPr="00E731D4">
        <w:t>55.</w:t>
      </w:r>
      <w:r w:rsidRPr="00E731D4">
        <w:tab/>
        <w:t>призовава Комисията да направи задълбочена оценка на възможността за изготвяне на всеобхватен доклад, за да установи необходимостта и добавената стойност на евентуални целенасочени законодателни инициативи за адаптиране и опростяване на основното законодателство към политическите цели за повишаване на финансовата и цифровата грамотност и грамотността в областта на данните и медиите;</w:t>
      </w:r>
    </w:p>
    <w:p w14:paraId="6369313E" w14:textId="77777777" w:rsidR="00D77F5B" w:rsidRPr="00E731D4" w:rsidRDefault="00D77F5B" w:rsidP="00D77F5B">
      <w:pPr>
        <w:pStyle w:val="NormalHanging12a"/>
      </w:pPr>
      <w:r w:rsidRPr="00E731D4">
        <w:t>56.</w:t>
      </w:r>
      <w:r w:rsidRPr="00E731D4">
        <w:tab/>
        <w:t>подчертава значението на инициативите и съдържанието в областта на финансовата грамотност и за справянето с въздействието върху реалната икономика на инвестициите, обусловени от стандартите за корпоративна социална отговорност, а именно екологичните, социалните и управленските стандарти, и тяхната по-широка стойност за обществото;</w:t>
      </w:r>
    </w:p>
    <w:p w14:paraId="5592FC9A" w14:textId="77777777" w:rsidR="00D77F5B" w:rsidRPr="00E731D4" w:rsidRDefault="00D77F5B" w:rsidP="00D77F5B">
      <w:pPr>
        <w:pStyle w:val="NormalHanging12a"/>
      </w:pPr>
      <w:r w:rsidRPr="00E731D4">
        <w:t>57.</w:t>
      </w:r>
      <w:r w:rsidRPr="00E731D4">
        <w:tab/>
        <w:t xml:space="preserve">подчертава потенциалната добавена стойност на проектите в областта на финансовата грамотност, цифровото влияние и защитата на инвеститорите на дребно в рамките на програмата „Хоризонт Европа“ в съответствие с необходимостта от привличане в ЕС на световни таланти в областта на </w:t>
      </w:r>
      <w:proofErr w:type="spellStart"/>
      <w:r w:rsidRPr="00E731D4">
        <w:t>бихейвиористичните</w:t>
      </w:r>
      <w:proofErr w:type="spellEnd"/>
      <w:r w:rsidRPr="00E731D4">
        <w:t xml:space="preserve"> финанси;</w:t>
      </w:r>
    </w:p>
    <w:p w14:paraId="02F17B10" w14:textId="77777777" w:rsidR="00D77F5B" w:rsidRPr="00E731D4" w:rsidRDefault="00D77F5B" w:rsidP="00D77F5B">
      <w:pPr>
        <w:pStyle w:val="NormalHanging12a"/>
      </w:pPr>
      <w:r w:rsidRPr="00E731D4">
        <w:t>58.</w:t>
      </w:r>
      <w:r w:rsidRPr="00E731D4">
        <w:tab/>
        <w:t>подчертава, че е важно в инициативите за финансово образование да се интегрира всеобхватна, основана на данни информация относно криптоактивите;</w:t>
      </w:r>
    </w:p>
    <w:p w14:paraId="050AC37F" w14:textId="77777777" w:rsidR="00D77F5B" w:rsidRPr="0024462B" w:rsidRDefault="00D77F5B" w:rsidP="00D77F5B">
      <w:pPr>
        <w:pStyle w:val="Normal12a"/>
        <w:rPr>
          <w:b/>
          <w:bCs/>
        </w:rPr>
      </w:pPr>
      <w:r w:rsidRPr="0024462B">
        <w:rPr>
          <w:b/>
          <w:bCs/>
          <w:i/>
        </w:rPr>
        <w:t xml:space="preserve">Отговорността на </w:t>
      </w:r>
      <w:proofErr w:type="spellStart"/>
      <w:r w:rsidRPr="0024462B">
        <w:rPr>
          <w:b/>
          <w:bCs/>
          <w:i/>
        </w:rPr>
        <w:t>финфлуенсърите</w:t>
      </w:r>
      <w:proofErr w:type="spellEnd"/>
      <w:r w:rsidRPr="0024462B">
        <w:rPr>
          <w:b/>
          <w:bCs/>
          <w:i/>
        </w:rPr>
        <w:t xml:space="preserve"> и цифровизацията за повишаване на финансовата грамотност в Европа</w:t>
      </w:r>
    </w:p>
    <w:p w14:paraId="08FA98D6" w14:textId="77777777" w:rsidR="00D77F5B" w:rsidRPr="00E731D4" w:rsidRDefault="00D77F5B" w:rsidP="00D77F5B">
      <w:pPr>
        <w:pStyle w:val="NormalHanging12a"/>
      </w:pPr>
      <w:r w:rsidRPr="00E731D4">
        <w:t>59.</w:t>
      </w:r>
      <w:r w:rsidRPr="00E731D4">
        <w:tab/>
        <w:t xml:space="preserve">подчертава нарастващата роля на финансовите </w:t>
      </w:r>
      <w:proofErr w:type="spellStart"/>
      <w:r w:rsidRPr="00E731D4">
        <w:t>инфлуенсъри</w:t>
      </w:r>
      <w:proofErr w:type="spellEnd"/>
      <w:r w:rsidRPr="00E731D4">
        <w:t xml:space="preserve"> като посредници на финансова информация, които често се насочват към млада и недостатъчно обслужвана преди това аудитория; отбелязва техния потенциал за подобряване на финансовата грамотност, но припомня, че те трябва да спазват съществуващите правила за финансово насърчаване и защита на потребителите и да носят по-голяма отговорност и да имат повече задължения за отчетност пред своята аудитория; признава нарастващото значение на финансовите </w:t>
      </w:r>
      <w:proofErr w:type="spellStart"/>
      <w:r w:rsidRPr="00E731D4">
        <w:t>инфлуенсъри</w:t>
      </w:r>
      <w:proofErr w:type="spellEnd"/>
      <w:r w:rsidRPr="00E731D4">
        <w:t xml:space="preserve"> като основни източници на търговски съобщения относно финансови или инвестиционни услуги за определени групи;</w:t>
      </w:r>
    </w:p>
    <w:p w14:paraId="10C60EF8" w14:textId="77777777" w:rsidR="00D77F5B" w:rsidRPr="00E731D4" w:rsidRDefault="00D77F5B" w:rsidP="00D77F5B">
      <w:pPr>
        <w:pStyle w:val="NormalHanging12a"/>
      </w:pPr>
      <w:r w:rsidRPr="00E731D4">
        <w:t>60.</w:t>
      </w:r>
      <w:r w:rsidRPr="00E731D4">
        <w:tab/>
        <w:t xml:space="preserve">разбира, че съдържанието в социалните медии осигурява достъпен поток от информация за обществеността, и подчертава, че целта на всички инициативи за финансова грамотност следва да бъде насърчаването на отговорен и достъпен обмен на знания, а не ограничаването на творчеството или аудиторията на </w:t>
      </w:r>
      <w:proofErr w:type="spellStart"/>
      <w:r w:rsidRPr="00E731D4">
        <w:t>финфлуенсърите</w:t>
      </w:r>
      <w:proofErr w:type="spellEnd"/>
      <w:r w:rsidRPr="00E731D4">
        <w:t>;</w:t>
      </w:r>
    </w:p>
    <w:p w14:paraId="19390462" w14:textId="77777777" w:rsidR="00D77F5B" w:rsidRPr="00E731D4" w:rsidRDefault="00D77F5B" w:rsidP="00D77F5B">
      <w:pPr>
        <w:pStyle w:val="NormalHanging12a"/>
      </w:pPr>
      <w:r w:rsidRPr="00E731D4">
        <w:t>61.</w:t>
      </w:r>
      <w:r w:rsidRPr="00E731D4">
        <w:tab/>
        <w:t xml:space="preserve">повтаря, че съществува ясно разграничение между </w:t>
      </w:r>
      <w:proofErr w:type="spellStart"/>
      <w:r w:rsidRPr="00E731D4">
        <w:t>финфлуенсърите</w:t>
      </w:r>
      <w:proofErr w:type="spellEnd"/>
      <w:r w:rsidRPr="00E731D4">
        <w:t xml:space="preserve">, които работят прозрачно, т.е. тези, които декларират конфликти на интереси и предоставят образователно съдържание, и лицата, които използват финансовото образование като параван, действат чрез измама или злонамерено, популяризират </w:t>
      </w:r>
      <w:r w:rsidRPr="00E731D4">
        <w:lastRenderedPageBreak/>
        <w:t xml:space="preserve">неразрешени продукти или предоставят неквалифицирани съвети, включително като директно изпращат съобщения на хората или връзки към групови съобщения, за да популяризират спекулативни продукти и услуги в областта на залаганията или хазарта, често в нарушение на правилата на ЕС относно заблуждаващата реклама и защитата на потребителите; признава, че основната дейност на някои от тези финансови </w:t>
      </w:r>
      <w:proofErr w:type="spellStart"/>
      <w:r w:rsidRPr="00E731D4">
        <w:t>инфлуенсъри</w:t>
      </w:r>
      <w:proofErr w:type="spellEnd"/>
      <w:r w:rsidRPr="00E731D4">
        <w:t xml:space="preserve"> често се основава на привличане на вниманието и че това може да доведе до насърчаване на високорискови, спекулативни продукти, неподходящи за инвеститорите на дребно, което изисква специфичен подход от страна на националните органи и органите на ЕС; поради това подчертава необходимостта от ефективно трансгранично прилагане на правото на ЕС в това отношение и изтъква ролята на Мрежата за сътрудничество в областта на защитата на потребителите, за да се гарантира това;</w:t>
      </w:r>
    </w:p>
    <w:p w14:paraId="3B69F0B4" w14:textId="77777777" w:rsidR="00D77F5B" w:rsidRPr="00E731D4" w:rsidRDefault="00D77F5B" w:rsidP="00D77F5B">
      <w:pPr>
        <w:pStyle w:val="NormalHanging12a"/>
      </w:pPr>
      <w:r w:rsidRPr="00E731D4">
        <w:t>62.</w:t>
      </w:r>
      <w:r w:rsidRPr="00E731D4">
        <w:tab/>
        <w:t xml:space="preserve">насърчава общността на </w:t>
      </w:r>
      <w:proofErr w:type="spellStart"/>
      <w:r w:rsidRPr="00E731D4">
        <w:t>финфлуенсърите</w:t>
      </w:r>
      <w:proofErr w:type="spellEnd"/>
      <w:r w:rsidRPr="00E731D4">
        <w:t xml:space="preserve"> да получи финансово обучение, за да им се даде възможност да изготвят независимо съдържание и да проверяват истинността на информацията; насърчава държавите членки да предлагат обучение на финансовите </w:t>
      </w:r>
      <w:proofErr w:type="spellStart"/>
      <w:r w:rsidRPr="00E731D4">
        <w:t>инфлуенсъри</w:t>
      </w:r>
      <w:proofErr w:type="spellEnd"/>
      <w:r w:rsidRPr="00E731D4">
        <w:t xml:space="preserve"> относно правните задължения и основите на финансовото образование, предоставяно от публични органи и акредитирани доставчици;</w:t>
      </w:r>
    </w:p>
    <w:p w14:paraId="6A43FFB5" w14:textId="6E8475CD" w:rsidR="00D77F5B" w:rsidRPr="00E731D4" w:rsidRDefault="00D77F5B" w:rsidP="00D77F5B">
      <w:pPr>
        <w:pStyle w:val="NormalHanging12a"/>
      </w:pPr>
      <w:r w:rsidRPr="00E731D4">
        <w:t>63.</w:t>
      </w:r>
      <w:r w:rsidRPr="00E731D4">
        <w:tab/>
        <w:t xml:space="preserve">отбелязва, че въпреки че финансовите консултанти подлежат на строги регулаторни изисквания, финансовите </w:t>
      </w:r>
      <w:proofErr w:type="spellStart"/>
      <w:r w:rsidRPr="00E731D4">
        <w:t>инфлуенсъри</w:t>
      </w:r>
      <w:proofErr w:type="spellEnd"/>
      <w:r w:rsidRPr="00E731D4">
        <w:t xml:space="preserve"> могат де факто да действат като онлайн финансови консултанти, но понастоящем не са предмет на специална регулаторна рамка, което оставя вратата отворена за заблуждаващи практики; във връзка с това отбелязва промените, които ще бъдат въведени с предложената директива за изменение на директиви 2009/65/ЕО, 2009/138/ЕО, 2011/61/ЕС, 2014/65/ЕС и (ЕС) 2016/97 по отношение на правилата на ЕС за защита на инвеститорите на дребно (Директива „Омнибус“ за стратегията за инвестициите на дребно), чиято цел е да се преодолеят рисковете за инвеститорите на дребно, породени от финансовите </w:t>
      </w:r>
      <w:proofErr w:type="spellStart"/>
      <w:r w:rsidRPr="00E731D4">
        <w:t>инфлуенсъри</w:t>
      </w:r>
      <w:proofErr w:type="spellEnd"/>
      <w:r w:rsidRPr="00E731D4">
        <w:t xml:space="preserve">, чрез налагане на задължения на финансовите </w:t>
      </w:r>
      <w:proofErr w:type="spellStart"/>
      <w:r w:rsidRPr="00E731D4">
        <w:t>инфлуенсъри</w:t>
      </w:r>
      <w:proofErr w:type="spellEnd"/>
      <w:r w:rsidRPr="00E731D4">
        <w:t xml:space="preserve"> и дружествата за финансови услуги, които използват техните услуги; отбелязва обаче, че някои </w:t>
      </w:r>
      <w:proofErr w:type="spellStart"/>
      <w:r w:rsidRPr="00E731D4">
        <w:t>финфлуенсъри</w:t>
      </w:r>
      <w:proofErr w:type="spellEnd"/>
      <w:r w:rsidRPr="00E731D4">
        <w:t xml:space="preserve"> не са ангажирани от лицензирани финансови институции, нито предлагат лицензирани финансови продукти или консултации, и следователно попадат извън обхвата на надзора на компетентните органи;</w:t>
      </w:r>
    </w:p>
    <w:p w14:paraId="4DB5A62F" w14:textId="77777777" w:rsidR="00D77F5B" w:rsidRPr="00E731D4" w:rsidRDefault="00D77F5B" w:rsidP="00D77F5B">
      <w:pPr>
        <w:pStyle w:val="NormalHanging12a"/>
      </w:pPr>
      <w:r w:rsidRPr="00E731D4">
        <w:t>64.</w:t>
      </w:r>
      <w:r w:rsidRPr="00E731D4">
        <w:tab/>
        <w:t xml:space="preserve">насърчава Комисията изрично да включи </w:t>
      </w:r>
      <w:proofErr w:type="spellStart"/>
      <w:r w:rsidRPr="00E731D4">
        <w:t>финфлуенсърите</w:t>
      </w:r>
      <w:proofErr w:type="spellEnd"/>
      <w:r w:rsidRPr="00E731D4">
        <w:t xml:space="preserve"> и платформите, които хостват финансово съдържание, в предстоящия Европейски кодекс за поведение за частни организации и организации с нестопанска цел, а именно чрез доброволен печат за спазващите изискванията създатели на съдържание, за да се определят общи минимални изисквания относно прозрачността, управлението на конфликтите на интереси и качеството на предоставяната информация; подчертава важността на задълженията и етичните стандарти за финансовите </w:t>
      </w:r>
      <w:proofErr w:type="spellStart"/>
      <w:r w:rsidRPr="00E731D4">
        <w:t>инфлуенсъри</w:t>
      </w:r>
      <w:proofErr w:type="spellEnd"/>
      <w:r w:rsidRPr="00E731D4">
        <w:t>, както и за марките, които си сътрудничат с тях, като се има предвид потенциалното им въздействие върху финансовото благосъстояние на тяхната аудитория;</w:t>
      </w:r>
    </w:p>
    <w:p w14:paraId="4CB53456" w14:textId="77777777" w:rsidR="00D77F5B" w:rsidRPr="00E731D4" w:rsidRDefault="00D77F5B" w:rsidP="00D77F5B">
      <w:pPr>
        <w:pStyle w:val="NormalHanging12a"/>
      </w:pPr>
      <w:r w:rsidRPr="00E731D4">
        <w:t>65.</w:t>
      </w:r>
      <w:r w:rsidRPr="00E731D4">
        <w:tab/>
        <w:t xml:space="preserve">посочва, че съгласно съществуващата правна рамка финансовите посредници трябва да спазват мерки, които имат за цел да осигурят високи стандарти на защита на инвеститорите; отбелязва освен това, че задължителните мерки – и съответните инвестиции – насочени към подобряване на техническия експертен опит на финансовите консултанти, са неразделна част от това; отбелязва, че </w:t>
      </w:r>
      <w:r w:rsidRPr="00E731D4">
        <w:lastRenderedPageBreak/>
        <w:t xml:space="preserve">постигнатото споразумение относно актуализираната стратегия за инвестициите на дребно ще въведе изискване за писмено споразумение между </w:t>
      </w:r>
      <w:proofErr w:type="spellStart"/>
      <w:r w:rsidRPr="00E731D4">
        <w:t>финфлуенсърите</w:t>
      </w:r>
      <w:proofErr w:type="spellEnd"/>
      <w:r w:rsidRPr="00E731D4">
        <w:t xml:space="preserve"> и инвестиционните посредници, което ще повиши прозрачността и защитата на инвеститорите на дребно;</w:t>
      </w:r>
    </w:p>
    <w:p w14:paraId="5EA5AA39" w14:textId="77777777" w:rsidR="00D77F5B" w:rsidRPr="00E731D4" w:rsidRDefault="00D77F5B" w:rsidP="00D77F5B">
      <w:pPr>
        <w:pStyle w:val="NormalHanging12a"/>
      </w:pPr>
      <w:r w:rsidRPr="00E731D4">
        <w:t>66.</w:t>
      </w:r>
      <w:r w:rsidRPr="00E731D4">
        <w:tab/>
        <w:t xml:space="preserve">подчертава необходимостта от ясна и ефективна рамка, чрез която националните компетентни органи да могат да наблюдават и упражняват надзор върху финансовите </w:t>
      </w:r>
      <w:proofErr w:type="spellStart"/>
      <w:r w:rsidRPr="00E731D4">
        <w:t>инфлуенсъри</w:t>
      </w:r>
      <w:proofErr w:type="spellEnd"/>
      <w:r w:rsidRPr="00E731D4">
        <w:t>, за да се защитят потребителите от невярна информация и конфликти на интереси и да се запази доверието в онлайн финансовото образование;</w:t>
      </w:r>
    </w:p>
    <w:p w14:paraId="14802487" w14:textId="77777777" w:rsidR="00D77F5B" w:rsidRPr="00E731D4" w:rsidRDefault="00D77F5B" w:rsidP="00D77F5B">
      <w:pPr>
        <w:pStyle w:val="NormalHanging12a"/>
      </w:pPr>
      <w:r w:rsidRPr="00E731D4">
        <w:t>67.</w:t>
      </w:r>
      <w:r w:rsidRPr="00E731D4">
        <w:tab/>
        <w:t>призовава онлайн платформите да оповестяват пред потребителите по прозрачен начин рисковете, свързани с финансовите инструменти с по-висок риск, например чрез използване на предупреждения за рискове, и при етикетирането на търговско съдържание да прилагат инструменти за разбиране на промоционалните кампании; препоръчва въвеждането на бързи, ефикасни инструменти за обучение, вградени в спонсорирано съдържание, които да са в съответствие с рамките за компетентност на ЕС/ОИСР и които да се позовават на надеждни публични ресурси;</w:t>
      </w:r>
    </w:p>
    <w:p w14:paraId="1305FE07" w14:textId="77777777" w:rsidR="00D77F5B" w:rsidRPr="00E731D4" w:rsidRDefault="00D77F5B" w:rsidP="00D77F5B">
      <w:pPr>
        <w:pStyle w:val="NormalHanging12a"/>
      </w:pPr>
      <w:r w:rsidRPr="00E731D4">
        <w:t>68.</w:t>
      </w:r>
      <w:r w:rsidRPr="00E731D4">
        <w:tab/>
        <w:t>подчертава значението на ефективния надзор и прилагане на правната рамка на ЕС, по-специално Акта за цифровите услуги и Директивата за аудио-визуалните медийни услуги, във връзка с онлайн търговските съобщения, от гледна точка на защитата на благосъстоянието на потребителите и намаляването на рисковете от финансови вреди онлайн;</w:t>
      </w:r>
    </w:p>
    <w:p w14:paraId="67EF01BF" w14:textId="77777777" w:rsidR="00D77F5B" w:rsidRPr="00E731D4" w:rsidRDefault="00D77F5B" w:rsidP="00D77F5B">
      <w:pPr>
        <w:pStyle w:val="NormalHanging12a"/>
      </w:pPr>
      <w:r w:rsidRPr="00E731D4">
        <w:t>69.</w:t>
      </w:r>
      <w:r w:rsidRPr="00E731D4">
        <w:tab/>
        <w:t xml:space="preserve">призовава платформите да продължат да насърчават изтъкнати и законни образователни канали в областта на финансовата грамотност и подчертава отговорността на платформите да идентифицират и смекчават рисковете от подвеждащо съдържание и онлайн измами, включително чрез прилагане на иновативни характеристики в областта на етикетирането на търговски съобщения, средства за предупреждение за рискове и ускорени процедури за уведомяване и предприемане на действия срещу незаконно или очевидно вредно съдържание; отбелязва, че е важно да се поддържа регулаторна рамка, която запазва гъвкавостта си и е в състояние да включва нововъзникващите тенденции на финансовите пазари, като по този начин се гарантира, че регулаторните мерки са в крак с промените в реалния свят, включително тези, свързани със социалните медии и </w:t>
      </w:r>
      <w:proofErr w:type="spellStart"/>
      <w:r w:rsidRPr="00E731D4">
        <w:t>финфлуенсърите</w:t>
      </w:r>
      <w:proofErr w:type="spellEnd"/>
      <w:r w:rsidRPr="00E731D4">
        <w:t>;</w:t>
      </w:r>
    </w:p>
    <w:p w14:paraId="5722E6DC" w14:textId="77777777" w:rsidR="00D77F5B" w:rsidRPr="00E731D4" w:rsidRDefault="00D77F5B" w:rsidP="00D77F5B">
      <w:pPr>
        <w:pStyle w:val="NormalHanging12a"/>
      </w:pPr>
      <w:r w:rsidRPr="00E731D4">
        <w:t>70.</w:t>
      </w:r>
      <w:r w:rsidRPr="00E731D4">
        <w:tab/>
        <w:t xml:space="preserve">призовава настоятелно платформите да усъвършенстват идентифицирането и справянето със съдържание, което би могло да насърчи пирамидални схеми или други потенциално измамни практики, насочени към неопитни инвеститори на дребно; подчертава необходимостта от бърза и задължителна намеса от страна на платформите, за да се премахва подвеждащо или измамно съдържание и с ясни последици за </w:t>
      </w:r>
      <w:proofErr w:type="spellStart"/>
      <w:r w:rsidRPr="00E731D4">
        <w:t>инфлуенсърите</w:t>
      </w:r>
      <w:proofErr w:type="spellEnd"/>
      <w:r w:rsidRPr="00E731D4">
        <w:t>, участващи в такива дейности;</w:t>
      </w:r>
    </w:p>
    <w:p w14:paraId="70FF6407" w14:textId="77777777" w:rsidR="00D77F5B" w:rsidRPr="00E731D4" w:rsidRDefault="00D77F5B" w:rsidP="00D77F5B">
      <w:pPr>
        <w:pStyle w:val="NormalHanging12a"/>
      </w:pPr>
      <w:r w:rsidRPr="00E731D4">
        <w:t>71.</w:t>
      </w:r>
      <w:r w:rsidRPr="00E731D4">
        <w:tab/>
        <w:t xml:space="preserve">подчертава необходимостта от образователни програми за </w:t>
      </w:r>
      <w:proofErr w:type="spellStart"/>
      <w:r w:rsidRPr="00E731D4">
        <w:t>финфлуенсърите</w:t>
      </w:r>
      <w:proofErr w:type="spellEnd"/>
      <w:r w:rsidRPr="00E731D4">
        <w:t xml:space="preserve">, за да се гарантира, че те напълно разбират приложимите правни рамки, етичните стандарти, задълженията за прозрачност и оповестяване, както и колко е важно да съобщават ясно и балансирано както ползите, така и рисковете от продуктите или услугите, които насърчават; освен това призовава държавите членки да насърчават обучението на финансовите </w:t>
      </w:r>
      <w:proofErr w:type="spellStart"/>
      <w:r w:rsidRPr="00E731D4">
        <w:t>инфлуенсъри</w:t>
      </w:r>
      <w:proofErr w:type="spellEnd"/>
      <w:r w:rsidRPr="00E731D4">
        <w:t xml:space="preserve"> относно правните норми и </w:t>
      </w:r>
      <w:r w:rsidRPr="00E731D4">
        <w:lastRenderedPageBreak/>
        <w:t>етичните стандарти, които трябва да спазват, когато популяризират финансови продукти;</w:t>
      </w:r>
    </w:p>
    <w:p w14:paraId="10AD6625" w14:textId="77777777" w:rsidR="00D77F5B" w:rsidRPr="00E731D4" w:rsidRDefault="00D77F5B" w:rsidP="00D77F5B">
      <w:pPr>
        <w:pStyle w:val="NormalHanging12a"/>
      </w:pPr>
      <w:r w:rsidRPr="00E731D4">
        <w:t>72.</w:t>
      </w:r>
      <w:r w:rsidRPr="00E731D4">
        <w:tab/>
        <w:t xml:space="preserve">подчертава социалната отговорност на </w:t>
      </w:r>
      <w:proofErr w:type="spellStart"/>
      <w:r w:rsidRPr="00E731D4">
        <w:t>финфлуенсърите</w:t>
      </w:r>
      <w:proofErr w:type="spellEnd"/>
      <w:r w:rsidRPr="00E731D4">
        <w:t>, като се има предвид, че са в състояние по-добре да достигат до нова аудитория и с оглед на приноса им за повишаване на равнищата на финансова грамотност; поради това призовава тези цифрови участници да допринесат за създаването на Европейската стратегия за финансова грамотност и да участват в прояви и инициативи, насърчавани от Комисията и/или държавите членки, като същевременно спазват най-високите стандарти за независимост и прозрачност и съблюдават правилата за безпристрастна финансова реклама;</w:t>
      </w:r>
    </w:p>
    <w:p w14:paraId="673447D2" w14:textId="77777777" w:rsidR="00D77F5B" w:rsidRPr="00E731D4" w:rsidRDefault="00D77F5B" w:rsidP="00D77F5B">
      <w:pPr>
        <w:pStyle w:val="NormalHanging12a"/>
      </w:pPr>
      <w:r w:rsidRPr="00E731D4">
        <w:t>73.</w:t>
      </w:r>
      <w:r w:rsidRPr="00E731D4">
        <w:tab/>
        <w:t xml:space="preserve">заявява готовността си да помогне за оценката на добавената стойност на насоките на ЕС относно комуникациите на </w:t>
      </w:r>
      <w:proofErr w:type="spellStart"/>
      <w:r w:rsidRPr="00E731D4">
        <w:t>финфлуенсърите</w:t>
      </w:r>
      <w:proofErr w:type="spellEnd"/>
      <w:r w:rsidRPr="00E731D4">
        <w:t>, като се има предвид потенциалното отрицателно въздействие на рекламирането на рискови продукти и непроверените или подвеждащи съвети, промотирани от някои участници без подходяща отчетност;</w:t>
      </w:r>
    </w:p>
    <w:p w14:paraId="5BB42DD6" w14:textId="1CAA0BA1" w:rsidR="00D77F5B" w:rsidRPr="00E731D4" w:rsidRDefault="00D77F5B" w:rsidP="00D77F5B">
      <w:pPr>
        <w:pStyle w:val="NormalHanging12a"/>
      </w:pPr>
      <w:r w:rsidRPr="00E731D4">
        <w:t>74.</w:t>
      </w:r>
      <w:r w:rsidRPr="00E731D4">
        <w:tab/>
        <w:t xml:space="preserve">обръща внимание на факта, че ако финансовите </w:t>
      </w:r>
      <w:proofErr w:type="spellStart"/>
      <w:r w:rsidRPr="00E731D4">
        <w:t>инфлуенсъри</w:t>
      </w:r>
      <w:proofErr w:type="spellEnd"/>
      <w:r w:rsidRPr="00E731D4">
        <w:t xml:space="preserve"> споделят в социалните медии мнение във връзка със стойността или цената на даден финансов инструмент или препоръчват инвестиционна стратегия дори с образователна цел, те може би публикуват инвестиционна препоръка, попадаща в обхвата на Регламента относно пазарната злоупотреба</w:t>
      </w:r>
      <w:r w:rsidR="008F3111">
        <w:rPr>
          <w:rStyle w:val="FootnoteReference"/>
        </w:rPr>
        <w:footnoteReference w:id="5"/>
      </w:r>
      <w:r w:rsidRPr="00E731D4">
        <w:t>; отбелязва, че някои публични съобщения, публикувани в социалните медии, могат да носят рискове във връзка с пазарна злоупотреба, т.е. манипулиране на пазара, злоупотреба с вътрешна информация и незаконно оповестяване на вътрешна информация</w:t>
      </w:r>
      <w:r w:rsidR="008F3111">
        <w:rPr>
          <w:rStyle w:val="FootnoteReference"/>
        </w:rPr>
        <w:footnoteReference w:id="6"/>
      </w:r>
      <w:r w:rsidRPr="00E731D4">
        <w:t>;</w:t>
      </w:r>
    </w:p>
    <w:p w14:paraId="2A4F4FD2" w14:textId="77777777" w:rsidR="00D77F5B" w:rsidRPr="00E731D4" w:rsidRDefault="00D77F5B" w:rsidP="00D77F5B">
      <w:pPr>
        <w:pStyle w:val="NormalHanging12a"/>
      </w:pPr>
      <w:r w:rsidRPr="00E731D4">
        <w:t>75.</w:t>
      </w:r>
      <w:r w:rsidRPr="00E731D4">
        <w:tab/>
        <w:t>призовава настоятелно Европейския орган за ценни книжа и пазари и националните органи на държавите членки да издадат практически насоки относно това кога публикациите в социалните медии се определят като инвестиционни препоръки съгласно правилата на ЕС за пазарната злоупотреба и да изяснят задълженията за оповестяване;</w:t>
      </w:r>
    </w:p>
    <w:p w14:paraId="3FB60667" w14:textId="727E731C" w:rsidR="00D77F5B" w:rsidRPr="00E731D4" w:rsidRDefault="00D77F5B" w:rsidP="00D77F5B">
      <w:pPr>
        <w:pStyle w:val="NormalHanging12a"/>
      </w:pPr>
      <w:r w:rsidRPr="00E731D4">
        <w:t>76.</w:t>
      </w:r>
      <w:r w:rsidRPr="00E731D4">
        <w:tab/>
        <w:t>отбелязва нарастващото използване на генерирано от ИИ финансово съдържание и призовава за стандарти за оповестяване на произход от ИИ и за воден знак в съответствие с Акта за изкуствения интелект</w:t>
      </w:r>
      <w:r w:rsidR="008F3111">
        <w:rPr>
          <w:rStyle w:val="FootnoteReference"/>
        </w:rPr>
        <w:footnoteReference w:id="7"/>
      </w:r>
      <w:r w:rsidRPr="00E731D4">
        <w:t xml:space="preserve"> и секторните насоки относно използването на ИИ в инвестиционните услуги на дребно;</w:t>
      </w:r>
    </w:p>
    <w:p w14:paraId="45207276" w14:textId="77777777" w:rsidR="00D77F5B" w:rsidRPr="00E731D4" w:rsidRDefault="00D77F5B" w:rsidP="00D77F5B">
      <w:pPr>
        <w:pStyle w:val="NormalHanging12a"/>
      </w:pPr>
      <w:r w:rsidRPr="00E731D4">
        <w:lastRenderedPageBreak/>
        <w:t>77.</w:t>
      </w:r>
      <w:r w:rsidRPr="00E731D4">
        <w:tab/>
        <w:t>призовава Комисията да прилага изцяло цифровите правила на ЕС, по-специално Акта за цифровите услуги, за да гарантира, че онлайн платформите изпълняват изцяло своята отговорност за смекчаване на рисковете и защита на потребителите от онлайн измами и финансови измами, включително генерирани от ИИ дълбинни фалшификати; освен това призовава Комисията, държавите членки и европейските надзорни органи да засилят капацитета си за наблюдение и ранно откриване, включително чрез използването на усъвършенствани аналитични инструменти, за да защитят по-добре инвеститорите и да запазят доверието във финансовия пазар, тъй като общественото доверие е от ключово значение за изграждането на финансова грамотност и отключването на частните инвестиции;</w:t>
      </w:r>
    </w:p>
    <w:p w14:paraId="08D3F8EE" w14:textId="77777777" w:rsidR="00D77F5B" w:rsidRPr="00E731D4" w:rsidRDefault="00D77F5B" w:rsidP="00D77F5B">
      <w:pPr>
        <w:pStyle w:val="NormalHanging12a"/>
      </w:pPr>
      <w:r w:rsidRPr="00E731D4">
        <w:t>78.</w:t>
      </w:r>
      <w:r w:rsidRPr="00E731D4">
        <w:tab/>
        <w:t xml:space="preserve">припомня, че съгласно Директивата за аудио-визуалните медийни услуги държавите членки са задължени да насърчават и предприемат мерки за развитието на умения за медийна грамотност и да докладват на Комисията по този въпрос; насърчава националните медийни регулатори да включват теми, свързани с финансовата грамотност и финансовите </w:t>
      </w:r>
      <w:proofErr w:type="spellStart"/>
      <w:r w:rsidRPr="00E731D4">
        <w:t>инфлуенсъри</w:t>
      </w:r>
      <w:proofErr w:type="spellEnd"/>
      <w:r w:rsidRPr="00E731D4">
        <w:t>, при прилагането на мерки, насочени към развиване на умения за медийна грамотност;</w:t>
      </w:r>
    </w:p>
    <w:p w14:paraId="470170B1" w14:textId="77777777" w:rsidR="00D77F5B" w:rsidRPr="00E731D4" w:rsidRDefault="00D77F5B" w:rsidP="00D77F5B">
      <w:pPr>
        <w:pStyle w:val="NormalHanging12a"/>
      </w:pPr>
      <w:r w:rsidRPr="00E731D4">
        <w:t>79.</w:t>
      </w:r>
      <w:r w:rsidRPr="00E731D4">
        <w:tab/>
        <w:t xml:space="preserve">призовава Европейския съвет за медийни услуги и Европейския съвет за цифровите услуги да предоставят допълнителни насоки за възможните действия, чиято цел е да се повиши цифровата и медийната грамотност, включително дейности, свързани с финансови </w:t>
      </w:r>
      <w:proofErr w:type="spellStart"/>
      <w:r w:rsidRPr="00E731D4">
        <w:t>инфлуенсъри</w:t>
      </w:r>
      <w:proofErr w:type="spellEnd"/>
      <w:r w:rsidRPr="00E731D4">
        <w:t>, и непрекъснато да предприемат координирани действия, предназначени да сведат до минимум риска потребителите да станат жертви на финансови измами или скрити търговски съобщения, свързани с финансови или инвестиционни услуги;</w:t>
      </w:r>
    </w:p>
    <w:p w14:paraId="1D4D12EA" w14:textId="77777777" w:rsidR="00D77F5B" w:rsidRPr="00E731D4" w:rsidRDefault="00D77F5B" w:rsidP="00D77F5B">
      <w:pPr>
        <w:pStyle w:val="NormalHanging12a"/>
      </w:pPr>
      <w:r w:rsidRPr="00E731D4">
        <w:t>80.</w:t>
      </w:r>
      <w:r w:rsidRPr="00E731D4">
        <w:tab/>
        <w:t xml:space="preserve">предлага Комисията да организира общоевропейска среща на високо равнище с участието на </w:t>
      </w:r>
      <w:proofErr w:type="spellStart"/>
      <w:r w:rsidRPr="00E731D4">
        <w:t>финфлуенсъри</w:t>
      </w:r>
      <w:proofErr w:type="spellEnd"/>
      <w:r w:rsidRPr="00E731D4">
        <w:t>, представители на финансовите услуги и финансовите технологии, представители на потребителите и регулаторните органи, за да се обсъдят най-добрите практики за подобряване на финансовата грамотност онлайн и да се проучат подходящи, пропорционални подходи (като саморегулиране или доброволни стандарти), за да се гарантира точността на цифровото финансово съдържание; препоръчва предложената среща на високо равнище да включва организации на гражданското общество, профсъюзи, сдружения на потребителите, преподаватели и институционални заинтересовани страни;</w:t>
      </w:r>
    </w:p>
    <w:p w14:paraId="30DB61F7" w14:textId="77777777" w:rsidR="00D77F5B" w:rsidRPr="00E731D4" w:rsidRDefault="00D77F5B" w:rsidP="00D77F5B">
      <w:pPr>
        <w:pStyle w:val="NormalHanging12a"/>
      </w:pPr>
      <w:r w:rsidRPr="00E731D4">
        <w:t>81.</w:t>
      </w:r>
      <w:r w:rsidRPr="00E731D4">
        <w:tab/>
        <w:t xml:space="preserve">призовава Комисията и правителствата на държавите членки да работят с финансови </w:t>
      </w:r>
      <w:proofErr w:type="spellStart"/>
      <w:r w:rsidRPr="00E731D4">
        <w:t>инфлуенсъри</w:t>
      </w:r>
      <w:proofErr w:type="spellEnd"/>
      <w:r w:rsidRPr="00E731D4">
        <w:t>, за да се създават информационни, основани на факти, отговорни и ангажиращи целенасочени медийни кампании относно възможностите, предлагани от участието на дребно на финансовите пазари, и за да се повишава финансовата грамотност по привлекателен начин, така че да се изгради култура на инвестиране в ЕС;</w:t>
      </w:r>
    </w:p>
    <w:p w14:paraId="6B4A1B17" w14:textId="77777777" w:rsidR="00D77F5B" w:rsidRPr="00E731D4" w:rsidRDefault="00D77F5B" w:rsidP="00D77F5B">
      <w:pPr>
        <w:pStyle w:val="NormalHanging12a"/>
      </w:pPr>
      <w:r w:rsidRPr="00E731D4">
        <w:t>82.</w:t>
      </w:r>
      <w:r w:rsidRPr="00E731D4">
        <w:tab/>
        <w:t>подчертава, че използването на цифровизацията и ИИ може да генерира значителна добавена стойност, като направи възможностите за инвестиции, конкуренцията и прозрачността по-видими, като предоставя, наред с другото, инструменти за финансова грамотност, сравняване на такси и продукти и персонализирани оценки на възвръщаемостта въз основа на пазарни данни в реално време;</w:t>
      </w:r>
    </w:p>
    <w:p w14:paraId="14FE43CF" w14:textId="77777777" w:rsidR="00D77F5B" w:rsidRPr="00E731D4" w:rsidRDefault="00D77F5B" w:rsidP="00D77F5B">
      <w:pPr>
        <w:pStyle w:val="NormalCenter12a"/>
      </w:pPr>
      <w:r w:rsidRPr="00E731D4">
        <w:t>°</w:t>
      </w:r>
    </w:p>
    <w:p w14:paraId="797C18D0" w14:textId="77777777" w:rsidR="00D77F5B" w:rsidRPr="00E731D4" w:rsidRDefault="00D77F5B" w:rsidP="00D77F5B">
      <w:pPr>
        <w:pStyle w:val="NormalCenter12a"/>
      </w:pPr>
      <w:r w:rsidRPr="00E731D4">
        <w:lastRenderedPageBreak/>
        <w:t>°</w:t>
      </w:r>
      <w:r w:rsidRPr="00E731D4">
        <w:tab/>
        <w:t>°</w:t>
      </w:r>
    </w:p>
    <w:p w14:paraId="28D0E1BE" w14:textId="3489FA59" w:rsidR="00E731D4" w:rsidRPr="00E731D4" w:rsidRDefault="00D77F5B" w:rsidP="00E731D4">
      <w:pPr>
        <w:pStyle w:val="NormalHanging12a"/>
      </w:pPr>
      <w:r w:rsidRPr="00E731D4">
        <w:t>83.</w:t>
      </w:r>
      <w:r w:rsidRPr="00E731D4">
        <w:tab/>
        <w:t>възлага на своя председател да предаде настоящата резолюция съответно на Съвета и Комисията.</w:t>
      </w:r>
    </w:p>
    <w:p w14:paraId="1697F0B7" w14:textId="314BDF65" w:rsidR="00E365E1" w:rsidRPr="00E731D4" w:rsidRDefault="00E365E1" w:rsidP="002B5EDD"/>
    <w:sectPr w:rsidR="00E365E1" w:rsidRPr="00E731D4" w:rsidSect="00E731D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AF682" w14:textId="77777777" w:rsidR="002B5EDD" w:rsidRPr="00E731D4" w:rsidRDefault="002B5EDD">
      <w:r w:rsidRPr="00E731D4">
        <w:separator/>
      </w:r>
    </w:p>
  </w:endnote>
  <w:endnote w:type="continuationSeparator" w:id="0">
    <w:p w14:paraId="5E6BC83A" w14:textId="77777777" w:rsidR="002B5EDD" w:rsidRPr="00E731D4" w:rsidRDefault="002B5EDD">
      <w:r w:rsidRPr="00E731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17057" w14:textId="77777777" w:rsidR="002B5EDD" w:rsidRPr="00E731D4" w:rsidRDefault="002B5EDD">
      <w:r w:rsidRPr="00E731D4">
        <w:separator/>
      </w:r>
    </w:p>
  </w:footnote>
  <w:footnote w:type="continuationSeparator" w:id="0">
    <w:p w14:paraId="6CD90687" w14:textId="77777777" w:rsidR="002B5EDD" w:rsidRPr="00E731D4" w:rsidRDefault="002B5EDD">
      <w:r w:rsidRPr="00E731D4">
        <w:continuationSeparator/>
      </w:r>
    </w:p>
  </w:footnote>
  <w:footnote w:id="1">
    <w:p w14:paraId="26814E1D" w14:textId="0EED499B" w:rsidR="008F3111" w:rsidRPr="00E731D4" w:rsidRDefault="008F3111" w:rsidP="00E731D4">
      <w:pPr>
        <w:pStyle w:val="FootnoteText"/>
        <w:ind w:left="567" w:hanging="567"/>
        <w:rPr>
          <w:sz w:val="24"/>
          <w:lang w:val="bg-BG"/>
        </w:rPr>
      </w:pPr>
      <w:r>
        <w:rPr>
          <w:rStyle w:val="FootnoteReference"/>
        </w:rPr>
        <w:footnoteRef/>
      </w:r>
      <w:r w:rsidRPr="00E731D4">
        <w:rPr>
          <w:sz w:val="24"/>
          <w:vertAlign w:val="superscript"/>
          <w:lang w:val="bg-BG"/>
        </w:rPr>
        <w:t xml:space="preserve"> </w:t>
      </w:r>
      <w:r w:rsidRPr="00E731D4">
        <w:rPr>
          <w:sz w:val="24"/>
          <w:vertAlign w:val="superscript"/>
          <w:lang w:val="bg-BG"/>
        </w:rPr>
        <w:tab/>
      </w:r>
      <w:r w:rsidRPr="00E731D4">
        <w:rPr>
          <w:sz w:val="24"/>
          <w:lang w:val="bg-BG"/>
        </w:rPr>
        <w:t xml:space="preserve">OВ L 303, 28.11.2018 г., стр. 69, ELI: </w:t>
      </w:r>
      <w:r>
        <w:fldChar w:fldCharType="begin"/>
      </w:r>
      <w:r w:rsidRPr="00174B19">
        <w:rPr>
          <w:lang w:val="fi-FI"/>
        </w:rPr>
        <w:instrText>HYPERLINK "http://data.europa.eu/eli/dir/2018/1808/oj" \t "http://data.europa.eu/eli/dir/2018/1808/oj"</w:instrText>
      </w:r>
      <w:r>
        <w:fldChar w:fldCharType="separate"/>
      </w:r>
      <w:r w:rsidRPr="00E731D4">
        <w:rPr>
          <w:rStyle w:val="Hyperlink"/>
          <w:sz w:val="24"/>
          <w:lang w:val="bg-BG"/>
        </w:rPr>
        <w:t>http://data.europa.eu/eli/dir/2018/1808/oj</w:t>
      </w:r>
      <w:r>
        <w:fldChar w:fldCharType="end"/>
      </w:r>
      <w:r w:rsidRPr="00E731D4">
        <w:rPr>
          <w:sz w:val="24"/>
          <w:lang w:val="bg-BG"/>
        </w:rPr>
        <w:t>.</w:t>
      </w:r>
    </w:p>
  </w:footnote>
  <w:footnote w:id="2">
    <w:p w14:paraId="6BA37E48" w14:textId="7AAA6B58" w:rsidR="008F3111" w:rsidRPr="00E731D4" w:rsidRDefault="008F3111" w:rsidP="00E731D4">
      <w:pPr>
        <w:pStyle w:val="FootnoteText"/>
        <w:ind w:left="567" w:hanging="567"/>
        <w:rPr>
          <w:sz w:val="24"/>
          <w:lang w:val="bg-BG"/>
        </w:rPr>
      </w:pPr>
      <w:r>
        <w:rPr>
          <w:rStyle w:val="FootnoteReference"/>
        </w:rPr>
        <w:footnoteRef/>
      </w:r>
      <w:r w:rsidRPr="00E731D4">
        <w:rPr>
          <w:sz w:val="24"/>
          <w:vertAlign w:val="superscript"/>
          <w:lang w:val="bg-BG"/>
        </w:rPr>
        <w:t xml:space="preserve"> </w:t>
      </w:r>
      <w:r w:rsidRPr="00E731D4">
        <w:rPr>
          <w:sz w:val="24"/>
          <w:vertAlign w:val="superscript"/>
          <w:lang w:val="bg-BG"/>
        </w:rPr>
        <w:tab/>
      </w:r>
      <w:r w:rsidRPr="00E731D4">
        <w:rPr>
          <w:sz w:val="24"/>
          <w:lang w:val="bg-BG"/>
        </w:rPr>
        <w:t xml:space="preserve">ОВ L 277, 27.10.2022 г., стр. 1, ELI: </w:t>
      </w:r>
      <w:r>
        <w:fldChar w:fldCharType="begin"/>
      </w:r>
      <w:r>
        <w:instrText>HYPERLINK</w:instrText>
      </w:r>
      <w:r w:rsidRPr="00174B19">
        <w:rPr>
          <w:lang w:val="ru-RU"/>
        </w:rPr>
        <w:instrText xml:space="preserve"> "</w:instrText>
      </w:r>
      <w:r>
        <w:instrText>http</w:instrText>
      </w:r>
      <w:r w:rsidRPr="00174B19">
        <w:rPr>
          <w:lang w:val="ru-RU"/>
        </w:rPr>
        <w:instrText>://</w:instrText>
      </w:r>
      <w:r>
        <w:instrText>data</w:instrText>
      </w:r>
      <w:r w:rsidRPr="00174B19">
        <w:rPr>
          <w:lang w:val="ru-RU"/>
        </w:rPr>
        <w:instrText>.</w:instrText>
      </w:r>
      <w:r>
        <w:instrText>europa</w:instrText>
      </w:r>
      <w:r w:rsidRPr="00174B19">
        <w:rPr>
          <w:lang w:val="ru-RU"/>
        </w:rPr>
        <w:instrText>.</w:instrText>
      </w:r>
      <w:r>
        <w:instrText>eu</w:instrText>
      </w:r>
      <w:r w:rsidRPr="00174B19">
        <w:rPr>
          <w:lang w:val="ru-RU"/>
        </w:rPr>
        <w:instrText>/</w:instrText>
      </w:r>
      <w:r>
        <w:instrText>eli</w:instrText>
      </w:r>
      <w:r w:rsidRPr="00174B19">
        <w:rPr>
          <w:lang w:val="ru-RU"/>
        </w:rPr>
        <w:instrText>/</w:instrText>
      </w:r>
      <w:r>
        <w:instrText>reg</w:instrText>
      </w:r>
      <w:r w:rsidRPr="00174B19">
        <w:rPr>
          <w:lang w:val="ru-RU"/>
        </w:rPr>
        <w:instrText>/2022/2065/</w:instrText>
      </w:r>
      <w:r>
        <w:instrText>oj</w:instrText>
      </w:r>
      <w:r w:rsidRPr="00174B19">
        <w:rPr>
          <w:lang w:val="ru-RU"/>
        </w:rPr>
        <w:instrText>" \</w:instrText>
      </w:r>
      <w:r>
        <w:instrText>t</w:instrText>
      </w:r>
      <w:r w:rsidRPr="00174B19">
        <w:rPr>
          <w:lang w:val="ru-RU"/>
        </w:rPr>
        <w:instrText xml:space="preserve"> "</w:instrText>
      </w:r>
      <w:r>
        <w:instrText>http</w:instrText>
      </w:r>
      <w:r w:rsidRPr="00174B19">
        <w:rPr>
          <w:lang w:val="ru-RU"/>
        </w:rPr>
        <w:instrText>://</w:instrText>
      </w:r>
      <w:r>
        <w:instrText>data</w:instrText>
      </w:r>
      <w:r w:rsidRPr="00174B19">
        <w:rPr>
          <w:lang w:val="ru-RU"/>
        </w:rPr>
        <w:instrText>.</w:instrText>
      </w:r>
      <w:r>
        <w:instrText>europa</w:instrText>
      </w:r>
      <w:r w:rsidRPr="00174B19">
        <w:rPr>
          <w:lang w:val="ru-RU"/>
        </w:rPr>
        <w:instrText>.</w:instrText>
      </w:r>
      <w:r>
        <w:instrText>eu</w:instrText>
      </w:r>
      <w:r w:rsidRPr="00174B19">
        <w:rPr>
          <w:lang w:val="ru-RU"/>
        </w:rPr>
        <w:instrText>/</w:instrText>
      </w:r>
      <w:r>
        <w:instrText>eli</w:instrText>
      </w:r>
      <w:r w:rsidRPr="00174B19">
        <w:rPr>
          <w:lang w:val="ru-RU"/>
        </w:rPr>
        <w:instrText>/</w:instrText>
      </w:r>
      <w:r>
        <w:instrText>reg</w:instrText>
      </w:r>
      <w:r w:rsidRPr="00174B19">
        <w:rPr>
          <w:lang w:val="ru-RU"/>
        </w:rPr>
        <w:instrText>/2022/2065/</w:instrText>
      </w:r>
      <w:r>
        <w:instrText>oj</w:instrText>
      </w:r>
      <w:r w:rsidRPr="00174B19">
        <w:rPr>
          <w:lang w:val="ru-RU"/>
        </w:rPr>
        <w:instrText>"</w:instrText>
      </w:r>
      <w:r>
        <w:fldChar w:fldCharType="separate"/>
      </w:r>
      <w:r w:rsidRPr="00E731D4">
        <w:rPr>
          <w:rStyle w:val="Hyperlink"/>
          <w:sz w:val="24"/>
          <w:lang w:val="bg-BG"/>
        </w:rPr>
        <w:t>http://data.europa.eu/eli/reg/2022/2065/oj</w:t>
      </w:r>
      <w:r>
        <w:fldChar w:fldCharType="end"/>
      </w:r>
      <w:r w:rsidRPr="00E731D4">
        <w:rPr>
          <w:sz w:val="24"/>
          <w:lang w:val="bg-BG"/>
        </w:rPr>
        <w:t>.</w:t>
      </w:r>
    </w:p>
  </w:footnote>
  <w:footnote w:id="3">
    <w:p w14:paraId="61F5681B" w14:textId="2E65F6D0" w:rsidR="008F3111" w:rsidRPr="00E731D4" w:rsidRDefault="008F3111" w:rsidP="00E731D4">
      <w:pPr>
        <w:pStyle w:val="FootnoteText"/>
        <w:ind w:left="567" w:hanging="567"/>
        <w:rPr>
          <w:sz w:val="24"/>
          <w:lang w:val="bg-BG"/>
        </w:rPr>
      </w:pPr>
      <w:r>
        <w:rPr>
          <w:rStyle w:val="FootnoteReference"/>
        </w:rPr>
        <w:footnoteRef/>
      </w:r>
      <w:r w:rsidRPr="00E731D4">
        <w:rPr>
          <w:sz w:val="24"/>
          <w:vertAlign w:val="superscript"/>
          <w:lang w:val="bg-BG"/>
        </w:rPr>
        <w:t xml:space="preserve"> </w:t>
      </w:r>
      <w:r w:rsidRPr="00E731D4">
        <w:rPr>
          <w:sz w:val="24"/>
          <w:vertAlign w:val="superscript"/>
          <w:lang w:val="bg-BG"/>
        </w:rPr>
        <w:tab/>
      </w:r>
      <w:r w:rsidRPr="00E731D4">
        <w:rPr>
          <w:sz w:val="24"/>
          <w:lang w:val="bg-BG"/>
        </w:rPr>
        <w:t>Препоръка на Съвета от 22 май 2018 г. относно ключовите компетентности за учене през целия живот (OВ C 189, 4.6.2018 г., стр. 1).</w:t>
      </w:r>
    </w:p>
  </w:footnote>
  <w:footnote w:id="4">
    <w:p w14:paraId="49E07E83" w14:textId="57779C78" w:rsidR="008F3111" w:rsidRPr="00E731D4" w:rsidRDefault="008F3111" w:rsidP="00E731D4">
      <w:pPr>
        <w:pStyle w:val="FootnoteText"/>
        <w:ind w:left="567" w:hanging="567"/>
        <w:rPr>
          <w:sz w:val="24"/>
          <w:lang w:val="bg-BG"/>
        </w:rPr>
      </w:pPr>
      <w:r>
        <w:rPr>
          <w:rStyle w:val="FootnoteReference"/>
        </w:rPr>
        <w:footnoteRef/>
      </w:r>
      <w:r w:rsidRPr="00E731D4">
        <w:rPr>
          <w:sz w:val="24"/>
          <w:vertAlign w:val="superscript"/>
          <w:lang w:val="bg-BG"/>
        </w:rPr>
        <w:t xml:space="preserve"> </w:t>
      </w:r>
      <w:r w:rsidRPr="00E731D4">
        <w:rPr>
          <w:sz w:val="24"/>
          <w:vertAlign w:val="superscript"/>
          <w:lang w:val="bg-BG"/>
        </w:rPr>
        <w:tab/>
      </w:r>
      <w:r w:rsidRPr="00E731D4">
        <w:rPr>
          <w:sz w:val="24"/>
          <w:lang w:val="bg-BG"/>
        </w:rPr>
        <w:t xml:space="preserve">ОИСР, OECD/INFE </w:t>
      </w:r>
      <w:proofErr w:type="spellStart"/>
      <w:r w:rsidRPr="00E731D4">
        <w:rPr>
          <w:sz w:val="24"/>
          <w:lang w:val="bg-BG"/>
        </w:rPr>
        <w:t>Toolkit</w:t>
      </w:r>
      <w:proofErr w:type="spellEnd"/>
      <w:r w:rsidRPr="00E731D4">
        <w:rPr>
          <w:sz w:val="24"/>
          <w:lang w:val="bg-BG"/>
        </w:rPr>
        <w:t xml:space="preserve"> </w:t>
      </w:r>
      <w:proofErr w:type="spellStart"/>
      <w:r w:rsidRPr="00E731D4">
        <w:rPr>
          <w:sz w:val="24"/>
          <w:lang w:val="bg-BG"/>
        </w:rPr>
        <w:t>for</w:t>
      </w:r>
      <w:proofErr w:type="spellEnd"/>
      <w:r w:rsidRPr="00E731D4">
        <w:rPr>
          <w:sz w:val="24"/>
          <w:lang w:val="bg-BG"/>
        </w:rPr>
        <w:t xml:space="preserve"> </w:t>
      </w:r>
      <w:proofErr w:type="spellStart"/>
      <w:r w:rsidRPr="00E731D4">
        <w:rPr>
          <w:sz w:val="24"/>
          <w:lang w:val="bg-BG"/>
        </w:rPr>
        <w:t>Measuring</w:t>
      </w:r>
      <w:proofErr w:type="spellEnd"/>
      <w:r w:rsidRPr="00E731D4">
        <w:rPr>
          <w:sz w:val="24"/>
          <w:lang w:val="bg-BG"/>
        </w:rPr>
        <w:t xml:space="preserve"> </w:t>
      </w:r>
      <w:proofErr w:type="spellStart"/>
      <w:r w:rsidRPr="00E731D4">
        <w:rPr>
          <w:sz w:val="24"/>
          <w:lang w:val="bg-BG"/>
        </w:rPr>
        <w:t>Financial</w:t>
      </w:r>
      <w:proofErr w:type="spellEnd"/>
      <w:r w:rsidRPr="00E731D4">
        <w:rPr>
          <w:sz w:val="24"/>
          <w:lang w:val="bg-BG"/>
        </w:rPr>
        <w:t xml:space="preserve"> </w:t>
      </w:r>
      <w:proofErr w:type="spellStart"/>
      <w:r w:rsidRPr="00E731D4">
        <w:rPr>
          <w:sz w:val="24"/>
          <w:lang w:val="bg-BG"/>
        </w:rPr>
        <w:t>Literacy</w:t>
      </w:r>
      <w:proofErr w:type="spellEnd"/>
      <w:r w:rsidRPr="00E731D4">
        <w:rPr>
          <w:sz w:val="24"/>
          <w:lang w:val="bg-BG"/>
        </w:rPr>
        <w:t xml:space="preserve"> </w:t>
      </w:r>
      <w:proofErr w:type="spellStart"/>
      <w:r w:rsidRPr="00E731D4">
        <w:rPr>
          <w:sz w:val="24"/>
          <w:lang w:val="bg-BG"/>
        </w:rPr>
        <w:t>and</w:t>
      </w:r>
      <w:proofErr w:type="spellEnd"/>
      <w:r w:rsidRPr="00E731D4">
        <w:rPr>
          <w:sz w:val="24"/>
          <w:lang w:val="bg-BG"/>
        </w:rPr>
        <w:t xml:space="preserve"> </w:t>
      </w:r>
      <w:proofErr w:type="spellStart"/>
      <w:r w:rsidRPr="00E731D4">
        <w:rPr>
          <w:sz w:val="24"/>
          <w:lang w:val="bg-BG"/>
        </w:rPr>
        <w:t>Financial</w:t>
      </w:r>
      <w:proofErr w:type="spellEnd"/>
      <w:r w:rsidRPr="00E731D4">
        <w:rPr>
          <w:sz w:val="24"/>
          <w:lang w:val="bg-BG"/>
        </w:rPr>
        <w:t xml:space="preserve"> </w:t>
      </w:r>
      <w:proofErr w:type="spellStart"/>
      <w:r w:rsidRPr="00E731D4">
        <w:rPr>
          <w:sz w:val="24"/>
          <w:lang w:val="bg-BG"/>
        </w:rPr>
        <w:t>Inclusion</w:t>
      </w:r>
      <w:proofErr w:type="spellEnd"/>
      <w:r w:rsidRPr="00E731D4">
        <w:rPr>
          <w:sz w:val="24"/>
          <w:lang w:val="bg-BG"/>
        </w:rPr>
        <w:t xml:space="preserve"> 2022 (Инструментариум на ОИСР/ММФО за измерване на финансовата грамотност и финансовото приобщаване за 2022 г.), OECD </w:t>
      </w:r>
      <w:proofErr w:type="spellStart"/>
      <w:r w:rsidRPr="00E731D4">
        <w:rPr>
          <w:sz w:val="24"/>
          <w:lang w:val="bg-BG"/>
        </w:rPr>
        <w:t>Publishing</w:t>
      </w:r>
      <w:proofErr w:type="spellEnd"/>
      <w:r w:rsidRPr="00E731D4">
        <w:rPr>
          <w:sz w:val="24"/>
          <w:lang w:val="bg-BG"/>
        </w:rPr>
        <w:t>, Париж, 2022 г.</w:t>
      </w:r>
    </w:p>
  </w:footnote>
  <w:footnote w:id="5">
    <w:p w14:paraId="62BBEF69" w14:textId="5F54D36F" w:rsidR="008F3111" w:rsidRPr="00E731D4" w:rsidRDefault="008F3111" w:rsidP="00E731D4">
      <w:pPr>
        <w:pStyle w:val="FootnoteText"/>
        <w:ind w:left="567" w:hanging="567"/>
        <w:rPr>
          <w:sz w:val="24"/>
          <w:lang w:val="bg-BG"/>
        </w:rPr>
      </w:pPr>
      <w:r>
        <w:rPr>
          <w:rStyle w:val="FootnoteReference"/>
        </w:rPr>
        <w:footnoteRef/>
      </w:r>
      <w:r w:rsidRPr="00E731D4">
        <w:rPr>
          <w:sz w:val="24"/>
          <w:vertAlign w:val="superscript"/>
          <w:lang w:val="bg-BG"/>
        </w:rPr>
        <w:t xml:space="preserve"> </w:t>
      </w:r>
      <w:r w:rsidRPr="00E731D4">
        <w:rPr>
          <w:sz w:val="24"/>
          <w:vertAlign w:val="superscript"/>
          <w:lang w:val="bg-BG"/>
        </w:rPr>
        <w:tab/>
      </w:r>
      <w:r w:rsidRPr="00E731D4">
        <w:rPr>
          <w:sz w:val="24"/>
          <w:lang w:val="bg-BG"/>
        </w:rPr>
        <w:t xml:space="preserve">Регламент (ЕС) № 596/2014 на Европейския парламент и на Съвета от 16 април 2014 година относно пазарната злоупотреба (Регламент относно пазарната злоупотреба) и за отмяна на Директива 2003/6/ЕО на Европейския парламент и на Съвета и директиви 2003/124/ЕО, 2003/125/ЕО и 2004/72/ЕО на Комисията (OB L 173, 12.6.2014 г., стр. 1, ELI: </w:t>
      </w:r>
      <w:r>
        <w:fldChar w:fldCharType="begin"/>
      </w:r>
      <w:r>
        <w:instrText>HYPERLINK</w:instrText>
      </w:r>
      <w:r w:rsidRPr="00174B19">
        <w:rPr>
          <w:lang w:val="ru-RU"/>
        </w:rPr>
        <w:instrText xml:space="preserve"> "</w:instrText>
      </w:r>
      <w:r>
        <w:instrText>http</w:instrText>
      </w:r>
      <w:r w:rsidRPr="00174B19">
        <w:rPr>
          <w:lang w:val="ru-RU"/>
        </w:rPr>
        <w:instrText>://</w:instrText>
      </w:r>
      <w:r>
        <w:instrText>data</w:instrText>
      </w:r>
      <w:r w:rsidRPr="00174B19">
        <w:rPr>
          <w:lang w:val="ru-RU"/>
        </w:rPr>
        <w:instrText>.</w:instrText>
      </w:r>
      <w:r>
        <w:instrText>europa</w:instrText>
      </w:r>
      <w:r w:rsidRPr="00174B19">
        <w:rPr>
          <w:lang w:val="ru-RU"/>
        </w:rPr>
        <w:instrText>.</w:instrText>
      </w:r>
      <w:r>
        <w:instrText>eu</w:instrText>
      </w:r>
      <w:r w:rsidRPr="00174B19">
        <w:rPr>
          <w:lang w:val="ru-RU"/>
        </w:rPr>
        <w:instrText>/</w:instrText>
      </w:r>
      <w:r>
        <w:instrText>eli</w:instrText>
      </w:r>
      <w:r w:rsidRPr="00174B19">
        <w:rPr>
          <w:lang w:val="ru-RU"/>
        </w:rPr>
        <w:instrText>/</w:instrText>
      </w:r>
      <w:r>
        <w:instrText>reg</w:instrText>
      </w:r>
      <w:r w:rsidRPr="00174B19">
        <w:rPr>
          <w:lang w:val="ru-RU"/>
        </w:rPr>
        <w:instrText>/2014/596/</w:instrText>
      </w:r>
      <w:r>
        <w:instrText>oj</w:instrText>
      </w:r>
      <w:r w:rsidRPr="00174B19">
        <w:rPr>
          <w:lang w:val="ru-RU"/>
        </w:rPr>
        <w:instrText>" \</w:instrText>
      </w:r>
      <w:r>
        <w:instrText>t</w:instrText>
      </w:r>
      <w:r w:rsidRPr="00174B19">
        <w:rPr>
          <w:lang w:val="ru-RU"/>
        </w:rPr>
        <w:instrText xml:space="preserve"> "</w:instrText>
      </w:r>
      <w:r>
        <w:instrText>http</w:instrText>
      </w:r>
      <w:r w:rsidRPr="00174B19">
        <w:rPr>
          <w:lang w:val="ru-RU"/>
        </w:rPr>
        <w:instrText>://</w:instrText>
      </w:r>
      <w:r>
        <w:instrText>data</w:instrText>
      </w:r>
      <w:r w:rsidRPr="00174B19">
        <w:rPr>
          <w:lang w:val="ru-RU"/>
        </w:rPr>
        <w:instrText>.</w:instrText>
      </w:r>
      <w:r>
        <w:instrText>europa</w:instrText>
      </w:r>
      <w:r w:rsidRPr="00174B19">
        <w:rPr>
          <w:lang w:val="ru-RU"/>
        </w:rPr>
        <w:instrText>.</w:instrText>
      </w:r>
      <w:r>
        <w:instrText>eu</w:instrText>
      </w:r>
      <w:r w:rsidRPr="00174B19">
        <w:rPr>
          <w:lang w:val="ru-RU"/>
        </w:rPr>
        <w:instrText>/</w:instrText>
      </w:r>
      <w:r>
        <w:instrText>eli</w:instrText>
      </w:r>
      <w:r w:rsidRPr="00174B19">
        <w:rPr>
          <w:lang w:val="ru-RU"/>
        </w:rPr>
        <w:instrText>/</w:instrText>
      </w:r>
      <w:r>
        <w:instrText>reg</w:instrText>
      </w:r>
      <w:r w:rsidRPr="00174B19">
        <w:rPr>
          <w:lang w:val="ru-RU"/>
        </w:rPr>
        <w:instrText>/2014/596/</w:instrText>
      </w:r>
      <w:r>
        <w:instrText>oj</w:instrText>
      </w:r>
      <w:r w:rsidRPr="00174B19">
        <w:rPr>
          <w:lang w:val="ru-RU"/>
        </w:rPr>
        <w:instrText>"</w:instrText>
      </w:r>
      <w:r>
        <w:fldChar w:fldCharType="separate"/>
      </w:r>
      <w:r w:rsidRPr="00E731D4">
        <w:rPr>
          <w:rStyle w:val="Hyperlink"/>
          <w:sz w:val="24"/>
          <w:lang w:val="bg-BG"/>
        </w:rPr>
        <w:t>http://data.europa.eu/eli/reg/2014/596/oj</w:t>
      </w:r>
      <w:r>
        <w:fldChar w:fldCharType="end"/>
      </w:r>
      <w:r w:rsidRPr="00E731D4">
        <w:rPr>
          <w:sz w:val="24"/>
          <w:lang w:val="bg-BG"/>
        </w:rPr>
        <w:t>).</w:t>
      </w:r>
    </w:p>
  </w:footnote>
  <w:footnote w:id="6">
    <w:p w14:paraId="43AB4605" w14:textId="31E783FD" w:rsidR="008F3111" w:rsidRPr="00E731D4" w:rsidRDefault="008F3111" w:rsidP="00E731D4">
      <w:pPr>
        <w:pStyle w:val="FootnoteText"/>
        <w:ind w:left="567" w:hanging="567"/>
        <w:rPr>
          <w:sz w:val="24"/>
          <w:lang w:val="bg-BG"/>
        </w:rPr>
      </w:pPr>
      <w:r>
        <w:rPr>
          <w:rStyle w:val="FootnoteReference"/>
        </w:rPr>
        <w:footnoteRef/>
      </w:r>
      <w:r w:rsidRPr="00E731D4">
        <w:rPr>
          <w:sz w:val="24"/>
          <w:vertAlign w:val="superscript"/>
          <w:lang w:val="bg-BG"/>
        </w:rPr>
        <w:t xml:space="preserve"> </w:t>
      </w:r>
      <w:r w:rsidRPr="00E731D4">
        <w:rPr>
          <w:sz w:val="24"/>
          <w:vertAlign w:val="superscript"/>
          <w:lang w:val="bg-BG"/>
        </w:rPr>
        <w:tab/>
      </w:r>
      <w:r w:rsidRPr="00E731D4">
        <w:rPr>
          <w:sz w:val="24"/>
          <w:lang w:val="bg-BG"/>
        </w:rPr>
        <w:t>Предупреждение „</w:t>
      </w:r>
      <w:proofErr w:type="spellStart"/>
      <w:r w:rsidRPr="00E731D4">
        <w:rPr>
          <w:sz w:val="24"/>
          <w:lang w:val="bg-BG"/>
        </w:rPr>
        <w:t>For</w:t>
      </w:r>
      <w:proofErr w:type="spellEnd"/>
      <w:r w:rsidRPr="00E731D4">
        <w:rPr>
          <w:sz w:val="24"/>
          <w:lang w:val="bg-BG"/>
        </w:rPr>
        <w:t xml:space="preserve"> </w:t>
      </w:r>
      <w:proofErr w:type="spellStart"/>
      <w:r w:rsidRPr="00E731D4">
        <w:rPr>
          <w:sz w:val="24"/>
          <w:lang w:val="bg-BG"/>
        </w:rPr>
        <w:t>people</w:t>
      </w:r>
      <w:proofErr w:type="spellEnd"/>
      <w:r w:rsidRPr="00E731D4">
        <w:rPr>
          <w:sz w:val="24"/>
          <w:lang w:val="bg-BG"/>
        </w:rPr>
        <w:t xml:space="preserve"> </w:t>
      </w:r>
      <w:proofErr w:type="spellStart"/>
      <w:r w:rsidRPr="00E731D4">
        <w:rPr>
          <w:sz w:val="24"/>
          <w:lang w:val="bg-BG"/>
        </w:rPr>
        <w:t>posting</w:t>
      </w:r>
      <w:proofErr w:type="spellEnd"/>
      <w:r w:rsidRPr="00E731D4">
        <w:rPr>
          <w:sz w:val="24"/>
          <w:lang w:val="bg-BG"/>
        </w:rPr>
        <w:t xml:space="preserve"> </w:t>
      </w:r>
      <w:proofErr w:type="spellStart"/>
      <w:r w:rsidRPr="00E731D4">
        <w:rPr>
          <w:sz w:val="24"/>
          <w:lang w:val="bg-BG"/>
        </w:rPr>
        <w:t>Investment</w:t>
      </w:r>
      <w:proofErr w:type="spellEnd"/>
      <w:r w:rsidRPr="00E731D4">
        <w:rPr>
          <w:sz w:val="24"/>
          <w:lang w:val="bg-BG"/>
        </w:rPr>
        <w:t xml:space="preserve"> </w:t>
      </w:r>
      <w:proofErr w:type="spellStart"/>
      <w:r w:rsidRPr="00E731D4">
        <w:rPr>
          <w:sz w:val="24"/>
          <w:lang w:val="bg-BG"/>
        </w:rPr>
        <w:t>Recommendation</w:t>
      </w:r>
      <w:proofErr w:type="spellEnd"/>
      <w:r w:rsidRPr="00E731D4">
        <w:rPr>
          <w:sz w:val="24"/>
          <w:lang w:val="bg-BG"/>
        </w:rPr>
        <w:t xml:space="preserve"> </w:t>
      </w:r>
      <w:proofErr w:type="spellStart"/>
      <w:r w:rsidRPr="00E731D4">
        <w:rPr>
          <w:sz w:val="24"/>
          <w:lang w:val="bg-BG"/>
        </w:rPr>
        <w:t>on</w:t>
      </w:r>
      <w:proofErr w:type="spellEnd"/>
      <w:r w:rsidRPr="00E731D4">
        <w:rPr>
          <w:sz w:val="24"/>
          <w:lang w:val="bg-BG"/>
        </w:rPr>
        <w:t xml:space="preserve"> </w:t>
      </w:r>
      <w:proofErr w:type="spellStart"/>
      <w:r w:rsidRPr="00E731D4">
        <w:rPr>
          <w:sz w:val="24"/>
          <w:lang w:val="bg-BG"/>
        </w:rPr>
        <w:t>social</w:t>
      </w:r>
      <w:proofErr w:type="spellEnd"/>
      <w:r w:rsidRPr="00E731D4">
        <w:rPr>
          <w:sz w:val="24"/>
          <w:lang w:val="bg-BG"/>
        </w:rPr>
        <w:t xml:space="preserve"> </w:t>
      </w:r>
      <w:proofErr w:type="spellStart"/>
      <w:r w:rsidRPr="00E731D4">
        <w:rPr>
          <w:sz w:val="24"/>
          <w:lang w:val="bg-BG"/>
        </w:rPr>
        <w:t>media</w:t>
      </w:r>
      <w:proofErr w:type="spellEnd"/>
      <w:r w:rsidRPr="00E731D4">
        <w:rPr>
          <w:sz w:val="24"/>
          <w:lang w:val="bg-BG"/>
        </w:rPr>
        <w:t>“ (За хората, публикуващи инвестиционна препоръка в социалните медии), издадено от Европейския орган за ценни книжа и пазари на 6 февруари 2024 г.</w:t>
      </w:r>
    </w:p>
  </w:footnote>
  <w:footnote w:id="7">
    <w:p w14:paraId="743A0FD6" w14:textId="51C34447" w:rsidR="008F3111" w:rsidRPr="00E731D4" w:rsidRDefault="008F3111" w:rsidP="00E731D4">
      <w:pPr>
        <w:pStyle w:val="FootnoteText"/>
        <w:ind w:left="567" w:hanging="567"/>
        <w:rPr>
          <w:sz w:val="24"/>
          <w:lang w:val="bg-BG"/>
        </w:rPr>
      </w:pPr>
      <w:r>
        <w:rPr>
          <w:rStyle w:val="FootnoteReference"/>
        </w:rPr>
        <w:footnoteRef/>
      </w:r>
      <w:r w:rsidRPr="00E731D4">
        <w:rPr>
          <w:sz w:val="24"/>
          <w:vertAlign w:val="superscript"/>
          <w:lang w:val="bg-BG"/>
        </w:rPr>
        <w:t xml:space="preserve"> </w:t>
      </w:r>
      <w:r w:rsidRPr="00E731D4">
        <w:rPr>
          <w:sz w:val="24"/>
          <w:vertAlign w:val="superscript"/>
          <w:lang w:val="bg-BG"/>
        </w:rPr>
        <w:tab/>
      </w:r>
      <w:r w:rsidRPr="00E731D4">
        <w:rPr>
          <w:sz w:val="24"/>
          <w:lang w:val="bg-BG"/>
        </w:rPr>
        <w:t>Регламент (ЕС) 2024/1689 на Европейския парламент и на Съвета от 13 юни 2024</w:t>
      </w:r>
      <w:r>
        <w:rPr>
          <w:sz w:val="24"/>
          <w:lang w:val="bg-BG"/>
        </w:rPr>
        <w:t> </w:t>
      </w:r>
      <w:r w:rsidRPr="00E731D4">
        <w:rPr>
          <w:sz w:val="24"/>
          <w:lang w:val="bg-BG"/>
        </w:rPr>
        <w:t xml:space="preserve">г. за установяване на хармонизирани правила относно изкуствения интелект и за изменение на регламенти (ЕО) № 300/2008, (ЕС) № 167/2013, (ЕС) № 168/2013, (ЕС) 2018/858, (ЕС) 2018/1139 и (ЕС) 2019/2144 и директиви 2014/90/ЕС, (ЕС) 2016/797 и (ЕС) 2020/1828 (Акт за изкуствения интелект) (ОВ L, 2024/1689, </w:t>
      </w:r>
      <w:r>
        <w:rPr>
          <w:sz w:val="24"/>
          <w:lang w:val="bg-BG"/>
        </w:rPr>
        <w:t xml:space="preserve">12.7.2024 г., </w:t>
      </w:r>
      <w:r w:rsidRPr="00E731D4">
        <w:rPr>
          <w:sz w:val="24"/>
          <w:lang w:val="bg-BG"/>
        </w:rPr>
        <w:t xml:space="preserve">ELI: </w:t>
      </w:r>
      <w:r>
        <w:fldChar w:fldCharType="begin"/>
      </w:r>
      <w:r>
        <w:instrText>HYPERLINK</w:instrText>
      </w:r>
      <w:r w:rsidRPr="00174B19">
        <w:rPr>
          <w:lang w:val="ru-RU"/>
        </w:rPr>
        <w:instrText xml:space="preserve"> "</w:instrText>
      </w:r>
      <w:r>
        <w:instrText>http</w:instrText>
      </w:r>
      <w:r w:rsidRPr="00174B19">
        <w:rPr>
          <w:lang w:val="ru-RU"/>
        </w:rPr>
        <w:instrText>://</w:instrText>
      </w:r>
      <w:r>
        <w:instrText>data</w:instrText>
      </w:r>
      <w:r w:rsidRPr="00174B19">
        <w:rPr>
          <w:lang w:val="ru-RU"/>
        </w:rPr>
        <w:instrText>.</w:instrText>
      </w:r>
      <w:r>
        <w:instrText>europa</w:instrText>
      </w:r>
      <w:r w:rsidRPr="00174B19">
        <w:rPr>
          <w:lang w:val="ru-RU"/>
        </w:rPr>
        <w:instrText>.</w:instrText>
      </w:r>
      <w:r>
        <w:instrText>eu</w:instrText>
      </w:r>
      <w:r w:rsidRPr="00174B19">
        <w:rPr>
          <w:lang w:val="ru-RU"/>
        </w:rPr>
        <w:instrText>/</w:instrText>
      </w:r>
      <w:r>
        <w:instrText>eli</w:instrText>
      </w:r>
      <w:r w:rsidRPr="00174B19">
        <w:rPr>
          <w:lang w:val="ru-RU"/>
        </w:rPr>
        <w:instrText>/</w:instrText>
      </w:r>
      <w:r>
        <w:instrText>reg</w:instrText>
      </w:r>
      <w:r w:rsidRPr="00174B19">
        <w:rPr>
          <w:lang w:val="ru-RU"/>
        </w:rPr>
        <w:instrText>/2024/1689/</w:instrText>
      </w:r>
      <w:r>
        <w:instrText>oj</w:instrText>
      </w:r>
      <w:r w:rsidRPr="00174B19">
        <w:rPr>
          <w:lang w:val="ru-RU"/>
        </w:rPr>
        <w:instrText>" \</w:instrText>
      </w:r>
      <w:r>
        <w:instrText>t</w:instrText>
      </w:r>
      <w:r w:rsidRPr="00174B19">
        <w:rPr>
          <w:lang w:val="ru-RU"/>
        </w:rPr>
        <w:instrText xml:space="preserve"> "</w:instrText>
      </w:r>
      <w:r>
        <w:instrText>http</w:instrText>
      </w:r>
      <w:r w:rsidRPr="00174B19">
        <w:rPr>
          <w:lang w:val="ru-RU"/>
        </w:rPr>
        <w:instrText>://</w:instrText>
      </w:r>
      <w:r>
        <w:instrText>data</w:instrText>
      </w:r>
      <w:r w:rsidRPr="00174B19">
        <w:rPr>
          <w:lang w:val="ru-RU"/>
        </w:rPr>
        <w:instrText>.</w:instrText>
      </w:r>
      <w:r>
        <w:instrText>europa</w:instrText>
      </w:r>
      <w:r w:rsidRPr="00174B19">
        <w:rPr>
          <w:lang w:val="ru-RU"/>
        </w:rPr>
        <w:instrText>.</w:instrText>
      </w:r>
      <w:r>
        <w:instrText>eu</w:instrText>
      </w:r>
      <w:r w:rsidRPr="00174B19">
        <w:rPr>
          <w:lang w:val="ru-RU"/>
        </w:rPr>
        <w:instrText>/</w:instrText>
      </w:r>
      <w:r>
        <w:instrText>eli</w:instrText>
      </w:r>
      <w:r w:rsidRPr="00174B19">
        <w:rPr>
          <w:lang w:val="ru-RU"/>
        </w:rPr>
        <w:instrText>/</w:instrText>
      </w:r>
      <w:r>
        <w:instrText>reg</w:instrText>
      </w:r>
      <w:r w:rsidRPr="00174B19">
        <w:rPr>
          <w:lang w:val="ru-RU"/>
        </w:rPr>
        <w:instrText>/2024/1689/</w:instrText>
      </w:r>
      <w:r>
        <w:instrText>oj</w:instrText>
      </w:r>
      <w:r w:rsidRPr="00174B19">
        <w:rPr>
          <w:lang w:val="ru-RU"/>
        </w:rPr>
        <w:instrText>"</w:instrText>
      </w:r>
      <w:r>
        <w:fldChar w:fldCharType="separate"/>
      </w:r>
      <w:r w:rsidRPr="00E731D4">
        <w:rPr>
          <w:rStyle w:val="Hyperlink"/>
          <w:sz w:val="24"/>
          <w:lang w:val="bg-BG"/>
        </w:rPr>
        <w:t>http://data.europa.eu/eli/reg/2024/1689/oj</w:t>
      </w:r>
      <w:r>
        <w:fldChar w:fldCharType="end"/>
      </w:r>
      <w:r w:rsidRPr="00E731D4">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2475871">
    <w:abstractNumId w:val="9"/>
  </w:num>
  <w:num w:numId="2" w16cid:durableId="1796215628">
    <w:abstractNumId w:val="9"/>
  </w:num>
  <w:num w:numId="3" w16cid:durableId="258219040">
    <w:abstractNumId w:val="7"/>
  </w:num>
  <w:num w:numId="4" w16cid:durableId="1854955171">
    <w:abstractNumId w:val="7"/>
  </w:num>
  <w:num w:numId="5" w16cid:durableId="434981536">
    <w:abstractNumId w:val="6"/>
  </w:num>
  <w:num w:numId="6" w16cid:durableId="1258060529">
    <w:abstractNumId w:val="6"/>
  </w:num>
  <w:num w:numId="7" w16cid:durableId="1694500580">
    <w:abstractNumId w:val="5"/>
  </w:num>
  <w:num w:numId="8" w16cid:durableId="850342951">
    <w:abstractNumId w:val="5"/>
  </w:num>
  <w:num w:numId="9" w16cid:durableId="1102801671">
    <w:abstractNumId w:val="4"/>
  </w:num>
  <w:num w:numId="10" w16cid:durableId="817962122">
    <w:abstractNumId w:val="4"/>
  </w:num>
  <w:num w:numId="11" w16cid:durableId="1923249906">
    <w:abstractNumId w:val="8"/>
  </w:num>
  <w:num w:numId="12" w16cid:durableId="1701276785">
    <w:abstractNumId w:val="8"/>
  </w:num>
  <w:num w:numId="13" w16cid:durableId="1546258881">
    <w:abstractNumId w:val="3"/>
  </w:num>
  <w:num w:numId="14" w16cid:durableId="824131889">
    <w:abstractNumId w:val="3"/>
  </w:num>
  <w:num w:numId="15" w16cid:durableId="1301763431">
    <w:abstractNumId w:val="2"/>
  </w:num>
  <w:num w:numId="16" w16cid:durableId="1593126587">
    <w:abstractNumId w:val="2"/>
  </w:num>
  <w:num w:numId="17" w16cid:durableId="1495952859">
    <w:abstractNumId w:val="1"/>
  </w:num>
  <w:num w:numId="18" w16cid:durableId="1904025217">
    <w:abstractNumId w:val="1"/>
  </w:num>
  <w:num w:numId="19" w16cid:durableId="112096014">
    <w:abstractNumId w:val="0"/>
  </w:num>
  <w:num w:numId="20" w16cid:durableId="1332370328">
    <w:abstractNumId w:val="0"/>
  </w:num>
  <w:num w:numId="21" w16cid:durableId="393433241">
    <w:abstractNumId w:val="9"/>
  </w:num>
  <w:num w:numId="22" w16cid:durableId="1089158447">
    <w:abstractNumId w:val="7"/>
  </w:num>
  <w:num w:numId="23" w16cid:durableId="325863068">
    <w:abstractNumId w:val="6"/>
  </w:num>
  <w:num w:numId="24" w16cid:durableId="2027168413">
    <w:abstractNumId w:val="5"/>
  </w:num>
  <w:num w:numId="25" w16cid:durableId="1825315499">
    <w:abstractNumId w:val="4"/>
  </w:num>
  <w:num w:numId="26" w16cid:durableId="1085495270">
    <w:abstractNumId w:val="8"/>
  </w:num>
  <w:num w:numId="27" w16cid:durableId="1645818101">
    <w:abstractNumId w:val="3"/>
  </w:num>
  <w:num w:numId="28" w16cid:durableId="1237669301">
    <w:abstractNumId w:val="2"/>
  </w:num>
  <w:num w:numId="29" w16cid:durableId="217057422">
    <w:abstractNumId w:val="1"/>
  </w:num>
  <w:num w:numId="30" w16cid:durableId="733312173">
    <w:abstractNumId w:val="0"/>
  </w:num>
  <w:num w:numId="31" w16cid:durableId="2068337721">
    <w:abstractNumId w:val="9"/>
  </w:num>
  <w:num w:numId="32" w16cid:durableId="303391428">
    <w:abstractNumId w:val="7"/>
  </w:num>
  <w:num w:numId="33" w16cid:durableId="1625385191">
    <w:abstractNumId w:val="6"/>
  </w:num>
  <w:num w:numId="34" w16cid:durableId="681394172">
    <w:abstractNumId w:val="5"/>
  </w:num>
  <w:num w:numId="35" w16cid:durableId="1093476479">
    <w:abstractNumId w:val="4"/>
  </w:num>
  <w:num w:numId="36" w16cid:durableId="2117938900">
    <w:abstractNumId w:val="8"/>
  </w:num>
  <w:num w:numId="37" w16cid:durableId="833256104">
    <w:abstractNumId w:val="3"/>
  </w:num>
  <w:num w:numId="38" w16cid:durableId="1934820110">
    <w:abstractNumId w:val="2"/>
  </w:num>
  <w:num w:numId="39" w16cid:durableId="432629249">
    <w:abstractNumId w:val="1"/>
  </w:num>
  <w:num w:numId="40" w16cid:durableId="126047666">
    <w:abstractNumId w:val="0"/>
  </w:num>
  <w:num w:numId="41" w16cid:durableId="490369891">
    <w:abstractNumId w:val="10"/>
  </w:num>
  <w:num w:numId="42" w16cid:durableId="434791001">
    <w:abstractNumId w:val="10"/>
  </w:num>
  <w:num w:numId="43" w16cid:durableId="1242375110">
    <w:abstractNumId w:val="10"/>
  </w:num>
  <w:num w:numId="44" w16cid:durableId="8600510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2/2026"/>
    <w:docVar w:name="dvlangue" w:val="BG"/>
    <w:docVar w:name="dvnumam" w:val="42"/>
    <w:docVar w:name="dvpe" w:val="779.350"/>
    <w:docVar w:name="dvrapporteur" w:val="Докладчик: "/>
    <w:docVar w:name="dvtitre" w:val="Резолюция на Европейския парламент от ... 2026 г. относно финансовата грамотност и растящата популярност на финансовите инфлуенсъри в контекста на съюза на спестяванията и инвестициите(2025/2209(INI))"/>
  </w:docVars>
  <w:rsids>
    <w:rsidRoot w:val="002B5EDD"/>
    <w:rsid w:val="00002272"/>
    <w:rsid w:val="00064002"/>
    <w:rsid w:val="000677B9"/>
    <w:rsid w:val="000831BA"/>
    <w:rsid w:val="000A42CC"/>
    <w:rsid w:val="000E7DD9"/>
    <w:rsid w:val="0010095E"/>
    <w:rsid w:val="00125B37"/>
    <w:rsid w:val="00153A04"/>
    <w:rsid w:val="00174B19"/>
    <w:rsid w:val="00187494"/>
    <w:rsid w:val="001F32AE"/>
    <w:rsid w:val="0024462B"/>
    <w:rsid w:val="002767FF"/>
    <w:rsid w:val="002B18FE"/>
    <w:rsid w:val="002B5493"/>
    <w:rsid w:val="002B5EDD"/>
    <w:rsid w:val="00343214"/>
    <w:rsid w:val="00361C00"/>
    <w:rsid w:val="00395FA1"/>
    <w:rsid w:val="003D5EF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311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7F5B"/>
    <w:rsid w:val="00D834A0"/>
    <w:rsid w:val="00D872DF"/>
    <w:rsid w:val="00D91E21"/>
    <w:rsid w:val="00DA7FCD"/>
    <w:rsid w:val="00E365E1"/>
    <w:rsid w:val="00E731D4"/>
    <w:rsid w:val="00E820A4"/>
    <w:rsid w:val="00EB006A"/>
    <w:rsid w:val="00EB4772"/>
    <w:rsid w:val="00ED169E"/>
    <w:rsid w:val="00ED4235"/>
    <w:rsid w:val="00EE0E8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CA5A1A"/>
  <w15:chartTrackingRefBased/>
  <w15:docId w15:val="{27DCB610-D320-4F2E-8C54-70579C109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77F5B"/>
    <w:pPr>
      <w:widowControl/>
      <w:spacing w:after="240"/>
    </w:pPr>
    <w:rPr>
      <w:szCs w:val="24"/>
      <w:lang w:eastAsia="en-US"/>
    </w:rPr>
  </w:style>
  <w:style w:type="paragraph" w:customStyle="1" w:styleId="NormalHanging12a">
    <w:name w:val="NormalHanging12a"/>
    <w:basedOn w:val="Normal"/>
    <w:rsid w:val="00D77F5B"/>
    <w:pPr>
      <w:widowControl/>
      <w:spacing w:after="240"/>
      <w:ind w:left="566" w:hanging="566"/>
    </w:pPr>
    <w:rPr>
      <w:szCs w:val="24"/>
      <w:lang w:eastAsia="en-US"/>
    </w:rPr>
  </w:style>
  <w:style w:type="paragraph" w:customStyle="1" w:styleId="Normal12">
    <w:name w:val="Normal12"/>
    <w:basedOn w:val="Normal"/>
    <w:rsid w:val="00D77F5B"/>
    <w:pPr>
      <w:widowControl/>
      <w:spacing w:after="240"/>
    </w:pPr>
    <w:rPr>
      <w:szCs w:val="24"/>
      <w:lang w:eastAsia="en-US"/>
    </w:rPr>
  </w:style>
  <w:style w:type="paragraph" w:customStyle="1" w:styleId="NormalHanging">
    <w:name w:val="NormalHanging"/>
    <w:basedOn w:val="Normal"/>
    <w:rsid w:val="00D77F5B"/>
    <w:pPr>
      <w:widowControl/>
      <w:spacing w:after="240"/>
      <w:ind w:left="566" w:hanging="566"/>
    </w:pPr>
    <w:rPr>
      <w:szCs w:val="24"/>
      <w:lang w:eastAsia="en-US"/>
    </w:rPr>
  </w:style>
  <w:style w:type="paragraph" w:customStyle="1" w:styleId="NormalCenter12a">
    <w:name w:val="NormalCenter12a"/>
    <w:basedOn w:val="Normal"/>
    <w:rsid w:val="00D77F5B"/>
    <w:pPr>
      <w:widowControl/>
      <w:spacing w:after="240"/>
      <w:jc w:val="center"/>
    </w:pPr>
    <w:rPr>
      <w:szCs w:val="24"/>
      <w:lang w:eastAsia="en-US"/>
    </w:rPr>
  </w:style>
  <w:style w:type="character" w:styleId="Hyperlink">
    <w:name w:val="Hyperlink"/>
    <w:basedOn w:val="DefaultParagraphFont"/>
    <w:rsid w:val="00D77F5B"/>
    <w:rPr>
      <w:color w:val="0000FF"/>
      <w:u w:val="single"/>
    </w:rPr>
  </w:style>
  <w:style w:type="paragraph" w:styleId="Revision">
    <w:name w:val="Revision"/>
    <w:hidden/>
    <w:uiPriority w:val="99"/>
    <w:semiHidden/>
    <w:rsid w:val="008F3111"/>
    <w:rPr>
      <w:sz w:val="24"/>
      <w:lang w:val="bg-BG"/>
    </w:rPr>
  </w:style>
  <w:style w:type="character" w:styleId="FollowedHyperlink">
    <w:name w:val="FollowedHyperlink"/>
    <w:basedOn w:val="DefaultParagraphFont"/>
    <w:rsid w:val="008F311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7762</Words>
  <Characters>48793</Characters>
  <Application>Microsoft Office Word</Application>
  <DocSecurity>0</DocSecurity>
  <Lines>1318</Lines>
  <Paragraphs>715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2026-05-29T10:07:00Z</dcterms:created>
  <dcterms:modified xsi:type="dcterms:W3CDTF">2026-05-29T10:07:00Z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A10-0082/2026</vt:lpwstr>
  </property>
  <property fmtid="{D5CDD505-2E9C-101B-9397-08002B2CF9AE}" pid="4" name="&lt;Type&gt;">
    <vt:lpwstr>RR</vt:lpwstr>
  </property>
</Properties>
</file>