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3D5" w14:paraId="058C69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65078E" w14:textId="42D86D51" w:rsidR="00751A4A" w:rsidRPr="00A033D5" w:rsidRDefault="00E23000" w:rsidP="0010095E">
            <w:pPr>
              <w:pStyle w:val="EPName"/>
            </w:pPr>
            <w:r w:rsidRPr="00A033D5">
              <w:t>Evropský parlament</w:t>
            </w:r>
          </w:p>
          <w:p w14:paraId="3FDFD569" w14:textId="77777777" w:rsidR="00751A4A" w:rsidRPr="00A033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33D5">
              <w:t>2024</w:t>
            </w:r>
            <w:r w:rsidR="00817416" w:rsidRPr="00A033D5">
              <w:t>-202</w:t>
            </w:r>
            <w:r w:rsidRPr="00A033D5">
              <w:t>9</w:t>
            </w:r>
          </w:p>
        </w:tc>
        <w:tc>
          <w:tcPr>
            <w:tcW w:w="2268" w:type="dxa"/>
            <w:shd w:val="clear" w:color="auto" w:fill="auto"/>
          </w:tcPr>
          <w:p w14:paraId="090AFCAF" w14:textId="77777777" w:rsidR="00751A4A" w:rsidRPr="00A033D5" w:rsidRDefault="00187494" w:rsidP="0010095E">
            <w:pPr>
              <w:pStyle w:val="EPLogo"/>
            </w:pPr>
            <w:r w:rsidRPr="00A033D5">
              <w:rPr>
                <w:noProof/>
                <w:lang w:eastAsia="ja-JP"/>
              </w:rPr>
              <w:drawing>
                <wp:inline distT="0" distB="0" distL="0" distR="0" wp14:anchorId="62A8191B" wp14:editId="65D80B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B3F46C" w14:textId="77777777" w:rsidR="00D058B8" w:rsidRPr="00A033D5" w:rsidRDefault="00D058B8" w:rsidP="004C5D52">
      <w:pPr>
        <w:pStyle w:val="LineTop"/>
      </w:pPr>
    </w:p>
    <w:p w14:paraId="70B4BDEE" w14:textId="3F33CAFB" w:rsidR="00680577" w:rsidRPr="00A033D5" w:rsidRDefault="00E23000" w:rsidP="00680577">
      <w:pPr>
        <w:pStyle w:val="EPBodyTA1"/>
      </w:pPr>
      <w:r w:rsidRPr="00A033D5">
        <w:t>PŘIJATÉ TEXTY</w:t>
      </w:r>
    </w:p>
    <w:p w14:paraId="60E74679" w14:textId="77777777" w:rsidR="00D058B8" w:rsidRPr="00A033D5" w:rsidRDefault="00D058B8" w:rsidP="00D058B8">
      <w:pPr>
        <w:pStyle w:val="LineBottom"/>
      </w:pPr>
    </w:p>
    <w:p w14:paraId="68F939A0" w14:textId="6540198F" w:rsidR="00E23000" w:rsidRPr="00A033D5" w:rsidRDefault="00E23000" w:rsidP="00E23000">
      <w:pPr>
        <w:pStyle w:val="ATHeading1"/>
      </w:pPr>
      <w:bookmarkStart w:id="0" w:name="TANumber"/>
      <w:r w:rsidRPr="00A033D5">
        <w:t>P10_TA(2026)0</w:t>
      </w:r>
      <w:r w:rsidR="00BB0AD5" w:rsidRPr="00A033D5">
        <w:t>157</w:t>
      </w:r>
      <w:bookmarkEnd w:id="0"/>
    </w:p>
    <w:p w14:paraId="3DD3F8C0" w14:textId="7F640686" w:rsidR="00E23000" w:rsidRPr="00A033D5" w:rsidRDefault="005712B5" w:rsidP="00E23000">
      <w:pPr>
        <w:pStyle w:val="ATHeading2"/>
      </w:pPr>
      <w:r w:rsidRPr="00A033D5">
        <w:t>Jak zajistit udržitelnou budoucnost odvětví živočišné výroby v EU s ohledem na potřebu zajistit potravinové zabezpečení a odolnost zemědělců a na výzvy, které představují nemoci zvířat</w:t>
      </w:r>
    </w:p>
    <w:p w14:paraId="74105839" w14:textId="77777777" w:rsidR="00E23000" w:rsidRPr="00A033D5" w:rsidRDefault="00E23000" w:rsidP="00E23000">
      <w:pPr>
        <w:rPr>
          <w:i/>
          <w:vanish/>
        </w:rPr>
      </w:pPr>
      <w:r w:rsidRPr="00A033D5">
        <w:rPr>
          <w:i/>
        </w:rPr>
        <w:fldChar w:fldCharType="begin"/>
      </w:r>
      <w:r w:rsidRPr="00A033D5">
        <w:rPr>
          <w:i/>
        </w:rPr>
        <w:instrText xml:space="preserve"> TC"(</w:instrText>
      </w:r>
      <w:bookmarkStart w:id="1" w:name="DocNumber"/>
      <w:r w:rsidRPr="00A033D5">
        <w:rPr>
          <w:i/>
        </w:rPr>
        <w:instrText>A10-0088/2026</w:instrText>
      </w:r>
      <w:bookmarkEnd w:id="1"/>
      <w:r w:rsidRPr="00A033D5">
        <w:rPr>
          <w:i/>
        </w:rPr>
        <w:instrText xml:space="preserve"> - Zpravodaj: Carlo Fidanza)"\l3 \n&gt; \* MERGEFORMAT </w:instrText>
      </w:r>
      <w:r w:rsidRPr="00A033D5">
        <w:rPr>
          <w:i/>
        </w:rPr>
        <w:fldChar w:fldCharType="end"/>
      </w:r>
    </w:p>
    <w:p w14:paraId="5B25D149" w14:textId="77777777" w:rsidR="00E23000" w:rsidRPr="00A033D5" w:rsidRDefault="00E23000" w:rsidP="00E23000">
      <w:pPr>
        <w:rPr>
          <w:vanish/>
        </w:rPr>
      </w:pPr>
      <w:bookmarkStart w:id="2" w:name="Commission"/>
      <w:r w:rsidRPr="00A033D5">
        <w:rPr>
          <w:vanish/>
        </w:rPr>
        <w:t>Výbor pro zemědělství a rozvoj venkova</w:t>
      </w:r>
      <w:bookmarkEnd w:id="2"/>
    </w:p>
    <w:p w14:paraId="4F77C88C" w14:textId="77777777" w:rsidR="00E23000" w:rsidRPr="00A033D5" w:rsidRDefault="00E23000" w:rsidP="00E23000">
      <w:pPr>
        <w:rPr>
          <w:vanish/>
        </w:rPr>
      </w:pPr>
      <w:bookmarkStart w:id="3" w:name="PE"/>
      <w:r w:rsidRPr="00A033D5">
        <w:rPr>
          <w:vanish/>
        </w:rPr>
        <w:t>PE774.483</w:t>
      </w:r>
      <w:bookmarkEnd w:id="3"/>
    </w:p>
    <w:p w14:paraId="0C37E844" w14:textId="713F8420" w:rsidR="00E23000" w:rsidRPr="00A033D5" w:rsidRDefault="00E23000" w:rsidP="00E23000">
      <w:pPr>
        <w:pStyle w:val="ATHeading3"/>
      </w:pPr>
      <w:bookmarkStart w:id="4" w:name="Sujet"/>
      <w:r w:rsidRPr="00A033D5">
        <w:t>Usnesení Evropského parlamentu ze dne</w:t>
      </w:r>
      <w:r w:rsidR="005712B5" w:rsidRPr="00A033D5">
        <w:t xml:space="preserve"> </w:t>
      </w:r>
      <w:r w:rsidR="00386A54" w:rsidRPr="00A033D5">
        <w:t>30</w:t>
      </w:r>
      <w:r w:rsidR="005712B5" w:rsidRPr="00A033D5">
        <w:t>. dubna</w:t>
      </w:r>
      <w:r w:rsidRPr="00A033D5">
        <w:t xml:space="preserve"> 2026 o tom, jak zajistit udržitelnou budoucnost odvětví živočišné výroby v EU s ohledem na potřebu zajistit potravinové zabezpečení a odolnost zemědělců a na výzvy, které představují nemoci zvířat</w:t>
      </w:r>
      <w:bookmarkEnd w:id="4"/>
      <w:r w:rsidRPr="00A033D5">
        <w:t xml:space="preserve"> </w:t>
      </w:r>
      <w:bookmarkStart w:id="5" w:name="References"/>
      <w:r w:rsidRPr="00A033D5">
        <w:t>(2025/2053(INI))</w:t>
      </w:r>
      <w:bookmarkEnd w:id="5"/>
    </w:p>
    <w:p w14:paraId="5DACB5F1" w14:textId="77777777" w:rsidR="00B75963" w:rsidRPr="00A033D5" w:rsidRDefault="00B75963" w:rsidP="00B75963">
      <w:pPr>
        <w:pStyle w:val="EPComma"/>
      </w:pPr>
      <w:r w:rsidRPr="00A033D5">
        <w:rPr>
          <w:rStyle w:val="Italic"/>
        </w:rPr>
        <w:t>Evropský parlament</w:t>
      </w:r>
      <w:r w:rsidRPr="00A033D5">
        <w:t>,</w:t>
      </w:r>
    </w:p>
    <w:p w14:paraId="45CCD071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články 38 a 39 Smlouvy o fungování Evropské unie (SFEU), kterými se stanoví společná zemědělská politika (SZP) a její cíle,</w:t>
      </w:r>
    </w:p>
    <w:p w14:paraId="5D655C7C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A033D5">
        <w:rPr>
          <w:rStyle w:val="FootnoteReference"/>
        </w:rPr>
        <w:footnoteReference w:id="1"/>
      </w:r>
      <w:r w:rsidRPr="00A033D5">
        <w:t>,</w:t>
      </w:r>
    </w:p>
    <w:p w14:paraId="1499EE4C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nařízení Evropského parlamentu a Rady (EU) 2021/2116 ze dne 2. prosince 2021 o financování, řízení a monitorování společné zemědělské politiky a zrušení nařízení (EU) č. 1306/2013</w:t>
      </w:r>
      <w:r w:rsidRPr="00A033D5">
        <w:rPr>
          <w:rStyle w:val="FootnoteReference"/>
        </w:rPr>
        <w:footnoteReference w:id="2"/>
      </w:r>
      <w:r w:rsidRPr="00A033D5">
        <w:t>,</w:t>
      </w:r>
    </w:p>
    <w:p w14:paraId="705786A3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 xml:space="preserve">s ohledem na nařízení Evropského parlamentu a Rady (EU) 2021/2117 ze dne 2. prosince 2021, kterým se mění nařízení (EU) č. 1308/2013, kterým se stanoví společná organizace trhů se zemědělskými produkty, nařízení (EU) č. 1151/2012 o režimech jakosti zemědělských produktů a potravin, nařízení (EU) č. 251/2014 o definici, popisu, obchodní úpravě, označování a ochraně zeměpisných označení </w:t>
      </w:r>
      <w:r w:rsidRPr="00A033D5">
        <w:lastRenderedPageBreak/>
        <w:t>aromatizovaných vinných výrobků a nařízení (EU) č. 228/2013, kterým se stanoví zvláštní opatření v oblasti zemědělství ve prospěch nejvzdálenějších regionů Unie</w:t>
      </w:r>
      <w:r w:rsidRPr="00A033D5">
        <w:rPr>
          <w:rStyle w:val="FootnoteReference"/>
        </w:rPr>
        <w:footnoteReference w:id="3"/>
      </w:r>
      <w:r w:rsidRPr="00A033D5">
        <w:t>,</w:t>
      </w:r>
    </w:p>
    <w:p w14:paraId="68D521C9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nařízení Evropského parlamentu a Rady (EU) 2024/1468 ze dne 14. května 2024, kterým se mění nařízení (EU) 2021/2115 a (EU) 2021/2116, pokud jde o standardy dobrého zemědělského a environmentálního stavu, schémata pro klima, životní prostředí a dobré životní podmínky zvířat, změnu strategických plánů SZP, přezkum strategických plánů SZP a osvobození od kontrol a sankcí</w:t>
      </w:r>
      <w:r w:rsidRPr="00A033D5">
        <w:rPr>
          <w:rStyle w:val="FootnoteReference"/>
        </w:rPr>
        <w:footnoteReference w:id="4"/>
      </w:r>
      <w:r w:rsidRPr="00A033D5">
        <w:t>,</w:t>
      </w:r>
    </w:p>
    <w:p w14:paraId="537DFE8D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</w:t>
      </w:r>
      <w:r w:rsidRPr="00A033D5">
        <w:rPr>
          <w:rStyle w:val="Bold"/>
        </w:rPr>
        <w:t xml:space="preserve"> </w:t>
      </w:r>
      <w:r w:rsidRPr="00A033D5">
        <w:t>nařízení Evropského parlamentu a Rady (EU) 2024/3012 ze dne 27. listopadu 2024, kterým se zřizuje rámec Unie pro certifikaci trvalého pohlcování uhlíku, uhlíkového zemědělství a ukládání uhlíku do produktů</w:t>
      </w:r>
      <w:r w:rsidRPr="00A033D5">
        <w:rPr>
          <w:rStyle w:val="FootnoteReference"/>
        </w:rPr>
        <w:footnoteReference w:id="5"/>
      </w:r>
      <w:r w:rsidRPr="00A033D5">
        <w:t>,</w:t>
      </w:r>
    </w:p>
    <w:p w14:paraId="239B3B98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sdělení Komise ze dne 19. února 2025 s názvem „Vize pro zemědělství a potraviny – Společné utváření atraktivního zemědělského a potravinářského odvětví EU pro budoucí generace“ (COM(2025)0075),</w:t>
      </w:r>
    </w:p>
    <w:p w14:paraId="1549FDEE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závěrečnou zprávu o strategickém dialogu o budoucnosti zemědělství EU s názvem „Společná perspektiva zemědělství a potravinářství v Evropě“ zveřejněnou dne 4. září 2024</w:t>
      </w:r>
      <w:r w:rsidRPr="00A033D5">
        <w:rPr>
          <w:rStyle w:val="FootnoteReference"/>
        </w:rPr>
        <w:footnoteReference w:id="6"/>
      </w:r>
      <w:r w:rsidRPr="00A033D5">
        <w:t>,</w:t>
      </w:r>
    </w:p>
    <w:p w14:paraId="529F406B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nařízení Evropského parlamentu a Rady (EU) 2016/429 ze dne 9. března 2016 o nákazách zvířat a o změně a zrušení některých aktů v oblasti zdraví zvířat („právní rámec pro zdraví zvířat“)</w:t>
      </w:r>
      <w:r w:rsidRPr="00A033D5">
        <w:rPr>
          <w:rStyle w:val="FootnoteReference"/>
        </w:rPr>
        <w:footnoteReference w:id="7"/>
      </w:r>
      <w:r w:rsidRPr="00A033D5">
        <w:t>,</w:t>
      </w:r>
    </w:p>
    <w:p w14:paraId="4277221C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prováděcí nařízení Komise (EU) 2020/2002 ze dne 7. prosince 2020, kterým se stanoví pravidla pro uplatňování nařízení Evropského parlamentu a Rady (EU) 2016/429, pokud jde o hlášení nákaz uvedených na seznamu a podávání zpráv o nich v rámci Unie, formáty a postupy pro předkládání programů dozoru v rámci Unie a eradikačních programů a podávání zpráv o nich a pro žádost o uznání statusu území prostého nákazy a o počítačový informační systém</w:t>
      </w:r>
      <w:r w:rsidRPr="00A033D5">
        <w:rPr>
          <w:rStyle w:val="FootnoteReference"/>
        </w:rPr>
        <w:footnoteReference w:id="8"/>
      </w:r>
      <w:r w:rsidRPr="00A033D5">
        <w:t>,</w:t>
      </w:r>
    </w:p>
    <w:p w14:paraId="6F6472D2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nařízení Komise v přenesené pravomoci (EU) 2020/689 ze dne 17. prosince 2019, kterým se doplňuje nařízení Evropského parlamentu a Rady (EU) 2016/429, pokud jde o pravidla pro dozor, eradikační programy a status území prostého nákazy pro některé nákazy uvedené na seznamu a nově se objevující nákazy</w:t>
      </w:r>
      <w:r w:rsidRPr="00A033D5">
        <w:rPr>
          <w:rStyle w:val="FootnoteReference"/>
        </w:rPr>
        <w:footnoteReference w:id="9"/>
      </w:r>
      <w:r w:rsidRPr="00A033D5">
        <w:t>,</w:t>
      </w:r>
    </w:p>
    <w:p w14:paraId="7B95DCA5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 xml:space="preserve">s ohledem na nařízení Evropského parlamentu a Rady (ES) č. 1069/2009 ze dne 21. října 2009 o hygienických pravidlech pro vedlejší produkty živočišného původu </w:t>
      </w:r>
      <w:r w:rsidRPr="00A033D5">
        <w:lastRenderedPageBreak/>
        <w:t>a získané produkty, které nejsou určeny k lidské spotřebě, a o zrušení nařízení (ES) č. 1774/2002 (nařízení o vedlejších produktech živočišného původu)</w:t>
      </w:r>
      <w:r w:rsidRPr="00A033D5">
        <w:rPr>
          <w:rStyle w:val="FootnoteReference"/>
        </w:rPr>
        <w:footnoteReference w:id="10"/>
      </w:r>
      <w:r w:rsidRPr="00A033D5">
        <w:t>,</w:t>
      </w:r>
    </w:p>
    <w:p w14:paraId="3F3E979C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směrnici Evropského Parlamentu a Rady 2003/99/ES ze dne 17. listopadu 2003 o sledování zoonóz a jejich původců, o změně rozhodnutí Rady 90/424/EHS a o zrušení směrnice Rady 92/117/EHS</w:t>
      </w:r>
      <w:r w:rsidRPr="00A033D5">
        <w:rPr>
          <w:rStyle w:val="FootnoteReference"/>
        </w:rPr>
        <w:footnoteReference w:id="11"/>
      </w:r>
      <w:r w:rsidRPr="00A033D5">
        <w:t>,</w:t>
      </w:r>
    </w:p>
    <w:p w14:paraId="5F4B0447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nařízení Komise v přenesené pravomoci (EU) 2020/687 ze dne 17. prosince 2019, kterým se doplňuje nařízení Evropského parlamentu a Rady (EU) 2016/429, pokud jde o pravidla pro prevenci a tlumení určitých nákaz uvedených na seznamu</w:t>
      </w:r>
      <w:r w:rsidRPr="00A033D5">
        <w:rPr>
          <w:rStyle w:val="FootnoteReference"/>
        </w:rPr>
        <w:footnoteReference w:id="12"/>
      </w:r>
      <w:r w:rsidRPr="00A033D5">
        <w:t>,</w:t>
      </w:r>
    </w:p>
    <w:p w14:paraId="5BEFF201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směrnici Rady 98/58/ES ze dne 20. července 1998 o ochraně zvířat chovaných pro hospodářské účely</w:t>
      </w:r>
      <w:r w:rsidRPr="00A033D5">
        <w:rPr>
          <w:rStyle w:val="FootnoteReference"/>
        </w:rPr>
        <w:footnoteReference w:id="13"/>
      </w:r>
      <w:r w:rsidRPr="00A033D5">
        <w:t>, na nařízení Rady (ES) č. 1/2005 ze dne 22. prosince 2004 o ochraně zvířat během přepravy a souvisejících činností a o změně směrnic 64/432/EHS a 93/119/ES, na nařízení (ES) č. 1255/97</w:t>
      </w:r>
      <w:r w:rsidRPr="00A033D5">
        <w:rPr>
          <w:vertAlign w:val="superscript"/>
        </w:rPr>
        <w:footnoteReference w:id="14"/>
      </w:r>
      <w:r w:rsidRPr="00A033D5">
        <w:t xml:space="preserve"> a nařízení Rady (ES) č. 1099/2009 ze dne 24. září 2009 o ochraně zvířat při usmrcování</w:t>
      </w:r>
      <w:r w:rsidRPr="00A033D5">
        <w:rPr>
          <w:vertAlign w:val="superscript"/>
        </w:rPr>
        <w:footnoteReference w:id="15"/>
      </w:r>
      <w:r w:rsidRPr="00A033D5">
        <w:t>,</w:t>
      </w:r>
    </w:p>
    <w:p w14:paraId="1F2404E1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nařízení Evropského parlamentu a Rady (EU) 2019/6 ze dne 11. prosince 2018 o veterinárních léčivých přípravcích a o zrušení směrnice 2001/82/ES</w:t>
      </w:r>
      <w:r w:rsidRPr="00A033D5">
        <w:rPr>
          <w:rStyle w:val="FootnoteReference"/>
        </w:rPr>
        <w:footnoteReference w:id="16"/>
      </w:r>
      <w:r w:rsidRPr="00A033D5">
        <w:t>,</w:t>
      </w:r>
    </w:p>
    <w:p w14:paraId="43DBF086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doporučení Rady ze dne 13. června 2023 o posílení opatření EU pro boj proti antimikrobiální rezistenci v rámci přístupu „jedno zdraví“ (2023/C 220/01)</w:t>
      </w:r>
      <w:r w:rsidRPr="00A033D5">
        <w:rPr>
          <w:rStyle w:val="FootnoteReference"/>
        </w:rPr>
        <w:footnoteReference w:id="17"/>
      </w:r>
      <w:r w:rsidRPr="00A033D5">
        <w:t>,</w:t>
      </w:r>
    </w:p>
    <w:p w14:paraId="67A714C7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prováděcí rozhodnutí Komise (EU) 2020/1729 ze dne 17. listopadu 2020 o sledování a hlášení antimikrobiální rezistence zoonotických a komenzálních bakterií a o zrušení prováděcího rozhodnutí 2013/652/EU</w:t>
      </w:r>
      <w:r w:rsidRPr="00A033D5">
        <w:rPr>
          <w:rStyle w:val="FootnoteReference"/>
        </w:rPr>
        <w:footnoteReference w:id="18"/>
      </w:r>
      <w:r w:rsidRPr="00A033D5">
        <w:t>,</w:t>
      </w:r>
    </w:p>
    <w:p w14:paraId="0FD4F6CE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oznámení Komise nazvané „Pokyny pro uvážlivé používání antimikrobiálních látek ve veterinárním lékařství“ (2015/C 299/04)</w:t>
      </w:r>
      <w:r w:rsidRPr="00A033D5">
        <w:rPr>
          <w:rStyle w:val="FootnoteReference"/>
        </w:rPr>
        <w:footnoteReference w:id="19"/>
      </w:r>
      <w:r w:rsidRPr="00A033D5">
        <w:t>, které bylo zveřejněno dne 11. září 2015,</w:t>
      </w:r>
    </w:p>
    <w:p w14:paraId="780CEE83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doporučení belgického předsednictví Rady EU v návaznosti na ministerskou konferenci o nákazách zvířat pořádanou dne 24. ledna 2024, v nichž se uvádí, že biologická bezpečnost a očkování by se měly stát pilíři alternativních strategií k hromadným porážkám při řešení infekčních epidemií v zemědělských podnicích,</w:t>
      </w:r>
    </w:p>
    <w:p w14:paraId="232701D7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sdělení Komise ze dne 15. listopadu 2011 o akčním plánu proti rostoucím hrozbám antimikrobiální rezistence (COM(2011)0748),</w:t>
      </w:r>
    </w:p>
    <w:p w14:paraId="2A7E5E76" w14:textId="294545D7" w:rsidR="00B75963" w:rsidRPr="00A033D5" w:rsidRDefault="00B75963" w:rsidP="00B75963">
      <w:pPr>
        <w:pStyle w:val="NormalHanging12a"/>
      </w:pPr>
      <w:r w:rsidRPr="00A033D5">
        <w:lastRenderedPageBreak/>
        <w:t>–</w:t>
      </w:r>
      <w:r w:rsidRPr="00A033D5">
        <w:tab/>
        <w:t>s ohledem na nařízení Rady (ES) č. 1/2005 ze dne 22. prosince 2004 o ochraně zvířat během přepravy a souvisejících činností a o změně směrnic 64/432/EHS a 93/119/ES a nařízení (ES) č. 1255/97,</w:t>
      </w:r>
    </w:p>
    <w:p w14:paraId="4CFAA80A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své usnesení ze dne 19. října 2023 o generační obměně v zemědělských podnicích budoucnosti v EU</w:t>
      </w:r>
      <w:r w:rsidRPr="00A033D5">
        <w:rPr>
          <w:rStyle w:val="FootnoteReference"/>
        </w:rPr>
        <w:footnoteReference w:id="20"/>
      </w:r>
      <w:r w:rsidRPr="00A033D5">
        <w:t>,</w:t>
      </w:r>
    </w:p>
    <w:p w14:paraId="470D52F0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své usnesení ze dne 14. června 2023 o zajištění potravinového zabezpečení a dlouhodobé odolnosti zemědělství v EU</w:t>
      </w:r>
      <w:r w:rsidRPr="00A033D5">
        <w:rPr>
          <w:rStyle w:val="FootnoteReference"/>
        </w:rPr>
        <w:footnoteReference w:id="21"/>
      </w:r>
      <w:r w:rsidRPr="00A033D5">
        <w:t>,</w:t>
      </w:r>
    </w:p>
    <w:p w14:paraId="653389B7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své usnesení ze dne 13. prosince 2022 na téma „dlouhodobá vize pro venkovské oblasti EU – na cestě k posílenému, propojenému, odolnému a prosperujícímu venkovu do roku 2040“</w:t>
      </w:r>
      <w:r w:rsidRPr="00A033D5">
        <w:rPr>
          <w:rStyle w:val="FootnoteReference"/>
        </w:rPr>
        <w:footnoteReference w:id="22"/>
      </w:r>
      <w:r w:rsidRPr="00A033D5">
        <w:t>,</w:t>
      </w:r>
    </w:p>
    <w:p w14:paraId="05372B18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své usnesení ze dne 24. listopadu 2022 o ochraně chovu hospodářských zvířat a velkých šelem v Evropě</w:t>
      </w:r>
      <w:r w:rsidRPr="00A033D5">
        <w:rPr>
          <w:rStyle w:val="FootnoteReference"/>
        </w:rPr>
        <w:footnoteReference w:id="23"/>
      </w:r>
      <w:r w:rsidRPr="00A033D5">
        <w:t>,</w:t>
      </w:r>
    </w:p>
    <w:p w14:paraId="307CE3A1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své usnesení ze dne 16. února 2022 o prováděcí zprávě týkající se dobrých životních podmínek hospodářských zvířat v chovech</w:t>
      </w:r>
      <w:r w:rsidRPr="00A033D5">
        <w:rPr>
          <w:rStyle w:val="FootnoteReference"/>
        </w:rPr>
        <w:footnoteReference w:id="24"/>
      </w:r>
      <w:r w:rsidRPr="00A033D5">
        <w:t>,</w:t>
      </w:r>
    </w:p>
    <w:p w14:paraId="42355BE6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své doporučení Radě a Komisi ze dne 20. ledna 2022 v návaznosti na vyšetřování údajného porušení práva Unie a nesprávného úředního postupu při jeho uplatňování v souvislosti s ochranou zvířat během přepravy v rámci Unie i mimo ni</w:t>
      </w:r>
      <w:r w:rsidRPr="00A033D5">
        <w:rPr>
          <w:rStyle w:val="FootnoteReference"/>
        </w:rPr>
        <w:footnoteReference w:id="25"/>
      </w:r>
      <w:r w:rsidRPr="00A033D5">
        <w:t>,</w:t>
      </w:r>
    </w:p>
    <w:p w14:paraId="14135A2D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závěrečnou zprávu parlamentního vyšetřovacího výboru pro ochranu zvířat během přepravy ze dne 14. prosince 2021, která se týká vyšetřování údajného porušení a nesprávného úředního postupu při uplatňování právních předpisů Unie v souvislosti s ochranou zvířat během přepravy v rámci Unie i mimo ni,</w:t>
      </w:r>
    </w:p>
    <w:p w14:paraId="45773F19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své usnesení ze dne 10. února 2021 o novém akčním plánu pro oběhové hospodářství</w:t>
      </w:r>
      <w:r w:rsidRPr="00A033D5">
        <w:rPr>
          <w:rStyle w:val="FootnoteReference"/>
        </w:rPr>
        <w:footnoteReference w:id="26"/>
      </w:r>
      <w:r w:rsidRPr="00A033D5">
        <w:t>,</w:t>
      </w:r>
    </w:p>
    <w:p w14:paraId="0ABC7841" w14:textId="1A5C30AA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 xml:space="preserve">s ohledem na své usnesení ze dne </w:t>
      </w:r>
      <w:r w:rsidR="00971BF3">
        <w:t>19</w:t>
      </w:r>
      <w:r w:rsidRPr="00A033D5">
        <w:t>. října 2023 nazvané „Evropská strategie v oblasti bílkovin“</w:t>
      </w:r>
      <w:r w:rsidRPr="00A033D5">
        <w:rPr>
          <w:vertAlign w:val="superscript"/>
        </w:rPr>
        <w:footnoteReference w:id="27"/>
      </w:r>
      <w:r w:rsidRPr="00A033D5">
        <w:t>,</w:t>
      </w:r>
    </w:p>
    <w:p w14:paraId="7B5E04BD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 ohledem na normy Světové organizace pro zdraví zvířat stanovené v Kodexu zdraví suchozemských živočichů,</w:t>
      </w:r>
    </w:p>
    <w:p w14:paraId="60E8D087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 xml:space="preserve">s ohledem na zprávu Organizace pro výživu a zemědělství (FAO) z roku 2023 s názvem „Contribution of Terrestrial animal source food to healthy diets for improved nutrition and health outcomes – An evidence and policy overview on the state of knowledge and gaps“ (Přínos potravin ze suchozemských živočichů ke zdravému stravování v zájmu </w:t>
      </w:r>
      <w:r w:rsidRPr="00A033D5">
        <w:lastRenderedPageBreak/>
        <w:t>zlepšení výživy a zdravotních výsledků – důkazy a přehled aktuálních poznatků a nedostatků politiky),</w:t>
      </w:r>
    </w:p>
    <w:p w14:paraId="5E94AD46" w14:textId="77777777" w:rsidR="00B75963" w:rsidRPr="00A033D5" w:rsidRDefault="00B75963" w:rsidP="00B75963">
      <w:pPr>
        <w:pStyle w:val="NormalHanging12a"/>
        <w:rPr>
          <w:bCs/>
          <w:iCs/>
        </w:rPr>
      </w:pPr>
      <w:r w:rsidRPr="00A033D5">
        <w:t>–</w:t>
      </w:r>
      <w:r w:rsidRPr="00A033D5">
        <w:tab/>
        <w:t>s ohledem na usnesení č. 29 Světové organizace pro zdraví zvířat s názvem „Veterinární očkovací látky a očkování: od vědy k činům – úvahy o změně“, které bylo přijato v květnu 2025,</w:t>
      </w:r>
    </w:p>
    <w:p w14:paraId="08C8354B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 xml:space="preserve">s ohledem na informační zprávu Evropského hospodářského a sociálního výboru (EHSV) nazvanou „Přínosy extenzivního chovu hospodářských zvířat a organických hnojiv v kontextu </w:t>
      </w:r>
      <w:proofErr w:type="gramStart"/>
      <w:r w:rsidRPr="00A033D5">
        <w:t>Zelené</w:t>
      </w:r>
      <w:proofErr w:type="gramEnd"/>
      <w:r w:rsidRPr="00A033D5">
        <w:t xml:space="preserve"> dohody pro Evropu“ přijatou dne 8. prosince 2021,</w:t>
      </w:r>
    </w:p>
    <w:p w14:paraId="03B13014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článek 55 jednacího řádu,</w:t>
      </w:r>
    </w:p>
    <w:p w14:paraId="3F8E1AB9" w14:textId="77777777" w:rsidR="00B75963" w:rsidRPr="00A033D5" w:rsidRDefault="00B75963" w:rsidP="00B75963">
      <w:pPr>
        <w:pStyle w:val="NormalHanging12a"/>
      </w:pPr>
      <w:r w:rsidRPr="00A033D5">
        <w:t>–</w:t>
      </w:r>
      <w:r w:rsidRPr="00A033D5">
        <w:tab/>
        <w:t>s ohledem na zprávu Výboru pro zemědělství a rozvoj venkova (A10-0088/2026),</w:t>
      </w:r>
    </w:p>
    <w:p w14:paraId="49A41288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bookmarkStart w:id="6" w:name="_Hlk225940437"/>
      <w:r w:rsidRPr="00A033D5">
        <w:t>A.</w:t>
      </w:r>
      <w:r w:rsidRPr="00A033D5">
        <w:tab/>
        <w:t>vzhledem k tomu, že odvětví živočišné výroby je již dlouho základním pilířem zemědělství EU, zejména ve venkovských oblastech, a významně a jedinečně přispívá k podstatné části hospodářství EU; vzhledem k tomu, že hodnota živočišné výroby a jejích produktů činila v roce 2023 214,3 miliardy EUR</w:t>
      </w:r>
      <w:bookmarkStart w:id="7" w:name="_Hlk225940358"/>
      <w:r w:rsidRPr="00A033D5">
        <w:t>, což představuje 40 % celkové zemědělské produkce EU v daném roce,</w:t>
      </w:r>
      <w:bookmarkEnd w:id="7"/>
      <w:r w:rsidRPr="00A033D5">
        <w:t xml:space="preserve"> a vzhledem k tomu, že ziskovost a udržitelnost rostlinné výroby závisí na odolné živočišné výrobě;</w:t>
      </w:r>
    </w:p>
    <w:bookmarkEnd w:id="6"/>
    <w:p w14:paraId="3667D7C1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B.</w:t>
      </w:r>
      <w:r w:rsidRPr="00A033D5">
        <w:tab/>
        <w:t>vzhledem k tomu, že hodnotový řetězec živočišné výroby je dlouhý a složitý, zahrnuje mnoho subjektů od odvětví zabývajících se šlechtitelstvím, krmivy a zdravím zvířat až po zemědělce a zpracovatelský průmysl spojený s živočišnou výrobou (zpracování mléka a masa, krmiva, vedlejší produkty živočišného původu) a má v EU klíčový význam z hlediska inovací, obratu a zaměstnanosti;</w:t>
      </w:r>
    </w:p>
    <w:p w14:paraId="48CCD39D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C.</w:t>
      </w:r>
      <w:r w:rsidRPr="00A033D5">
        <w:tab/>
        <w:t>vzhledem k tomu, že příjmy zemědělců lze zajistit na základě spravedlivých cen živočišných výrobků a regionálních hodnotových řetězců; vzhledem k tomu, že do zemědělského hodnotového řetězce živočišné výroby je zapojena široká škála aktérů, od odvětví před sklizní, jako je odvětví šlechtění, krmiv a zdraví zvířat, přes zemědělce až po posklizňová potravinářská odvětví, a že tento řetězec je vzhledem k neustálému zapojení člověka do procesu produkce klíčovým hodnotovým řetězcem v EU z hlediska obratu a zaměstnanosti a významně přispívá k potravinovému zabezpečení EU a k její suverenitě a autonomii v produkci bílkovin;</w:t>
      </w:r>
    </w:p>
    <w:p w14:paraId="74DF1954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D.</w:t>
      </w:r>
      <w:r w:rsidRPr="00A033D5">
        <w:tab/>
        <w:t>vzhledem k tomu, že místní struktura jatek může významně přispět k regionální přidané hodnotě, zkrátit dodavatelské řetězce a snížit emise vznikající při přepravě masných výrobků, neboť regionální jatka mohou lépe splňovat specifické požadavky trhu jednotlivých regionů a podporovat produkci založenou na poptávce;</w:t>
      </w:r>
    </w:p>
    <w:p w14:paraId="2DDBAFEA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E.</w:t>
      </w:r>
      <w:r w:rsidRPr="00A033D5">
        <w:tab/>
        <w:t>vzhledem k tomu, že chov hospodářských zvířat má zásadní význam pro mnoho evropských regionů, z nichž většině hrozí úbytek obyvatelstva; vzhledem k tomu, že 58 % evropských zemědělských podniků chová zvířata; vzhledem k tomu, že smíšené a specializované zemědělské podniky s chovem hospodářských zvířat představují 40,9 % evropských zemědělských podniků a že evropské zemědělské podniky s chovem hospodářských zvířat zaměstnávají přibližně čtyři miliony lidí (pobírajících mzdu a odměňovaných jinou formou); vzhledem k tomu, že za posledních 20 let přišla EU o 37 % svých zemědělců a příjmy zemědělců klesly o 12 % na hektar;</w:t>
      </w:r>
    </w:p>
    <w:p w14:paraId="5FF87C59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F.</w:t>
      </w:r>
      <w:r w:rsidRPr="00A033D5">
        <w:tab/>
        <w:t xml:space="preserve">vzhledem k tomu, že v mnohých regionech EU, jako jsou horské, vnitrozemské </w:t>
      </w:r>
      <w:r w:rsidRPr="00A033D5">
        <w:lastRenderedPageBreak/>
        <w:t>a venkovské oblasti, a v několika nejvzdálenějších regionech je živočišná výroba jedinou životaschopnou hospodářskou činností a že tato výroba hraje klíčovou úlohu z hlediska zachování obyvatelstva a biologické rozmanitosti, ochrany tradiční krajiny a podpory další hospodářské činnosti v daném místě; vzhledem k tomu, že finanční příděly v rámci programu speciálně zaměřeném na odlehlost a ostrovní charakter (POSEI) musí být upravovány tak, aby zohlednily znehodnocení způsobené inflací, a plnily tak svou úlohu spočívající v podpoře zemědělců a chovatelů v nejvzdálenějších regionech;</w:t>
      </w:r>
    </w:p>
    <w:p w14:paraId="5AC74217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G.</w:t>
      </w:r>
      <w:r w:rsidRPr="00A033D5">
        <w:tab/>
        <w:t>vzhledem k tomu, že celé odvětví živočišné výroby je přínosem pro klima a životní prostředí, protože pomáhá ukládat uhlík, reguluje vodní toky a zlepšuje kvalitu vody, chrání biologickou rozmanitost, předchází lesním požárům, udržuje obyvatelstvo ve venkovských oblastech a zachovává rozmanitou a otevřenou krajinu, zejména ve znevýhodněných a horských oblastech;</w:t>
      </w:r>
    </w:p>
    <w:p w14:paraId="293F4B71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bookmarkStart w:id="8" w:name="_Hlk225941055"/>
      <w:r w:rsidRPr="00A033D5">
        <w:t>H.</w:t>
      </w:r>
      <w:r w:rsidRPr="00A033D5">
        <w:tab/>
        <w:t>vzhledem k tomu, že monogastrické živočišné druhy, jako jsou prasata a drůbež, produkují díky účinné konverzi krmiva méně emisí skleníkových plynů a mimoto mohou přispět k oběhovosti, jelikož v jejich krmivech se používají produkty z odpadového toku, zatímco hnojivo, které produkují, slouží jako přírodní hnojivo pro rostlinnou výrobu; vzhledem k tomu, že pro celosvětovou produkci a její udržitelnost má zásadní význam klimatická účinnost několika evropských modelů živočišné výroby z hlediska genetiky, technologií, inovací a znalostí;</w:t>
      </w:r>
    </w:p>
    <w:p w14:paraId="7C3DF4C8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bookmarkStart w:id="9" w:name="_Hlk225940951"/>
      <w:r w:rsidRPr="00A033D5">
        <w:t>I.</w:t>
      </w:r>
      <w:r w:rsidRPr="00A033D5">
        <w:tab/>
        <w:t>vzhledem k tomu, že EU je druhým největším producentem masa na světě, a to hned po Číně, ovšem před Spojenými státy americkými, a že systémy živočišné výroby v EU významně přispívají k hospodářství, obchodu a souvisejícím pracovním místům v EU a dodržují nejpřísnější světové normy platné pro životní podmínky zvířat, účinnost a udržitelnost;</w:t>
      </w:r>
    </w:p>
    <w:p w14:paraId="6FE4887A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J.</w:t>
      </w:r>
      <w:r w:rsidRPr="00A033D5">
        <w:tab/>
        <w:t>vzhledem k tomu, že na mase produkovaném v EU se významně podílí vepřové a drůbeží maso, což je klíčové z hlediska zajišťování potravin, nabídky cenově dostupných produktů evropským spotřebitelům a zajišťování živobytí mnoha zemědělců; vzhledem k tomu, že nejvýznamnějšího zlepšení v oblasti udržitelnosti se dosáhne zvýšením udržitelnosti konvenčních systémů, což bude přínosné pro širokou spotřebitelskou základnu, včetně spotřebitelů s nižšími příjmy, a zajistí se tak, aby živočišné bílkoviny byly i nadále cenově dostupné a přístupné pro všechny občany EU;</w:t>
      </w:r>
    </w:p>
    <w:bookmarkEnd w:id="8"/>
    <w:bookmarkEnd w:id="9"/>
    <w:p w14:paraId="2D5498D9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K.</w:t>
      </w:r>
      <w:r w:rsidRPr="00A033D5">
        <w:tab/>
        <w:t>vzhledem k tomu, že v roce 2023 se v EU chovalo 133 milionů prasat, 74 milionů kusů skotu, 58 milionů ovcí, 11 milionů koz a odhadem 1,63 miliardy kusů drůbeže;</w:t>
      </w:r>
    </w:p>
    <w:p w14:paraId="21787F4C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L.</w:t>
      </w:r>
      <w:r w:rsidRPr="00A033D5">
        <w:tab/>
        <w:t>vzhledem k tomu, že v roce 2023 se v EU vyprodukovalo 40,7 milionu tun masa, včetně vepřového (50 %), drůbežího (32 %), hovězího (15 %) a skopového a kozího masa (1 %);</w:t>
      </w:r>
    </w:p>
    <w:p w14:paraId="26B83E82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M.</w:t>
      </w:r>
      <w:r w:rsidRPr="00A033D5">
        <w:tab/>
        <w:t>vzhledem k tomu, že EU je největším světovým producentem kravského mléka, který se na celosvětové produkci mléka podílí více než 20 %, a zaujímá přední postavení v mezinárodním obchodu s mlékem a mléčnými výrobky, neboť se více než 30 % podílí na celosvětovém vývozu mléka a mléčných výrobků;</w:t>
      </w:r>
    </w:p>
    <w:p w14:paraId="0542C80A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N.</w:t>
      </w:r>
      <w:r w:rsidRPr="00A033D5">
        <w:tab/>
        <w:t xml:space="preserve">vzhledem k tomu, že čistý vývoz živočišných produktů z EU se od roku 2000 zvýšil více než trojnásobně a v roce 2024 dosáhl 37,8 miliardy EUR (bez zahrnutí obchodních </w:t>
      </w:r>
      <w:r w:rsidRPr="00A033D5">
        <w:lastRenderedPageBreak/>
        <w:t>výměn uvnitř EU), a to na pozadí vývoje, kdy se podle nejnovějších scénářů FAO očekává, že celosvětová poptávka po mase, mléčných výrobcích a vejcích vzroste do roku 2050 o 25 až 50 %</w:t>
      </w:r>
      <w:r w:rsidRPr="00A033D5">
        <w:rPr>
          <w:rStyle w:val="FootnoteReference"/>
        </w:rPr>
        <w:footnoteReference w:id="28"/>
      </w:r>
      <w:r w:rsidRPr="00A033D5">
        <w:t>;</w:t>
      </w:r>
    </w:p>
    <w:p w14:paraId="6E00CDB2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bookmarkStart w:id="10" w:name="_Hlk225257994"/>
      <w:r w:rsidRPr="00A033D5">
        <w:t>O.</w:t>
      </w:r>
      <w:r w:rsidRPr="00A033D5">
        <w:tab/>
        <w:t>vzhledem k tomu, že v roce 2023 dovezla EU téměř 900 000 tun drůbežího masa, více než 340 000 tun hovězího masa a přibližně 150 000 tun skopového masa;</w:t>
      </w:r>
    </w:p>
    <w:bookmarkEnd w:id="10"/>
    <w:p w14:paraId="2FE009FF" w14:textId="77777777" w:rsidR="00B75963" w:rsidRPr="00A033D5" w:rsidRDefault="00B75963" w:rsidP="005712B5">
      <w:pPr>
        <w:pStyle w:val="NormalHanging12a"/>
        <w:rPr>
          <w:rFonts w:eastAsia="Calibri"/>
          <w:snapToGrid/>
          <w:szCs w:val="24"/>
        </w:rPr>
      </w:pPr>
      <w:r w:rsidRPr="00A033D5">
        <w:rPr>
          <w:snapToGrid/>
        </w:rPr>
        <w:t>P.</w:t>
      </w:r>
      <w:r w:rsidRPr="00A033D5">
        <w:tab/>
        <w:t>vzhledem k tomu, že produkty živočišného původu se zeměpisným označením tvoří téměř 20 % všech zeměpisných označení EU a představují významnou přidanou hodnotu pro hospodářství venkova, v čemž se odráží nejen jejich hospodářský význam, ale také kulturní hodnota potravinového dědictví EU;</w:t>
      </w:r>
    </w:p>
    <w:p w14:paraId="40EC3781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Q.</w:t>
      </w:r>
      <w:r w:rsidRPr="00A033D5">
        <w:tab/>
        <w:t xml:space="preserve">vzhledem k tomu, že klíčovým rysem živočišné výroby v EU je necenová konkurenceschopnost, včetně přísných norem bezpečnosti, sledovatelnosti a kvality výrobků, která ovšem s sebou nese vyšší výrobní náklady a ceny výrobků ve srovnání s obchodními partnery EU; vzhledem k tomu, že zachovávání těchto přísných norem EU týkajících se životního prostředí, bezpečnosti potravin a dobrých životních podmínek zvířat má dopad na mezinárodní konkurenceschopnost živočišné výroby v EU a je proto nutné, aby se jim v rámci vyjednávaní a uzavírání obchodních dohod věnovala zvláštní pozornost; </w:t>
      </w:r>
    </w:p>
    <w:p w14:paraId="411A2EB9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bookmarkStart w:id="11" w:name="_Hlk225946356"/>
      <w:r w:rsidRPr="00A033D5">
        <w:t>R.</w:t>
      </w:r>
      <w:r w:rsidRPr="00A033D5">
        <w:tab/>
        <w:t>vzhledem k tomu, že chovatelé hospodářských zvířat se potýkají s legislativní zátěží a s náklady na dodržování předpisů a že neustálé legislativní změny vedou při realizaci nákladných investic k nejistotě; vzhledem k tomu, že stabilní legislativní rámec je pro evropské zemědělce nezbytnou zárukou v situacích, kdy se snaží plánovat a udržet a zvyšovat svůj výrobní potenciál;</w:t>
      </w:r>
    </w:p>
    <w:p w14:paraId="247F4766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S.</w:t>
      </w:r>
      <w:r w:rsidRPr="00A033D5">
        <w:tab/>
        <w:t>vzhledem k tomu, že politika propagace zemědělství EU hraje klíčovou roli při zviditelňování a zvyšování konkurenceschopnosti kvalitních evropských zemědělsko-potravinářských výrobků, včetně živočišných produktů, a to jak na vnitřním, tak i na mezinárodním trhu; vzhledem k tomu, že tato politika a vývoz na klíčové trhy, které podporuje, jsou důležitými faktory, jež mohou zvýšit příjmy zemědělců a poskytnout jim možnost dále investovat do modernizace jejich zemědělských podniků;</w:t>
      </w:r>
    </w:p>
    <w:p w14:paraId="41E2E5E0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T.</w:t>
      </w:r>
      <w:r w:rsidRPr="00A033D5">
        <w:tab/>
        <w:t>vzhledem k tomu, že počet hospodářských zvířat, velikost zemědělských podniků a stád, míra odvětvové specializace, intenzita výroby měřená počtem dobytčích jednotek na hektar a podíl travních porostů na obhospodařované zemědělské půdě se v jednotlivých členských státech i v jednotlivých regionech v rámci členských států značně liší;</w:t>
      </w:r>
    </w:p>
    <w:bookmarkEnd w:id="11"/>
    <w:p w14:paraId="3899A9B4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U.</w:t>
      </w:r>
      <w:r w:rsidRPr="00A033D5">
        <w:tab/>
        <w:t>vzhledem k tomu, že živočišná výroba, zejména v malých a středních zemědělských podnicích, čelí v současné době řadě ekonomických, environmentálních a sociálních problémů;</w:t>
      </w:r>
    </w:p>
    <w:p w14:paraId="7A10245F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V.</w:t>
      </w:r>
      <w:r w:rsidRPr="00A033D5">
        <w:tab/>
        <w:t xml:space="preserve">vzhledem k tomu, že počet hospodářských zvířat v posledním desetiletí klesl, přičemž statistiky Eurostatu týkající se období 2014 až 2024 ukazují pokles o 8,1 % u prasat, o 8,7 % u skotu, zejména v posledních čtyřech letech, o 9,4 % u ovcí a o 16,3 % u koz; </w:t>
      </w:r>
      <w:r w:rsidRPr="00A033D5">
        <w:lastRenderedPageBreak/>
        <w:t>vzhledem k tomu, že jedinou výjimkou je odvětví drůbežářství, v němž se počet kusů zvířat zvýšil;</w:t>
      </w:r>
    </w:p>
    <w:p w14:paraId="58504360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W.</w:t>
      </w:r>
      <w:r w:rsidRPr="00A033D5">
        <w:tab/>
        <w:t>vzhledem k tomu, že Komise ve své vizi pro zemědělství a potraviny zdůrazňuje, že živočišná výroba potřebuje dlouhodobou vizi, a zahájila pracovní postupy soustřeďující se na hospodářská zvířata, které zkoumají možné politiky, jež by zajistily konkurenceschopnou a udržitelnou živočišnou výrobu v EU;</w:t>
      </w:r>
    </w:p>
    <w:p w14:paraId="1A35A540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X.</w:t>
      </w:r>
      <w:r w:rsidRPr="00A033D5">
        <w:tab/>
        <w:t>vzhledem k tomu, že pokud konzumace živočišných produktů odpovídá pokynům Světové zdravotnické organizace, pak tyto produkty přispívají k vyvážené a výživné stravě, neboť poskytují stabilní zdroj základních živin, jako jsou vysoce kvalitní bílkoviny, vitaminy a minerály;</w:t>
      </w:r>
    </w:p>
    <w:p w14:paraId="171146E5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Y.</w:t>
      </w:r>
      <w:r w:rsidRPr="00A033D5">
        <w:tab/>
        <w:t xml:space="preserve">vzhledem k tomu, že v příštích 30 letech se očekává nárůst celosvětové spotřeby živočišných bílkovin, což v kombinaci s nárůstem světové populace povede k výraznému zvýšení poptávky; vzhledem k tomu, že živočišná výroba v EU, která je základním zdrojem vysoce kvalitních a místně produkovaných bílkovin, by měla být uznána jako strategický pilíř posilující nezávislost EU v produkci bílkovin a přispívající k hospodářské odolnosti, strategické autonomii a sociální odpovědnosti; </w:t>
      </w:r>
    </w:p>
    <w:p w14:paraId="0CD96CFA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Z.</w:t>
      </w:r>
      <w:r w:rsidRPr="00A033D5">
        <w:tab/>
        <w:t>vzhledem k tomu, že je nezbytné, aby si EU, která patří k nejefektivnějším producentům živočišných bílkovin z hlediska emisí skleníkových plynů, zachovala schopnost produkovat živočišné bílkoviny udržitelným způsobem, protože pokles domácí produkce nebo přesun výroby do regionů s méně efektivními systémy by pravděpodobně vedl k vyšším celosvětovým emisím skleníkových plynů;</w:t>
      </w:r>
    </w:p>
    <w:p w14:paraId="0C3665A0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AA.</w:t>
      </w:r>
      <w:r w:rsidRPr="00A033D5">
        <w:tab/>
        <w:t>vzhledem k tomu, že podle Komise je EU soběstačná pouze ze 75 %, pokud jde o zdroje hrubého proteinu, a je i nadále závislá na dovozu rostlinných bílkovin, kterým pokrývá více než 70 % své potřeby těchto bílkovin, jako je sójová moučka a další produkty z olejnatých semen, což evropské zemědělské odvětví vystavuje faktorům způsobujícím značnou zranitelnost, včetně geopolitické nestability, obchodních omezení a narušení dodavatelského řetězce;</w:t>
      </w:r>
    </w:p>
    <w:p w14:paraId="1DE56473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AB.</w:t>
      </w:r>
      <w:r w:rsidRPr="00A033D5">
        <w:tab/>
        <w:t>vzhledem k tomu, že počet chovatelů hospodářských zvířat v EU rychle klesá v důsledku hospodářských potíží souvisejících zejména s omezenou ziskovostí, v důsledku nedostatečné atraktivity odvětví, problémů spojených s šířením nemocí přenášených vektory a jiných onemocnění zvířat a nedostatečné generační obměny; vzhledem k tomu, že EU čelí zásadnímu nedostatku veterinárních lékařů, kteří se specializují na hospodářská zvířata; vzhledem k tomu, že skutečnost, že zemědělci opouštějí živočišnou výrobu, rovněž často souvisí s koncentrací této výroby ve velkých zemědělských podnicích a s tlakem ze strany sousedů nepůsobících v zemědělství, k čemuž patří i protesty proti „nepříjemnostem“, jež s sebou nese živočišná a zemědělská výroba, jako je zápach, hluk a prach;</w:t>
      </w:r>
    </w:p>
    <w:p w14:paraId="044B4189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AC.</w:t>
      </w:r>
      <w:r w:rsidRPr="00A033D5">
        <w:tab/>
        <w:t>vzhledem k tomu, že v této souvislosti je nezbytné zvýšit atraktivitu tohoto odvětví podporou příjmů, zeštíhlenou byrokracií, cílenými pobídkami a lepšími životními podmínkami na venkově, a zajistit tak, aby chov hospodářských zvířat byl životaschopný a pomáhal zaručit územní soudržnost EU;</w:t>
      </w:r>
    </w:p>
    <w:p w14:paraId="561DC942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AD.</w:t>
      </w:r>
      <w:r w:rsidRPr="00A033D5">
        <w:tab/>
        <w:t xml:space="preserve">vzhledem k tomu, že jednou z hlavních výzev, kterým evropská živočišná výroba čelí, je nedostatečné začlenění mladých lidí a nových zemědělců a nedostatek pracovních sil; </w:t>
      </w:r>
      <w:r w:rsidRPr="00A033D5">
        <w:lastRenderedPageBreak/>
        <w:t>vzhledem k tomu, že je tedy nezbytné usnadnit zakládání a přebírání zemědělských podniků nabídkou cílené podpory při zahajování činnosti a zároveň bojovat proti nadměrnému zadlužení chovatelů hospodářských zvířat; vzhledem k tomu, že příjmy v zemědělství nestačí k přilákání kvalifikované pracovní síly do tohoto odvětví;</w:t>
      </w:r>
    </w:p>
    <w:p w14:paraId="4FBED46C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AE.</w:t>
      </w:r>
      <w:r w:rsidRPr="00A033D5">
        <w:tab/>
        <w:t>vzhledem k tomu, že v odvětví živočišné výroby v EU pracuje nyní více žen než kdykoli v minulosti a že jejich aktivní zapojení by se mělo podporovat a prosazovat a jejich přínos by se měl více oceňovat;</w:t>
      </w:r>
    </w:p>
    <w:p w14:paraId="66E81F34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AF.</w:t>
      </w:r>
      <w:r w:rsidRPr="00A033D5">
        <w:tab/>
        <w:t>vzhledem k tomu, že zemědělsko-potravinářská družstva jsou podniky, které zakládají chovatelé hospodářských zvířat, jež se rozhodli spojit síly za účelem společného uvádění svých produktů na trh, které společně investují a jejich investice vytvářejí větší hodnotu pro jejich členy a nabízejí služby a financování, jež by jinak bylo velmi obtížné získat;</w:t>
      </w:r>
    </w:p>
    <w:p w14:paraId="72020446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AG.</w:t>
      </w:r>
      <w:r w:rsidRPr="00A033D5">
        <w:tab/>
        <w:t>vzhledem k tomu, že podíl přímých plateb a celkových dotací, včetně investiční podpory, představuje značnou část čistého příjmu zemědělských podniků působících v živočišné výrobě a smíšeném zemědělství, což podtrhuje jejich zásadní funkci; vzhledem k tomu, že podpora SZP nestačí k zastavení poklesu produkce a počtu zemědělců a k přilákání mladých lidí do živočišné výroby a že ke zvýšení konkurenceschopnosti, ziskovosti a dlouhodobé odolnosti zemědělců je proto důležité doplnit jejich příjmy z trhu a z veřejné podpory pomocí diverzifikace, jako je agroturistika, a pomocí nástrojů pro řízení rizik;</w:t>
      </w:r>
    </w:p>
    <w:p w14:paraId="526AF155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AH.</w:t>
      </w:r>
      <w:r w:rsidRPr="00A033D5">
        <w:tab/>
        <w:t>vzhledem k tomu, že ačkoliv cena je i nadále hlavním určujícím faktorem při rozhodování o nákupu, očekává se, že významnější úlohu budou hrát aspekty udržitelnosti a zdraví, což bude ovlivňovat modely produkce a vzorce spotřeby masa a mléčných výrobků v EU;</w:t>
      </w:r>
    </w:p>
    <w:p w14:paraId="6BB9261D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AI.</w:t>
      </w:r>
      <w:r w:rsidRPr="00A033D5">
        <w:tab/>
        <w:t>vzhledem k tomu, že dobré životní podmínky zvířat jsou klíčem k budoucnosti chovu hospodářských zvířat, který musí směřovat ke zlepšování jejich životních podmínek; vzhledem k tomu, že očekávání spotřebitelů, pokud jde o dobré životní podmínky zvířat, a změna postoje k systémům uzavřeného ustájení by měly být motivací ke zvýšení investic, které jsou nutné k zajištění lepších environmentálních podmínek pro zvířata za předpokladu, že veškeré další požadavky budou založeny na vědeckých důkazech a půjdou ruku v ruce s řádnou odměnou za dodatečné náklady a vhodnými ekonomickými pobídkami;</w:t>
      </w:r>
    </w:p>
    <w:p w14:paraId="38F81761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AJ.</w:t>
      </w:r>
      <w:r w:rsidRPr="00A033D5">
        <w:tab/>
        <w:t xml:space="preserve">vzhledem k tomu, že EU má nejambicióznější normy v oblasti dobrých životních podmínek zvířat na světě, které jsou odrazem jejího závazku k etičtější a udržitelnější produkci; vzhledem k tomu, že koncepce dobrých životních podmínek zvířat by měla být vykládána a uplatňována způsobem odpovídajícím </w:t>
      </w:r>
      <w:proofErr w:type="gramStart"/>
      <w:r w:rsidRPr="00A033D5">
        <w:t>skutečné realitě</w:t>
      </w:r>
      <w:proofErr w:type="gramEnd"/>
      <w:r w:rsidRPr="00A033D5">
        <w:t xml:space="preserve"> výrobních systémů a agroklimatickým, sociálně-ekonomickým a územním podmínkám členských států a regionů, které se mohou značně lišit;</w:t>
      </w:r>
    </w:p>
    <w:p w14:paraId="20A5ACFF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AK.</w:t>
      </w:r>
      <w:r w:rsidRPr="00A033D5">
        <w:tab/>
        <w:t xml:space="preserve">vzhledem k tomu, že požadavky na zmírnění dopadu živočišné výroby na životní prostředí, zejména emisí skleníkových plynů, na zlepšení životních podmínek zvířat a přechod k méně intenzivní produkci by neměly vést ke snížení produkce potravin a měly by zajistit stabilní úroveň produkce a dobré příjmy pro zemědělce, neboť očekávaný celosvětový nárůst spotřeby živočišných bílkovin je pro EU příležitostí k tomu, aby se stala světovým lídrem v zemědělství šetrném ke klimatu a zvířatům díky </w:t>
      </w:r>
      <w:r w:rsidRPr="00A033D5">
        <w:lastRenderedPageBreak/>
        <w:t>předávání svých znalostí, technologií a osvědčených postupů do partnerských zemí;</w:t>
      </w:r>
    </w:p>
    <w:p w14:paraId="0EEA746D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AL.</w:t>
      </w:r>
      <w:r w:rsidRPr="00A033D5">
        <w:tab/>
        <w:t>vzhledem k tomu, že chov hospodářských zvířat, především přežvýkavců, je jediný možný způsob, jak využít určitou zemědělskou půdu, zejména trvalé travní porosty, k produkci potravin a zvýšení potravinového zabezpečení; vzhledem k tomu, že přechod EU k udržitelným zemědělským modelům bude hnací silou výzkumu, inovací, investic a zaměstnanosti v EU i mimo ni;</w:t>
      </w:r>
    </w:p>
    <w:p w14:paraId="53813F81" w14:textId="77777777" w:rsidR="00B75963" w:rsidRPr="00A033D5" w:rsidRDefault="00B75963" w:rsidP="005712B5">
      <w:pPr>
        <w:widowControl/>
        <w:spacing w:after="240"/>
        <w:ind w:left="567" w:hanging="567"/>
      </w:pPr>
      <w:r w:rsidRPr="00A033D5">
        <w:t>AM.</w:t>
      </w:r>
      <w:r w:rsidRPr="00A033D5">
        <w:tab/>
        <w:t xml:space="preserve">vzhledem k tomu, že je velmi důležité lépe začlenit oběhové hospodářství do vznikající bioekonomiky, optimalizovat využívání surovin a druhotných produktů k výrobě vedlejších produktů a k zapojení obnovitelných zdrojů energie, jako je bioplyn, a posilovat energetickou autonomii EU; zdůrazňuje, že tato opatření, která by neměla vést k většímu administrativnímu zatížení zemědělských podniků, poskytnou zemědělcům další zdroje příjmů a vytvoří nové pracovní příležitosti; </w:t>
      </w:r>
    </w:p>
    <w:p w14:paraId="206E23C3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AN.</w:t>
      </w:r>
      <w:r w:rsidRPr="00A033D5">
        <w:tab/>
      </w:r>
      <w:bookmarkStart w:id="12" w:name="_Hlk211233517"/>
      <w:r w:rsidRPr="00A033D5">
        <w:t>vzhledem k tomu, že chov hospodářských zvířat je zásadní součástí oběhového hospodářství a podporuje potravinové zabezpečení a energetickou a ekologickou transformaci Evropy; vzhledem k tomu, že evropské systémy chovu hospodářských zvířat, které silně závisí na dovozu hnojiv a krmiv ze třetích zemí, potřebují pobídky, které by jim umožnily poskytovat širokou škálu produktů a služeb, jež by zemědělcům zajistily dodatečné zdroje příjmů, avšak nikoli na úkor hlavního cíle, tj. produkce masa; vzhledem k tomu, že k těmto produktům a službám patří v souladu s strategií bioekonomiky mimo jiné výroba obnovitelné energie, např. bioplynu a biometanu, cenná organická hnojiva, ekosystémové služby chovu hospodářských zvířat a komodity pro širší průmysl;</w:t>
      </w:r>
    </w:p>
    <w:p w14:paraId="3C5EB8E5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AO.</w:t>
      </w:r>
      <w:r w:rsidRPr="00A033D5">
        <w:tab/>
        <w:t xml:space="preserve">vzhledem k tomu, že rozmanitost evropských zemědělských systémů je strategickým aktivem a skýtá obrovský potenciál pro energetickou a ekologickou transformaci EU; vzhledem k tomu, že chov hospodářských zvířat může sehrát ústřední roli při dosažení klimatických cílů EU a dekarbonizaci evropské skladby zdrojů energie, zejména využíváním odpadních vod ze živočišné výroby; </w:t>
      </w:r>
    </w:p>
    <w:p w14:paraId="18E806DB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AP.</w:t>
      </w:r>
      <w:r w:rsidRPr="00A033D5">
        <w:tab/>
        <w:t>vzhledem k tomu, že statková hnojiva produkovaná v zemědělských podnicích s chovem hospodářských zvířat zvyšují úrodnost půdy, neboť jí dodávají organickou hmotu a základní živiny, a může z nich být v metanizačních zařízení vyráběn bioplyn, a to přímo v zemědělských podnicích, který sníží závislost na fosilních zdrojích energie a v konečném důsledku je nahradí a rovněž omezí spoléhání na hnojivech dovážených ze třetích zemí; vzhledem k tomu, že během metanizace vzniká kromě obnovitelné energie také digestát, vedlejší produkt, který zemědělci využívají jako přírodní hnojivo a z nějž lze vyrábět produkty obsahující zpětně získaný dusík ze statkových hnojiv (RENURE), a že obě komodity podporují v živočišné výrobě oběhové hospodářství;</w:t>
      </w:r>
    </w:p>
    <w:p w14:paraId="185BB4FC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AQ.</w:t>
      </w:r>
      <w:r w:rsidRPr="00A033D5">
        <w:tab/>
        <w:t>vzhledem k tomu, že měnící se spotřební návyky v kontextu obtížné situace na trhu vyžadují rychlé kroky, aby byla na úrovni EU zajištěna ochrana názvů používaných k označování potravin živočišného původu;</w:t>
      </w:r>
    </w:p>
    <w:p w14:paraId="113AEE95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AR.</w:t>
      </w:r>
      <w:r w:rsidRPr="00A033D5">
        <w:tab/>
        <w:t xml:space="preserve">vzhledem k tomu, že v mnoha částech Evropy některé velké šelmy, zejména vlci a medvědi, rozšiřují svá teritoria nebo se znovu zabydlují v určitých oblastech, což vede ke konfliktům s lidskou činností, zejména s extenzivní pastvou ovcí a skotu; vzhledem k tomu, že pastevcům a dalším chovatelům hospodářských zvířat vznikají kvůli útokům na jejich stáda značné náklady, např. náklady na preventivní opatření a náhradu </w:t>
      </w:r>
      <w:r w:rsidRPr="00A033D5">
        <w:lastRenderedPageBreak/>
        <w:t xml:space="preserve">ztracených zvířat, dodatečné náklady na veterinární péči a ztráty v důsledku potratů; vzhledem k tomu, že mezi členskými státy a regiony existují velké rozdíly v opatřeních na podporu zemědělců a ve veřejných prostředcích, které jsou k dispozici na odškodnění a adaptaci, a že v některých případech tato opatření zcela chybí; </w:t>
      </w:r>
    </w:p>
    <w:p w14:paraId="1CDF851A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AS.</w:t>
      </w:r>
      <w:r w:rsidRPr="00A033D5">
        <w:tab/>
        <w:t>vzhledem k tomu, že nákazy zvířat, zejména infekční choroby a choroby přenosné na člověka („zoonózy“), mohou způsobit značné sociální, hospodářské a environmentální škody a v některých případech ohrozit lidské zdraví;</w:t>
      </w:r>
    </w:p>
    <w:p w14:paraId="4601E80C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AT.</w:t>
      </w:r>
      <w:r w:rsidRPr="00A033D5">
        <w:tab/>
        <w:t xml:space="preserve">vzhledem k tomu, že všechna vlákna výrobního řetězce se sbíhají na jatkách, a že regionální struktury jatek proto mohou pozitivně přispívat ke sledovatelnosti, prevenci chorob a dobrým životním podmínkám zvířat; zdůrazňuje proto, že z fondů SZP a dalších fondů je proto třeba podporovat zřizování a rozvoj </w:t>
      </w:r>
      <w:proofErr w:type="gramStart"/>
      <w:r w:rsidRPr="00A033D5">
        <w:t>jatek</w:t>
      </w:r>
      <w:proofErr w:type="gramEnd"/>
      <w:r w:rsidRPr="00A033D5">
        <w:t xml:space="preserve"> a tak stimulovat místní hospodářství, vytvářet pracovní místa a posilovat krátké dodavatelské řetězce;</w:t>
      </w:r>
    </w:p>
    <w:p w14:paraId="522FF7A3" w14:textId="77777777" w:rsidR="00B75963" w:rsidRPr="00A033D5" w:rsidRDefault="00B75963" w:rsidP="005712B5">
      <w:pPr>
        <w:spacing w:after="240"/>
        <w:ind w:left="567" w:hanging="567"/>
        <w:rPr>
          <w:rFonts w:eastAsia="Calibri"/>
          <w:szCs w:val="24"/>
        </w:rPr>
      </w:pPr>
      <w:r w:rsidRPr="00A033D5">
        <w:t>AU.</w:t>
      </w:r>
      <w:r w:rsidRPr="00A033D5">
        <w:tab/>
        <w:t>vzhledem k tomu, že změna klimatu pravděpodobně ovlivní objevování nových nákaz zvířat a prevalenci stávajících nákaz a jejich zeměpisné rozšíření, zejména nemocí přenášených vektory, jako je katarální horečka ovcí a západonilský virus, což vyzdvihuje potřebu preventivních veterinárních strategií; vzhledem k tomu, že tuto situaci zhoršuje nedostatek veterinárních lékařů specializovaných na hospodářská zvířata, což má důsledky pro preventivní veterinární péči a včasné odhalování a rychlou kontrolu nákaz;</w:t>
      </w:r>
    </w:p>
    <w:p w14:paraId="153C1BE8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AV.</w:t>
      </w:r>
      <w:r w:rsidRPr="00A033D5">
        <w:tab/>
        <w:t>vzhledem k tomu, že na zranitelnost zemědělských systémů EU upozornily nedávná ohniska nákaz a vyšší výskyt nemocí, jako je tuberkulóza skotu, africký mor prasat, nodulární dermatitida skotu, katarální horečka ovcí, ptačí chřipka, slintavka a kulhavka, epizootické hemoragické onemocnění a infekční rinotracheitida skotu, v kombinaci s nižším počtem veterinářů specializovaných na hospodářská zvířata, bez nichž nebude možné nákazy potírat a zaručit dobré životní podmínky zvířat; vzhledem k tomu, že tato zranitelnost měla ničivé dopady na objem produkce, což mělo negativní důsledky pro duševní zdraví zemědělců kvůli stresu, úzkosti a emočnímu vypětí;</w:t>
      </w:r>
    </w:p>
    <w:p w14:paraId="3E075824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AW.</w:t>
      </w:r>
      <w:r w:rsidRPr="00A033D5">
        <w:tab/>
        <w:t>vzhledem k tomu, že prevence nákaz zvířat pomocí očkování, pokud je k dispozici, je v některých případech velmi důležitá, má-li se předejít drastickým, avšak nevyhnutelným kontrolním opatřením, jako je hromadné utracení zvířat; vzhledem k tomu, že financování opatření pro prevenci, tlumení a eradikaci některých nákaz zvířat v rámci programu pro jednotný trh nestačí k tomu, aby zemědělci a členské státy mohly zvládat nové nákazy zvířat;</w:t>
      </w:r>
    </w:p>
    <w:p w14:paraId="3ACD3425" w14:textId="77777777" w:rsidR="00B75963" w:rsidRPr="00A033D5" w:rsidRDefault="00B75963" w:rsidP="005712B5">
      <w:pPr>
        <w:pStyle w:val="NormalHanging12a"/>
      </w:pPr>
      <w:r w:rsidRPr="00A033D5">
        <w:t>AX.</w:t>
      </w:r>
      <w:r w:rsidRPr="00A033D5">
        <w:tab/>
        <w:t>vzhledem k tomu, že hrozby, které představují nákazy zvířat, mají velký dopad na mezinárodní obchod se zvířaty a živočišnými produkty v EU, a že je proto nezbytné, aby obchodní partneři EU uznali systém regionalizace, který EU zavedla v souladu s normami Světové organizace pro zdraví zvířat (WOAH) a zásadami Světové obchodní organizace (WTO) s cílem kontrolovat nákazy a zachovat bezpečný obchod omezením obchodu s oblastmi zasaženými nákazou a zároveň zabránit zbytečným překážkám a narušení obchodu s produkty z oblastí, které zasažené nejsou;</w:t>
      </w:r>
    </w:p>
    <w:p w14:paraId="6D564BD3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AY.</w:t>
      </w:r>
      <w:r w:rsidRPr="00A033D5">
        <w:tab/>
        <w:t>vzhledem k tomu, že očkování je sice účinným nástrojem k prevenci šíření nákaz zvířat, avšak používá se spíše jako nástroj k omezení obchodu mezi členskými státy EU a třetími zeměmi nežli k jeho usnadnění;</w:t>
      </w:r>
    </w:p>
    <w:p w14:paraId="22A7DC6F" w14:textId="77777777" w:rsidR="00B75963" w:rsidRPr="00A033D5" w:rsidRDefault="00B75963" w:rsidP="005712B5">
      <w:pPr>
        <w:spacing w:after="240"/>
        <w:ind w:left="567" w:hanging="567"/>
        <w:rPr>
          <w:iCs/>
        </w:rPr>
      </w:pPr>
      <w:r w:rsidRPr="00A033D5">
        <w:lastRenderedPageBreak/>
        <w:t>AZ.</w:t>
      </w:r>
      <w:r w:rsidRPr="00A033D5">
        <w:tab/>
        <w:t>vzhledem k tomu, že komplexní přístup EU k tlumení nákaz zvířat se skládá z několika složek, a to ze specifických kontrolních opatření zavedených pro monitorování každé nákazy, finančního příspěvku EU, systému hlášení, nouzového týmu EU, systému sledovatelnosti a referenčních laboratoří EU pro vybrané nákazy;</w:t>
      </w:r>
    </w:p>
    <w:p w14:paraId="1CC04EB1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BA.</w:t>
      </w:r>
      <w:r w:rsidRPr="00A033D5">
        <w:tab/>
        <w:t>vzhledem k tomu, že antimikrobiální rezistence – jedna z problematik, na něž se zaměřuje přístup „jedno zdraví“, –zahrnuje zdraví lidí, zvířat a rostlin a zdravé životní prostředí, a vzhledem k tomu, že je jednou ze tří hlavních prioritních zdravotních hrozeb, které Komise identifikovala v červenci 2022, a má významný socioekonomický dopad na zemědělství, neboť vede ke zvýšené nemocnosti a úmrtnosti zvířat a ohrožuje jejich zdraví a dobré životní podmínky a následně i jejich užitkovost; vzhledem k tomu, že SZP a další programy EU by měly podporovat zlepšení biologické bezpečnosti v zemědělských podnicích s chovem hospodářských zvířat, preventivní očkování, školení a technickou podporu zemědělců a výzkum a vývoj účinných a cenově dostupných alternativ k antimikrobikům pro hospodářská zvířata;</w:t>
      </w:r>
    </w:p>
    <w:p w14:paraId="189790E7" w14:textId="77777777" w:rsidR="00B75963" w:rsidRPr="00A033D5" w:rsidRDefault="00B75963" w:rsidP="005712B5">
      <w:pPr>
        <w:spacing w:after="240"/>
        <w:ind w:left="567" w:hanging="567"/>
        <w:rPr>
          <w:rFonts w:eastAsia="Aptos"/>
          <w:kern w:val="2"/>
          <w:szCs w:val="24"/>
        </w:rPr>
      </w:pPr>
      <w:r w:rsidRPr="00A033D5">
        <w:t>BB.</w:t>
      </w:r>
      <w:r w:rsidRPr="00A033D5">
        <w:tab/>
        <w:t>vzhledem k tomu, že první výroční zpráva o dohledu nad evropským prodejem a používáním antimikrobiálních látek ve veterinární medicíně (ESUAvet 2023)</w:t>
      </w:r>
      <w:r w:rsidRPr="00A033D5">
        <w:rPr>
          <w:rFonts w:eastAsia="Aptos"/>
          <w:kern w:val="2"/>
          <w:szCs w:val="24"/>
          <w:vertAlign w:val="superscript"/>
        </w:rPr>
        <w:footnoteReference w:id="29"/>
      </w:r>
      <w:r w:rsidRPr="00A033D5">
        <w:t xml:space="preserve"> uvádí, že cíle 50% snížení těchto látek, který byl stanoven pro rok 2030, již bylo asi z poloviny dosaženo v roce 2023, avšak upozorňuje na to, že tento pozitivní vývoj by mohl být narušen větším výskytem nákaz zvířat a absencí koordinovaného přístupu EU k očkování, včasnému monitorování, biologické bezpečnosti a celkové prevenci a připravenosti na nákazy;</w:t>
      </w:r>
    </w:p>
    <w:p w14:paraId="099EB507" w14:textId="77777777" w:rsidR="00B75963" w:rsidRPr="00A033D5" w:rsidRDefault="00B75963" w:rsidP="005712B5">
      <w:pPr>
        <w:pStyle w:val="NormalHanging12a"/>
        <w:rPr>
          <w:iCs/>
        </w:rPr>
      </w:pPr>
      <w:r w:rsidRPr="00A033D5">
        <w:t>BC.</w:t>
      </w:r>
      <w:r w:rsidRPr="00A033D5">
        <w:tab/>
        <w:t>vzhledem k tomu, že právní rámec EU pro zdraví zvířat harmonizuje odvětvová pravidla, která se vztahují na obchod na území EU, vstup zvířat a produktů do EU, eradikaci nákaz, veterinární kontroly, hlášení nákaz a finanční podporu v souvislosti s různými druhy zvířat;</w:t>
      </w:r>
    </w:p>
    <w:p w14:paraId="28938F7B" w14:textId="77777777" w:rsidR="00B75963" w:rsidRPr="00A033D5" w:rsidRDefault="00B75963" w:rsidP="00B75963">
      <w:pPr>
        <w:pStyle w:val="NormalHanging12a"/>
      </w:pPr>
      <w:r w:rsidRPr="00A033D5">
        <w:t>BD.</w:t>
      </w:r>
      <w:r w:rsidRPr="00A033D5">
        <w:tab/>
        <w:t>vzhledem k tomu, že stávající právní předpisy o nákazách zvířat obsahují komplexní soubor ustanovení, která se týkají dozoru, programů eradikace a statusu oblasti prosté nákazy, a vyžadují, aby členské státy vypracovaly a vedly aktualizovaný seznam svých území nebo oblastí se statusem oblasti prosté nákazy a svých regionů se statusem oblasti prosté nákazy v souladu s platnými právními předpisy o veterinárních léčivých přípravcích, které umožňují povolování očkovacích látek a jiných veterinárních přípravků; vzhledem k tomu, že tyto právní předpisy tvoří jádro prevence a řízení nákaz zvířat v EU;</w:t>
      </w:r>
    </w:p>
    <w:p w14:paraId="3FF43587" w14:textId="77777777" w:rsidR="00B75963" w:rsidRPr="00A033D5" w:rsidRDefault="00B75963" w:rsidP="00B75963">
      <w:pPr>
        <w:pStyle w:val="NormalHanging12a"/>
        <w:rPr>
          <w:iCs/>
        </w:rPr>
      </w:pPr>
      <w:r w:rsidRPr="00A033D5">
        <w:t>BE.</w:t>
      </w:r>
      <w:r w:rsidRPr="00A033D5">
        <w:tab/>
        <w:t>vzhledem k tomu, že opatření pro prevenci a tlumení každé nákazy zvířat by měla být přizpůsobena jejímu epizootologickému profilu, jejím důsledkům a zeměpisnému rozšíření v EU;</w:t>
      </w:r>
    </w:p>
    <w:p w14:paraId="16B65FB3" w14:textId="77777777" w:rsidR="00B75963" w:rsidRPr="00A033D5" w:rsidRDefault="00B75963" w:rsidP="00B75963">
      <w:pPr>
        <w:pStyle w:val="NormalHanging12a"/>
        <w:rPr>
          <w:iCs/>
        </w:rPr>
      </w:pPr>
      <w:r w:rsidRPr="00A033D5">
        <w:t>BF.</w:t>
      </w:r>
      <w:r w:rsidRPr="00A033D5">
        <w:tab/>
        <w:t xml:space="preserve">vzhledem k tomu, že pro účinné tlumení nákaz je rozhodující včasné odhalení a jasný řetězec hlášení nákaz a podávání zpráv; vzhledem k tomu, že členské státy by měly </w:t>
      </w:r>
      <w:r w:rsidRPr="00A033D5">
        <w:lastRenderedPageBreak/>
        <w:t>zajistit, aby byl příslušný orgán neprodleně informován o jakémkoli podezření na propuknutí nákazy nebo o jejím potvrzení;</w:t>
      </w:r>
    </w:p>
    <w:p w14:paraId="6D821FD4" w14:textId="77777777" w:rsidR="00B75963" w:rsidRPr="00A033D5" w:rsidRDefault="00B75963" w:rsidP="00B75963">
      <w:pPr>
        <w:pStyle w:val="NormalHanging12a"/>
        <w:rPr>
          <w:iCs/>
        </w:rPr>
      </w:pPr>
      <w:r w:rsidRPr="00A033D5">
        <w:t>BG.</w:t>
      </w:r>
      <w:r w:rsidRPr="00A033D5">
        <w:tab/>
        <w:t>vzhledem k tomu, že je velmi důležité v EU zajistit jednotné povinnosti pro hlášení nákaz a podávání zpráv, aby byly zachovány rovné podmínky pro všechny členské státy a nedošlo k narušení hospodářské soutěže; vzhledem k tomu, že Komise je oprávněna stanovit seznam nákaz, které v EU podléhají povinnosti hlášení a podávání zpráv, a rovněž nezbytné postupy a formát pro hlášení nákaz a podávání zpráv prostřednictvím informačního systému pro nákazy zvířat (ADIS);</w:t>
      </w:r>
    </w:p>
    <w:p w14:paraId="340C04FF" w14:textId="77777777" w:rsidR="00B75963" w:rsidRPr="00A033D5" w:rsidRDefault="00B75963" w:rsidP="00B75963">
      <w:pPr>
        <w:pStyle w:val="NormalHanging12a"/>
      </w:pPr>
      <w:r w:rsidRPr="00A033D5">
        <w:t>BH.</w:t>
      </w:r>
      <w:r w:rsidRPr="00A033D5">
        <w:tab/>
        <w:t>vzhledem k tomu, že počet velkých šelem v kontinentální Evropě se v roce 2012 odhadoval na 9 000 jedinců rysa ostrovida, 17 000 jedinců medvěda hnědého, 1 250 jedinců rosomáka a 12 000 jedinců vlka; vzhledem k tomu, že v EU dosud neexistuje jednotný a aktualizovaný přehled přibližného stavu populací velkých šelem;</w:t>
      </w:r>
    </w:p>
    <w:p w14:paraId="4C288394" w14:textId="77777777" w:rsidR="00B75963" w:rsidRPr="00A033D5" w:rsidRDefault="00B75963" w:rsidP="00B75963">
      <w:pPr>
        <w:pStyle w:val="Normal12a24b"/>
        <w:spacing w:before="0"/>
        <w:ind w:left="567" w:hanging="567"/>
      </w:pPr>
      <w:r w:rsidRPr="00A033D5">
        <w:rPr>
          <w:rStyle w:val="BoldItalic"/>
        </w:rPr>
        <w:t>Obecné připomínky</w:t>
      </w:r>
    </w:p>
    <w:p w14:paraId="494C8F8B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1.</w:t>
      </w:r>
      <w:r w:rsidRPr="00A033D5">
        <w:tab/>
        <w:t>vítá a podporuje iniciativu Komise, která ve „Vizi pro zemědělství a potraviny“ navrhla vytvořit pracovní skupinu pro chov hospodářských zvířat, jež by měla za úkol určit a vypracovat vhodná politická opatření na podporu chovu hospodářských zvířat a posílení jeho konkurenceschopnosti, namísto univerzální politiky by měla spíše formu cílených a územních řešení a kromě potravinového zabezpečení, odolnosti a zvládání nákaz zvířat by zohledňovala také ochranu klimatu, přírody a zvířat; zdůrazňuje, že rozmanitost živočišné výroby, různé potřeby různých druhů zvířat a rozdílné místní podmínky vyžadují řešení přizpůsobená vnitrostátnímu, regionálnímu nebo ještě nižšímu měřítku; vyzývá Komisi, aby přijala konkrétní opatření pro chov hospodářských zvířat v horských, odlehlých a znevýhodněných oblastech;</w:t>
      </w:r>
    </w:p>
    <w:p w14:paraId="192BABFA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2.</w:t>
      </w:r>
      <w:r w:rsidRPr="00A033D5">
        <w:tab/>
        <w:t>vyjadřuje znepokojení nad iniciativami nebo legislativními návrhy, které prostřednictvím přímých nebo nepřímých opatření odrazují od chovu hospodářských zvířat; trvá na tom, že by se na živočišnou výrobu neměl vztahovat stejný regulační režim jako na těžký průmysl;</w:t>
      </w:r>
    </w:p>
    <w:p w14:paraId="3B715F8D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3.</w:t>
      </w:r>
      <w:r w:rsidRPr="00A033D5">
        <w:tab/>
        <w:t xml:space="preserve">vyzývá Komisi, aby po vzoru skupiny na vysoké úrovni pro politiku v oblasti vína ustavila skupinu na vysoké úrovni pro hospodářská zvířata, která by navázala na pracovní skupinu pro chov hospodářských zvířat a do níž by byly zapojeny všechny příslušné zúčastněné strany, včetně zástupců živočišné výroby jednotlivých členských států, akademické obce, veterinárních profesí, reprezentativních sdružení a příslušných organizací zabývajících se zdravím zvířat a zástupců dotčeného odvětví a místních orgánů; poukazuje na to, že složení této skupiny by mělo odrážet rozmanitost území v EU tím, že zajistí vyvážené zastoupení oblastí s různými regionálními podmínkami, včetně oblastí s vysokou koncentrací hospodářských zvířat; </w:t>
      </w:r>
    </w:p>
    <w:p w14:paraId="076B73E0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4.</w:t>
      </w:r>
      <w:r w:rsidRPr="00A033D5">
        <w:tab/>
        <w:t>domnívá se, že tato skupina na vysoké úrovni, v níž společně zasednou členské státy a zúčastněné strany, by se měla zamyslet nad výzvami živočišné výroby a nabídnout konkrétní a sociální řešení, která by se opírala zejména o provedený výzkum v této oblasti; vyzývá k otevřenému a konstruktivnímu dialogu všech zúčastněných stran s cílem podpořit spolupráci, nalézt praktická řešení a zajistit komunikaci o chovu hospodářských zvířat založenou na faktech; domnívá se, že by se tato řešení měla zabývat zejména přesouváním produkce mimo Evropu, generační obměnou a povzbuzením investic na podporu konkurenceschopnosti chovu hospodářských zvířat;</w:t>
      </w:r>
    </w:p>
    <w:p w14:paraId="40490F13" w14:textId="77777777" w:rsidR="00B75963" w:rsidRPr="00A033D5" w:rsidRDefault="00B75963" w:rsidP="005712B5">
      <w:pPr>
        <w:spacing w:after="240"/>
        <w:ind w:left="567" w:hanging="567"/>
        <w:rPr>
          <w:bCs/>
          <w:iCs/>
        </w:rPr>
      </w:pPr>
      <w:r w:rsidRPr="00A033D5">
        <w:lastRenderedPageBreak/>
        <w:t>5.</w:t>
      </w:r>
      <w:r w:rsidRPr="00A033D5">
        <w:tab/>
        <w:t xml:space="preserve">zdůrazňuje, že specifické problémy tohoto odvětví vyžadují koordinovanou, vícerozměrnou politickou reakci, jež plně zohlední hospodářský, environmentální a sociální význam chovu hospodářských zvířat v EU a jejích venkovských oblastech a současně se vyhne hledání kompromisů mezi těmito výzvami; taktéž se domnívá, že tato politická reakce by měla zohlednit i zásluhy tohoto odvětví o soudržnost venkova, potravinové zabezpečení, udržitelné hospodaření s půdou, dobré životní podmínky zvířat a dodávky živočišných bílkovin na trh EU; </w:t>
      </w:r>
    </w:p>
    <w:p w14:paraId="4DD4164E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6.</w:t>
      </w:r>
      <w:r w:rsidRPr="00A033D5">
        <w:tab/>
        <w:t>vyzývá Komisi, aby zemědělcům poskytla stabilní a předvídatelný rámec a za tímto účelem omezila zbytečnou regulační zátěž a zjednodušila předpisy pro chov hospodářských zvířat, zejména pro malé a rodinné zemědělské podniky, a tak podpořila jejich provoz a rozvoj odvětví; zdůrazňuje, že je nutné posoudit kumulativní dopad legislativy EU a zabránit právní nejistotě a administrativní zátěži v důsledku právních předpisů EU a gold-platingu v členských státech;</w:t>
      </w:r>
    </w:p>
    <w:p w14:paraId="5C689656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7.</w:t>
      </w:r>
      <w:r w:rsidRPr="00A033D5">
        <w:tab/>
        <w:t>poukazuje na to, že zlepšení sociální, hospodářské a environmentální udržitelnosti živočišné výroby závisí na dlouhodobé vizi, která by se měla zaměřit na širokou škálu provázaných faktorů, včetně cenové a necenové konkurenceschopnosti, schopnosti přizpůsobit se změně klimatu a souvisejícím extrémním povětrnostním událostem, jakož i na problematiku nákaz zvířat; domnívá se, že mezi další důležité faktory patří znečištění živinami, rozvoj a poskytování zpoplatněných ekosystémových služeb, cílená investiční pomoc, podpora dobrých životních podmínek zvířat, pobídky pro inovace a digitalizaci, generační obměna, přístup k podpůrným a poradenským službám a zlepšení životních a pracovních podmínek chovatelů hospodářských zvířat;</w:t>
      </w:r>
    </w:p>
    <w:p w14:paraId="335C3F94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8.</w:t>
      </w:r>
      <w:r w:rsidRPr="00A033D5">
        <w:tab/>
        <w:t>zdůrazňuje, že zemědělci mají v první řadě zájem o zajištění dobrého zdraví a dobrých životních podmínek svých zvířat, jelikož se jedná o etický i ekonomický imperativ; zdůrazňuje, že dobré životní podmínky zvířat v zemědělských podnicích přímo souvisejí s odbornou kompetencí konkrétního chovatele; v této souvislosti zdůrazňuje význam odborné přípravy a pravidelného dalšího vzdělávání;</w:t>
      </w:r>
    </w:p>
    <w:p w14:paraId="74FFDE8A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9.</w:t>
      </w:r>
      <w:r w:rsidRPr="00A033D5">
        <w:tab/>
        <w:t>zdůrazňuje, že pestrost evropských systémů chovu hospodářských zvířat – od volných výběhů, které často zahrnují pastviny s vysokou environmentální hodnotou a ohrožené druhy a plemena hospodářských zvířat, velké specializované a vysoce efektivní zemědělské podniky, smíšenou rostlinnou a živočišnou výrobu, regenerativní a ekologické zemědělství a pastevectví, sezónní přesun dobytka, lesní pastevectví, až po drobný chov zvířat pro osobní potřebu a rozmanitost chovaných plemen – umožňuje zemědělcům nabízet řadu doplňkových produktů a služeb, a tím zlepšuje odolnost celého odvětví živočišné výroby a zároveň vychází vstříc rozmanité poptávce spotřebitelů; vyzývá Komisi, aby rozmanitost systémů produkce podpořila a umožnila;</w:t>
      </w:r>
    </w:p>
    <w:p w14:paraId="170942CE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10.</w:t>
      </w:r>
      <w:r w:rsidRPr="00A033D5">
        <w:tab/>
        <w:t xml:space="preserve">zdůrazňuje, že je třeba zvýšit transparentnost při přidělování finančních prostředků EU nevládním organizacím a jejich využívání, aby se zabránilo riziku zneužití nebo nepatřičného ovlivňování politik EU; vyzývá Komisi, aby vytvořila veřejný rejstřík s uvedením výše a účelu finančních prostředků, které obdržely nevládní organizace; je znepokojen přidělováním finančních prostředků, a to i prostřednictvím Programu pro životní prostředí a oblast klimatu (LIFE), nevládním organizacím, které lobbují v orgánech EU, zejména v souvislosti s dobrými životními podmínkami zvířat, protože by tím mohly být porušeny zásady dělby moci a loajální spolupráce; vyzývá Komisi, aby přestala financovat nevládní organizace, které provádějí cílený lobbing a vytvářejí zavádějící, militantní a ideologický obraz chovu hospodářských zvířat v Evropě; vyzývá </w:t>
      </w:r>
      <w:r w:rsidRPr="00A033D5">
        <w:lastRenderedPageBreak/>
        <w:t>Komisi, aby zajistila, aby všichni příjemci konsolidovaných finančních prostředků zveřejňovali schůzky se zástupci orgánů EU, pokud se snaží ovlivnit politiky EU;</w:t>
      </w:r>
    </w:p>
    <w:p w14:paraId="59549740" w14:textId="77777777" w:rsidR="00B75963" w:rsidRPr="00A033D5" w:rsidRDefault="00B75963" w:rsidP="005712B5">
      <w:pPr>
        <w:pStyle w:val="NormalHanging12a"/>
        <w:rPr>
          <w:b/>
          <w:i/>
        </w:rPr>
      </w:pPr>
      <w:r w:rsidRPr="00A033D5">
        <w:rPr>
          <w:b/>
          <w:i/>
        </w:rPr>
        <w:t>Hospodářská udržitelnost a potravinové zabezpečení</w:t>
      </w:r>
    </w:p>
    <w:p w14:paraId="1D3B57DB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11.</w:t>
      </w:r>
      <w:r w:rsidRPr="00A033D5">
        <w:tab/>
        <w:t>konstatuje, že zachování prosperujícího, udržitelného a odolného odvětví živočišné výroby v EU bude přínosem pro celosvětové potravinové zabezpečení, posílí potravinovou soběstačnost a hospodářský růst EU a přispěje k vyvážené a rozmanité evropské stravě díky konzumaci masných výrobků vysoké výživové kvality, které jsou jedinečným zdrojem řady mikroživin a bioaktivních látek, jejichž výživovou hodnotu nelze adekvátně nahradit rostlinnými nebo umělými náhražkami, a že tato skutečnost by se měla promítnout do stravovacích doporučení, která by měla být vypracována na základě důkazů;</w:t>
      </w:r>
    </w:p>
    <w:p w14:paraId="08A62BBA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12.</w:t>
      </w:r>
      <w:r w:rsidRPr="00A033D5">
        <w:tab/>
        <w:t>vzhledem k tomu, že Organizace OSN pro výživu a zemědělství ve zprávě z roku 2023 „Contribution of terrestrial animal source foods to healthy diets for improved nutrition and health outcomes“ (Příspěvek potravin ze suchozemských zvířat ke zdravé stravě v zájmu lepší výživy a zdraví) zdůrazňuje, že potraviny živočišného původu jsou zdrojem vysoce kvalitních bílkovin, které mohou v rostlinné stravě chybět; zdůrazňuje, že tyto potraviny jsou životně důležité pro děti, adolescenty, těhotné a kojící ženy, ženy v reprodukčním věku, starší a chronicky nemocné osoby a že může být obtížně je nahradit rostlinnými alternativami;</w:t>
      </w:r>
    </w:p>
    <w:p w14:paraId="69E836C4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13.</w:t>
      </w:r>
      <w:r w:rsidRPr="00A033D5">
        <w:tab/>
        <w:t>vyzdvihuje značný význam chovu hospodářských zvířat pro regionální hodnotové řetězce a místní trhy; vyzývá Komisi, aby posoudila sociální a hospodářské dopady dalšího zmenšování sítě regionálních jatek;</w:t>
      </w:r>
    </w:p>
    <w:p w14:paraId="0C89DFE3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14.</w:t>
      </w:r>
      <w:r w:rsidRPr="00A033D5">
        <w:tab/>
        <w:t xml:space="preserve">vyzývá k vyváženému přístupu, který by uznal zásadní úlohu produktů živočišného původu v celosvětové výživě a současně zohlednil význam živočišné výroby pro příjmy zemědělských podniků a hospodářskou stabilitu; připomíná, že živočišná výroba má zásadní roli v oběhovém hospodářství a upcyklaci odpadních toků z potravinářského průmyslu a je důležitá i v mnoha dalších odvětvích, např. v textilním, oděvním, obuvnickém a kožedělném průmyslu, ve stavebnictví a v kosmetickém a farmaceutickém průmyslu; upozorňuje na to, že je současně nutné řešit různé dopady výrobních systémů na životní prostředí, klima a dobré životní podmínky zvířat; </w:t>
      </w:r>
    </w:p>
    <w:p w14:paraId="205EC369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15.</w:t>
      </w:r>
      <w:r w:rsidRPr="00A033D5">
        <w:tab/>
        <w:t>zdůrazňuje, že je nutné i nadále usilovat o potravinové zabezpečení Evropy a současně snížit dopady na životní prostředí na minimum pomocí transparentních a vědecky podložených strategií a inovací;</w:t>
      </w:r>
    </w:p>
    <w:p w14:paraId="6E7B529B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16.</w:t>
      </w:r>
      <w:r w:rsidRPr="00A033D5">
        <w:tab/>
        <w:t>vyzdvihuje, že zlepšení produktivity, odolnosti, účinnosti a udržitelnosti živočišné výroby v EU má zásadní význam pro zvýšení domácí nabídky vysoce kvalitních bílkovin, která bude odpovídat potřebám spotřebitelů v EU a posílí potravinové zabezpečení, zejména v kontextu volatility světového trhu, geopolitického napětí a očekávaného nárůstu celosvětové poptávky po bílkovinách v příštích 30 letech; konstatuje, že EU je stále velmi závislá na dovozu rostlinných bílkovin určených na krmivo od omezeného počtu partnerů, což oslabuje její soběstačnost, a evropský potravinový systém se tak stává citlivým vůči výkyvům na světovém trhu;</w:t>
      </w:r>
    </w:p>
    <w:p w14:paraId="0C1CFEBF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17.</w:t>
      </w:r>
      <w:r w:rsidRPr="00A033D5">
        <w:tab/>
        <w:t xml:space="preserve">zdůrazňuje, že udržitelná a diverzifikovaná domácí produkce bílkovin má zásadní význam pro zajištění dostatečného množství bezpečných a kvalitních potravin a krmiv; </w:t>
      </w:r>
      <w:r w:rsidRPr="00A033D5">
        <w:lastRenderedPageBreak/>
        <w:t>poukazuje na to, že odvětví živočišných bílkovin může tuto produkci podpořit tím, že odpadní vody z živočišné výroby budou používány jako přírodní hnojiva a vedlejší produkty rostlinné výroby a potravinový odpad ke krmení zvířat, čímž se současně podpoří integrovanější, více oběhový a udržitelnější přístup; s potěšením konstatuje, že Komise ve své Vizi pro zemědělství a potraviny oznámila, že vypracuje komplexní plán pro soběstačnější a udržitelnější systém EU pro bílkoviny, v němž se bude zabývat produkcí, dovozem a spotřebou bílkovin v EU s cílem zajistit dlouhodobou odolnost zemědělsko-potravinářského systému;</w:t>
      </w:r>
    </w:p>
    <w:p w14:paraId="4F65915E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18.</w:t>
      </w:r>
      <w:r w:rsidRPr="00A033D5">
        <w:tab/>
        <w:t>zdůrazňuje, že je důležité posílit pozici zemědělců v zemědělskopotravinářském řetězci (mimo jiné prostřednictvím družstev a producentských organizací a sdružení), a žádá Komisi a členské státy, aby prozkoumaly mechanismy, které by zajistily, že ceny placené zemědělcům budou pokrývat alespoň jejich výrobní náklady; připomíná, že klíčem k zajištění hospodářské udržitelnosti zemědělství, náležitému ocenění role zemědělců při zajišťování dodávek potravin v EU a přilákání mladších generací je zajištění korektních, spravedlivých a stabilnějších příjmů, lepších pracovních podmínek, jednoduššího přístupu k úvěrům, udržitelného financování výzkumu a investic do kvalitních hospodářských zvířat;</w:t>
      </w:r>
    </w:p>
    <w:p w14:paraId="0686B4E5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19.</w:t>
      </w:r>
      <w:r w:rsidRPr="00A033D5">
        <w:tab/>
        <w:t>zdůrazňuje, že nestabilní ceny, vysoké výrobní náklady, nadměrná byrokratická zátěž a nedocenění tohoto povolání ve společnosti přispívají k tomu, že zemědělci ukončují činnost a že toto odvětví „stárne“; poukazuje na to, že malé a střední podniky již musí splňovat řadu požadavků, jejichž přínosy rozumně nevyvažují vynaložené náklady; znovu proto zdůrazňuje, že je třeba vytvořit účinné nástroje na podporu příjmů, snížit administrativní zátěž, zjednodušit platné právní předpisy a docílit společenského ocenění zemědělské práce, což jsou klíčové prvky pro zajištění dlouhodobé životaschopnosti živočišné výroby v EU; vyzývá Komisi, aby živočišnou výrobu podpořila a ab přijala příslušnou strategii;</w:t>
      </w:r>
    </w:p>
    <w:p w14:paraId="78D65E53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20.</w:t>
      </w:r>
      <w:r w:rsidRPr="00A033D5">
        <w:tab/>
        <w:t>poukazuje na to, že investice do zařízení pro chov hospodářských zvířat a renovace těch stávajících s sebou nesou značné náklady a musí být plánovány a realizovány v dlouhodobém horizontu; upozorňuje na skutečnost, že změny právních předpisů v oblasti dobrých životních podmínek zvířat mohou vést k tomu, že zařízení pro chov hospodářských zvířat přijdou o vydaná povolení a budou muset být s vysokými náklady renovována již před koncem plánované životnosti; vyzývá Komisi, aby v co největší míře podporovala a podněcovala osvědčené postupy pro udělování povolení v členských státech;</w:t>
      </w:r>
    </w:p>
    <w:p w14:paraId="52ED8BA4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21.</w:t>
      </w:r>
      <w:r w:rsidRPr="00A033D5">
        <w:tab/>
        <w:t>zdůrazňuje, že udržitelný chov hospodářských zvířat, zejména v malých a středních zemědělských podnicích, má zásadní význam pro socioekonomickou životaschopnost venkovských oblastí, zejména horských regionů, oblastí s hustou živočišnou výrobou a znevýhodněných regionů, například s trvalými travními porosty, rašeliništi a loukami, kde se často jedná o hlavní, či dokonce jedinou životaschopnou hospodářskou činností, která podporuje produkci, hospodářský růst a udržování krajiny; poukazuje na to, že chov hospodářských zvířat zajišťuje nejen zaměstnanost na venkově a brání jeho vylidňování, ale přispívá také k aktivnímu obhospodařování půdy, prevenci požárů a zachování biologické rozmanitosti a kulturního a krajinného dědictví; zdůrazňuje, že chov hospodářských zvířat v mnoha regionech hraje nenahraditelnou úlohu z hlediska územní soudržnosti a zachování živých komunit; upozorňuje na to, že extenzivní pastevectví představuje účinný způsob, jak zemědělce odměnit za poskytované ekosystémové služby;</w:t>
      </w:r>
    </w:p>
    <w:p w14:paraId="7E12E538" w14:textId="77777777" w:rsidR="00B75963" w:rsidRPr="00A033D5" w:rsidRDefault="00B75963" w:rsidP="005712B5">
      <w:pPr>
        <w:spacing w:after="240"/>
        <w:ind w:left="567" w:hanging="567"/>
      </w:pPr>
      <w:r w:rsidRPr="00A033D5">
        <w:lastRenderedPageBreak/>
        <w:t>22.</w:t>
      </w:r>
      <w:r w:rsidRPr="00A033D5">
        <w:tab/>
        <w:t xml:space="preserve">vyzývá Komisi, aby zavedla plán, který bude podporovat nové technologie, inovativní krmiva a zlepšení genetické hodnoty stád s cílem posílit investice do veřejného a soukromého výzkumu šlechtění a genetiky zvířat, podpořit šíření osvědčených postupů namísto nových rozsáhlých změn velikosti stád, které by oslabily potravinovou soběstačnost a potravinové zabezpečení Evropy, a optimalizovat produkci a účinnost;  zdůrazňuje, že šlechtění zvířat je důležitou metodou ke zlepšení produktivity, efektivity a zdraví zvířat; vyzdvihuje skutečnost, že EU je lídrem ve výzkumu a inovacích v oblasti šlechtění a genetiky zvířat; </w:t>
      </w:r>
    </w:p>
    <w:p w14:paraId="35F0A2F6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rPr>
          <w:szCs w:val="24"/>
        </w:rPr>
        <w:t>23.</w:t>
      </w:r>
      <w:r w:rsidRPr="00A033D5">
        <w:rPr>
          <w:szCs w:val="24"/>
        </w:rPr>
        <w:tab/>
      </w:r>
      <w:bookmarkEnd w:id="12"/>
      <w:r w:rsidRPr="00A033D5">
        <w:t>požaduje plán na ochranu genofondů různých ohrožených tradičních plemen, na podporu místních druhů a chovu rustikálních plemen, která jsou lépe přizpůsobena místnímu klimatu, a na šíření osvědčených postupů při současném zachování genetické rozmanitosti; zdůrazňuje, že je třeba zachovat podporu podle článku 27 nařízení Komise (EU) 2022/2472</w:t>
      </w:r>
      <w:r w:rsidRPr="00A033D5">
        <w:rPr>
          <w:rStyle w:val="FootnoteReference"/>
        </w:rPr>
        <w:footnoteReference w:id="30"/>
      </w:r>
      <w:r w:rsidRPr="00A033D5">
        <w:t xml:space="preserve"> na podporu genetického pokroku v živočišné výrobě; zdůrazňuje naléhavou potřebu podporovat výzkum, inovace a zavádění postupů založených na důkazech, které zlepšují udržitelnost chovu hospodářských zvířat ve všech environmentálních, sociálních a ekonomických rozměrech, včetně cílených investic do genetického výzkumu, výživové účinnosti a selekce pro dlouhodobé produkční vlastnosti, a potřebu stimulovat a financovat výzkum a inovace v oblastech s vysokou hustotou živočišné výroby s cílem snížit dopad na životní prostředí a zároveň prosazovat vysoké standardy dobrých životních podmínek zvířat a posilovat integrované a odolné dodavatelské řetězce živočišné výroby; konstatuje, že genetické zlepšení s řádným řízením a inovacemi může snížit emise a poskytnout udržitelnou alternativu k náhlé restrukturalizaci, která ohrožuje životaschopnost zemědělských podniků a potravinovou soběstačnost EU;</w:t>
      </w:r>
      <w:bookmarkStart w:id="13" w:name="_Hlk219039639"/>
      <w:r w:rsidRPr="00A033D5">
        <w:t xml:space="preserve"> </w:t>
      </w:r>
    </w:p>
    <w:p w14:paraId="6BA87688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24.</w:t>
      </w:r>
      <w:r w:rsidRPr="00A033D5">
        <w:tab/>
        <w:t xml:space="preserve">bere na vědomí, že ve Vizi Komise pro zemědělství a potraviny se poukazuje na to, že SZP zůstává zásadní pro podporu příjmů zemědělců a že přímé platby SZP hrají nadále klíčovou úlohu při podpoře a stabilizaci příjmů v zemědělství na úrovni zemědělských podniků; </w:t>
      </w:r>
      <w:r w:rsidRPr="00A033D5">
        <w:rPr>
          <w:shd w:val="clear" w:color="auto" w:fill="FFFFFF"/>
        </w:rPr>
        <w:t>zdůrazňuje důležitost ochrany přímé podpory příjmů a všech programů, které jsou v současnosti financovány ze SZP</w:t>
      </w:r>
      <w:r w:rsidRPr="00A033D5">
        <w:t>, protože odvětví živočišné výroby a souběžné produkce jsou velkými příjemci prostředků z prvního pilíře současné SZP (přímé platby, platby vázané na hovězí, telecí, ovčí a kozí maso) i druhého pilíře, zejména prostřednictvím podpory investic, plateb na přírodní omezení nebo jiná omezení specifická pro určité oblasti a agroenvironmentálních a klimatických závazků;</w:t>
      </w:r>
      <w:bookmarkEnd w:id="13"/>
      <w:r w:rsidRPr="00A033D5">
        <w:t xml:space="preserve"> konstatuje, že hospodářská životaschopnost a nedostatečná generační obměna jsou pro mnoho podniků výzvou, která vyžaduje zvláštní pozornost a </w:t>
      </w:r>
      <w:bookmarkStart w:id="14" w:name="_Hlk216446031"/>
      <w:r w:rsidRPr="00A033D5">
        <w:t>dotace související s produkcí</w:t>
      </w:r>
      <w:bookmarkEnd w:id="14"/>
      <w:r w:rsidRPr="00A033D5">
        <w:t xml:space="preserve">, a zdůrazňuje význam vázaných plateb pro aktivní zemědělce; požaduje vyhrazený a silný rozpočet pro SZP v příštím víceletém finančním rámci a konstatuje, že tento rozpočet musí být účelově vázán a zachován alespoň na úrovni stávajícího rozpočtu SZP v reálných hodnotách, přičemž je třeba rovněž zohlednit inflaci; </w:t>
      </w:r>
    </w:p>
    <w:p w14:paraId="38D81DF7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25.</w:t>
      </w:r>
      <w:r w:rsidRPr="00A033D5">
        <w:tab/>
        <w:t xml:space="preserve">zdůrazňuje klíčovou úlohu družstev vzhledem k tomu, že živočišné produkty rychle podléhají zkáze, a k vysokým transakčním nákladům, a vyzývá Komisi, aby je podporovala při zvyšování odolnosti, posilování postavení výrobců, zhodnocování </w:t>
      </w:r>
      <w:r w:rsidRPr="00A033D5">
        <w:lastRenderedPageBreak/>
        <w:t xml:space="preserve">druhotných produktů a při generační obměně a aby prosazovala oběhové přístupy; požaduje, aby byla podpora v rámci SZP přizpůsobena podmínkám zemědělských podniků, zejména malých a rodinných zemědělských podniků, a aby v odvětví živočišné výroby byla možnost plateb na zvíře; zdůrazňuje potřebu posílit hospodářskou životaschopnost zemědělců prostřednictvím diverzifikace a nástrojů řízení rizik s cílem zlepšit konkurenceschopnost, ziskovost a dlouhodobou odolnost; </w:t>
      </w:r>
    </w:p>
    <w:p w14:paraId="56026F8F" w14:textId="7777777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26.</w:t>
      </w:r>
      <w:r w:rsidRPr="00A033D5">
        <w:tab/>
        <w:t>konstatuje, že zemědělci čelí rostoucím a rozmanitým rizikům, jako jsou nepředvídatelné trhy, změna klimatu a související extrémní povětrnostní jevy, nákazy zvířat, geopolitické napětí a nejisté dopady obchodních dohod; vyzývá v této souvislosti Komisi, aby v rámci SZP po roce 2027 posílila nástroje krizového řízení a zvýšila rezervu pro případ krizí v zemědělství a aby ji spojila s vytvořením nových zvláštních finančních nástrojů financovaných mimo SZP, protože tato opatření jsou nezbytná pro lepší řešení hospodářských ztrát a dodatečných nákladů, kterým čelí zemědělci v EU, a pro zajištění větší stability pro ně;</w:t>
      </w:r>
    </w:p>
    <w:p w14:paraId="367EB131" w14:textId="77777777" w:rsidR="00B75963" w:rsidRPr="00A033D5" w:rsidRDefault="00B75963" w:rsidP="005712B5">
      <w:pPr>
        <w:spacing w:after="240"/>
        <w:ind w:left="567" w:hanging="567"/>
      </w:pPr>
      <w:r w:rsidRPr="00A033D5">
        <w:t>27.</w:t>
      </w:r>
      <w:r w:rsidRPr="00A033D5">
        <w:tab/>
        <w:t xml:space="preserve">vyzývá Komisi, aby navázala na stávající podporu ze SZP s cílem posílit finanční a sociálně-ekonomické mechanismy; trvá na tom, že platby v rámci SZP mají nadále zásadní význam pro kontinuitu příjmů z chovu hospodářských zvířat, zejména pro podniky specializující se na produkci hovězího, skopového a kozího masa a mléčných výrobků a pro podniky poskytující environmentální služby prostřednictvím extenzivní pastvy; zdůrazňuje potřebu přechodného období po roce 2027, které by umožnilo přizpůsobit se novým pravidlům; </w:t>
      </w:r>
      <w:bookmarkStart w:id="15" w:name="_Hlk219036154"/>
      <w:r w:rsidRPr="00A033D5">
        <w:t>vítá začlenění nákupu skotu, ovcí a koz s vysokou genetickou hodnotou do souhrnného balíčku SZP mezi způsobilé výdaje v rámci Evropského zemědělského fondu pro rozvoj venkova; vyzývá Komisi, aby toto ustanovení rozšířila na prasata s vysokou genetickou hodnotou určená k chovu vzhledem k jejich významu z hlediska konkurenceschopnosti a odolnosti evropského odvětví živočišné výroby; zdůrazňuje, že je třeba zachovat alespoň stejnou úroveň ambicí v SZP po roce 2027;</w:t>
      </w:r>
      <w:bookmarkEnd w:id="15"/>
      <w:r w:rsidRPr="00A033D5">
        <w:t xml:space="preserve"> v neposlední řadě vyzývá Komisi, aby uznala specifické potřeby chovatelů hospodářských zvířat v hustě osídlených oblastech a poskytla odpovídající podporu v rámci SZP, přičemž konstatuje, že vyvážený regionální rozvoj lze posílit zachováním počtu zemědělských podniků a místní infrastruktury, jako jsou jatka, výrobny krmiv a zpracovatelská zařízení;</w:t>
      </w:r>
    </w:p>
    <w:p w14:paraId="445458D7" w14:textId="1E280193" w:rsidR="00BB0AD5" w:rsidRPr="00A033D5" w:rsidRDefault="00BB0AD5" w:rsidP="005712B5">
      <w:pPr>
        <w:spacing w:after="240"/>
        <w:ind w:left="567" w:hanging="567"/>
      </w:pPr>
      <w:r w:rsidRPr="00A033D5">
        <w:t>28.</w:t>
      </w:r>
      <w:r w:rsidRPr="00A033D5">
        <w:tab/>
        <w:t>vyzývá k podpoře extenzivního chovu hospodářských zvířat založeného na využívání travnatých porostů, zejména v rámci SZP;</w:t>
      </w:r>
    </w:p>
    <w:p w14:paraId="35608263" w14:textId="61950B31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2</w:t>
      </w:r>
      <w:r w:rsidR="00BB0AD5" w:rsidRPr="00A033D5">
        <w:t>9</w:t>
      </w:r>
      <w:r w:rsidRPr="00A033D5">
        <w:t>.</w:t>
      </w:r>
      <w:r w:rsidRPr="00A033D5">
        <w:tab/>
        <w:t xml:space="preserve">zdůrazňuje potřebu zastavit a zvrátit dekapitalizaci odvětví živočišné výroby a zajistit plnou reciprocitu norem EU pro veškeré dovážené výrobky; vyzývá Komisi, aby vypracovala konkrétní strategie k zajištění rovných podmínek a většího souladu mezi její politikou v oblasti obchodu a v oblasti udržitelnosti; vyzývá Komisi a členské státy, aby lépe zohledňovaly specifika zemědělského odvětví, zajistily plnou reciprocitu norem EU zahrnutím recipročních doložek při uzavírání obchodních dohod a aby ve všech obchodních dohodách chránily evropské zemědělství, produkci potravin a veřejné zdraví; v této souvislosti trvá na tom, aby mezinárodní obchodní dohody neměly negativní dopad na evropské zemědělství a zaručovaly reciprocitu a aby nepředstavovaly žádná rizika pro veřejné zdraví; zdůrazňuje, že je naléhavě nutné přizpůsobit tržní intervence aktualizací referenčních cen pro ochranné doložky v souladu s novými tržními podmínkami a nástroji řízení; </w:t>
      </w:r>
      <w:bookmarkStart w:id="16" w:name="_Hlk211234131"/>
    </w:p>
    <w:p w14:paraId="5276E4C8" w14:textId="2DDB3895" w:rsidR="00B75963" w:rsidRPr="00A033D5" w:rsidRDefault="00BB0AD5" w:rsidP="005712B5">
      <w:pPr>
        <w:spacing w:after="240"/>
        <w:ind w:left="567" w:hanging="567"/>
        <w:rPr>
          <w:szCs w:val="24"/>
        </w:rPr>
      </w:pPr>
      <w:r w:rsidRPr="00A033D5">
        <w:t>30</w:t>
      </w:r>
      <w:r w:rsidR="00B75963" w:rsidRPr="00A033D5">
        <w:t>.</w:t>
      </w:r>
      <w:r w:rsidR="00B75963" w:rsidRPr="00A033D5">
        <w:tab/>
        <w:t xml:space="preserve">zdůrazňuje, že i chovatelé hospodářských zvířat by měli mít možnost využívat </w:t>
      </w:r>
      <w:r w:rsidR="00B75963" w:rsidRPr="00A033D5">
        <w:lastRenderedPageBreak/>
        <w:t>dodatečné příjmy z uhlíkového zemědělství; v této souvislosti požaduje postupný odklon od stávajícího systému zaměřeného na předepsané postupy a předem udělené správní povolení k rámci pro řízení emisí založenému na výsledcích, přičemž chovatelům hospodářských zvířat by mělo být umožněno rozhodovat o tom, které metody a technologie použijí, čímž by byla zachována svoboda podnikání a zajištěna odpovědnost za plnění těchto cílů;</w:t>
      </w:r>
      <w:bookmarkEnd w:id="16"/>
    </w:p>
    <w:p w14:paraId="3633BE2C" w14:textId="64637789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1</w:t>
      </w:r>
      <w:r w:rsidRPr="00A033D5">
        <w:t>.</w:t>
      </w:r>
      <w:r w:rsidRPr="00A033D5">
        <w:tab/>
        <w:t>naléhavě vyzývá Komisi, aby přezkoumala předpisy o zpracování masa, jako je technologie používaná při kontrole masa, a harmonizaci minimálních pokynů pro hodnocení obsahu masa, které v současné době omezují plné využití jatečně upravených těl zvířat, s cílem zvýšit transparentnost dodavatelského řetězce a zajistit vyšší příjmy zemědělců;</w:t>
      </w:r>
    </w:p>
    <w:p w14:paraId="7A137EF0" w14:textId="56EDA8F8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2</w:t>
      </w:r>
      <w:r w:rsidRPr="00A033D5">
        <w:t>.</w:t>
      </w:r>
      <w:r w:rsidRPr="00A033D5">
        <w:tab/>
        <w:t xml:space="preserve">konstatuje, že systémy chovu hospodářských zvířat by mohly využívat zejména postupy a technologie, které lze použít ke zlepšení zdraví a dobrých životních podmínek zvířat a k dosažení zvýšení efektivity, včetně například nízkonákladových systémů, obousměrných systémů a precizního chovu hospodářských zvířat, a využívat nové digitální technologie, které zlepšují řízení zvířat a systémů, zpracování údajů a sledovatelnost; žádá Komisi, aby podala zprávu o osvědčených postupech v oblasti udržitelnosti hospodářských zvířat a navrhla konkrétní opatření na podporu inovací, efektivity a odolnosti tohoto odvětví, včetně lepšího využívání stávajících společných databází a genových bank základních plemen s cílem umožnit chovatelům, kteří si to přejí, pokračovat ve šlechtění určitých starých druhů; zdůrazňuje rozdíly v digitálních dovednostech mezi venkovskými a městskými oblastmi; vyzývá Komisi a členské státy, aby zajistily, že zemědělci budou mít z digitální transformace prospěch; </w:t>
      </w:r>
    </w:p>
    <w:p w14:paraId="58F9BF09" w14:textId="76782900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3</w:t>
      </w:r>
      <w:r w:rsidRPr="00A033D5">
        <w:t>.</w:t>
      </w:r>
      <w:r w:rsidRPr="00A033D5">
        <w:tab/>
        <w:t>zdůrazňuje, že úsilí o zvýšení produktivity zvířat nebo dosažení cílů v oblasti klimatu nesmí být na úkor zdraví a dobrých životních podmínek zvířat;</w:t>
      </w:r>
      <w:bookmarkStart w:id="17" w:name="_Hlk219044080"/>
    </w:p>
    <w:p w14:paraId="0022B43C" w14:textId="7AC9EF50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4</w:t>
      </w:r>
      <w:r w:rsidRPr="00A033D5">
        <w:t>.</w:t>
      </w:r>
      <w:r w:rsidRPr="00A033D5">
        <w:tab/>
        <w:t xml:space="preserve">vybízí k rozvoji politik, které podporují rodinné zemědělské podniky a mladé a nové zemědělce při udržování a zlepšování </w:t>
      </w:r>
      <w:bookmarkEnd w:id="17"/>
      <w:r w:rsidRPr="00A033D5">
        <w:t>udržitelné živočišné výroby a drobné živočišné výroby jako prostředku obživy a potravinového zabezpečení; poukazuje na to, že je proto nezbytné podporovat zemědělce v jejich etablování prostřednictvím silných a specializovaných finančních nástrojů, aby byli schopni lépe čelit finančním tlakům; trvá na významu kolektivních struktur, jako jsou družstva vlastněná a řízená zemědělci a organizace producentů;</w:t>
      </w:r>
    </w:p>
    <w:p w14:paraId="4E690DDB" w14:textId="5103386B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5</w:t>
      </w:r>
      <w:r w:rsidRPr="00A033D5">
        <w:t>.</w:t>
      </w:r>
      <w:r w:rsidRPr="00A033D5">
        <w:tab/>
        <w:t xml:space="preserve">zdůrazňuje, že je třeba posílit podporu nejvzdálenějších regionů, kde strukturální a zeměpisné podmínky vedou k mnohem vyšším zemědělským nákladům; vyzývá Komisi, aby v příštím víceletém finančním rámci aktualizovala financování programu POSEI tak, aby odráželo inflaci od roku 2007; konstatuje, že indexace sama o sobě nestačí k řešení rostoucích nákladů na výrobu, dopravu a dodávky; zdůrazňuje, že dostatečné financování programu POSEI je nezbytné pro udržení zemědělství, zajištění životaschopnosti zemědělských podniků a zachování hospodářské, sociální a územní soudržnosti EU v souladu s článkem 349 Smlouvy o fungování EU; </w:t>
      </w:r>
    </w:p>
    <w:p w14:paraId="2F455CE8" w14:textId="039840E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6</w:t>
      </w:r>
      <w:r w:rsidRPr="00A033D5">
        <w:t>.</w:t>
      </w:r>
      <w:r w:rsidRPr="00A033D5">
        <w:tab/>
        <w:t xml:space="preserve">vyzývá Komisi, aby uznala specifické potřeby a problémy, kterým čelí chovatelé hospodářských zvířat v horských a znevýhodněných oblastech, včetně ostrovních, vnitrozemských, odlehlých a nejvzdálenějších regionů, a aby zajistila odpovídající podporu prostřednictvím SZP, zejména prostřednictvím vázané podpory, odvětvových intervencí a cílených opatření pro rozvoj venkova; zdůrazňuje, že zachování chovu </w:t>
      </w:r>
      <w:r w:rsidRPr="00A033D5">
        <w:lastRenderedPageBreak/>
        <w:t>hospodářských zvířat v odlehlých a znevýhodněných oblastech přispívá k environmentální udržitelnosti tím, že zabraňuje opouštění půdy, podporuje biologickou rozmanitost a zachovává tradiční krajinu, podporuje příjmy zemědělců a živobytí na venkově a pomáhá znovu osídlit venkovské oblasti; zdůrazňuje, že je důležité zajistit aktivní účast zástupců nejvzdálenějších regionů v rámci skupiny na vysoké úrovni, protože specifické geografické, sociálně-ekonomické a produkční charakteristiky těchto regionů představují vlastní výzvy, které vyžadují zvláštní pozornost při procesu tvorby politik EU;</w:t>
      </w:r>
    </w:p>
    <w:p w14:paraId="130A0A0C" w14:textId="02FFBF0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7</w:t>
      </w:r>
      <w:r w:rsidRPr="00A033D5">
        <w:t>.</w:t>
      </w:r>
      <w:r w:rsidRPr="00A033D5">
        <w:tab/>
        <w:t>zdůrazňuje nutnost celosvětové spolupráce a předávání inovativní znalostí v zájmu podpory udržitelných systémů chovu hospodářských zvířat, zejména z evropských regionů s vysoce účinnými systémy chovu hospodářských zvířat, a to v důsledku rychlého růstu populace a urbanizace;</w:t>
      </w:r>
    </w:p>
    <w:p w14:paraId="03303911" w14:textId="285158B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8</w:t>
      </w:r>
      <w:r w:rsidRPr="00A033D5">
        <w:t>.</w:t>
      </w:r>
      <w:r w:rsidRPr="00A033D5">
        <w:tab/>
        <w:t>naléhavě vyzývá členské státy a Komisi, aby investovaly do vzdělávání, odborné přípravy a infrastruktury, které zemědělcům umožní zavádět v živočišné výrobě postupy, jež jsou udržitelnější, efektivnější a lepší pro zdraví a dobré životní podmínky zvířat, včetně digitalizace, aplikovaného výzkumu, přenosu znalostí a školení v oblasti inovativních nástrojů a technologií pro včasnou detekci a prevenci epizootických onemocnění, jako jsou systémy sledování zdraví hospodářských zvířat; zdůrazňuje v tomto ohledu význam nezávislých poradenských služeb a vyzývá členské státy, aby plně využívaly SZP k řádnému financování těchto služeb;</w:t>
      </w:r>
    </w:p>
    <w:p w14:paraId="6C09F852" w14:textId="53C491FC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3</w:t>
      </w:r>
      <w:r w:rsidR="00BB0AD5" w:rsidRPr="00A033D5">
        <w:t>9</w:t>
      </w:r>
      <w:r w:rsidRPr="00A033D5">
        <w:t>.</w:t>
      </w:r>
      <w:r w:rsidRPr="00A033D5">
        <w:tab/>
        <w:t>požaduje jednodušší pravidla pro dobré životní podmínky zvířat, která se zaměří spíše na pomoc zemědělcům prostřednictvím vzdělávání a podpory než na metody zaměřené na prosazování;</w:t>
      </w:r>
    </w:p>
    <w:p w14:paraId="55885601" w14:textId="372161EA" w:rsidR="00B75963" w:rsidRPr="00A033D5" w:rsidRDefault="00BB0AD5" w:rsidP="005712B5">
      <w:pPr>
        <w:spacing w:after="240"/>
        <w:ind w:left="567" w:hanging="567"/>
        <w:rPr>
          <w:szCs w:val="24"/>
        </w:rPr>
      </w:pPr>
      <w:r w:rsidRPr="00A033D5">
        <w:t>40</w:t>
      </w:r>
      <w:r w:rsidR="00B75963" w:rsidRPr="00A033D5">
        <w:t>.</w:t>
      </w:r>
      <w:r w:rsidR="00B75963" w:rsidRPr="00A033D5">
        <w:tab/>
        <w:t>naléhavě žádá Komisi, aby předložila své závěry o vývoji systému označování dobrých životních podmínek zvířat, který by zaručil přiměřené a jednotné informace pro spotřebitele, čímž by se předešlo rizikům pro vnitřní trh způsobeným šířením místních systémů dobrých životních podmínek zvířat;</w:t>
      </w:r>
    </w:p>
    <w:p w14:paraId="6A584AA3" w14:textId="16B62108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1</w:t>
      </w:r>
      <w:r w:rsidRPr="00A033D5">
        <w:t>.</w:t>
      </w:r>
      <w:r w:rsidRPr="00A033D5">
        <w:tab/>
        <w:t xml:space="preserve">poukazuje na to, že vzhledem k tomu, že pouze 12 % zemědělských podniků v EU provozují osoby mladší 40 let, ohrožuje nedostatek mladých zemědělců ekonomickou životaschopnost, generační kontinuitu a budoucí udržitelnost evropského odvětví chovu hospodářských zvířat; naléhavě proto vyzývá Komisi, aby zlepšila účinnost podpory pro začínající podniky při překonávání překážek vstupu do odvětví živočišné výroby, včetně vysokých nákladů na zahájení činnosti; zdůrazňuje, že je obtížné přilákat mladé zemědělce do odvětví živočišné výroby, které trpí nedostatečnou atraktivitou kvůli náročné povaze práce, jako je dlouhá pracovní doba, omezené příležitosti vzít si volno a nedostatek náhradních služeb, a že je třeba zohlednit rostoucí počet žen pracujících v chovech hospodářských zvířat podporou opatření a příležitostí zohledňujících rovnost žen a mužů; </w:t>
      </w:r>
    </w:p>
    <w:p w14:paraId="58344D18" w14:textId="641DED4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2</w:t>
      </w:r>
      <w:r w:rsidRPr="00A033D5">
        <w:t>.</w:t>
      </w:r>
      <w:r w:rsidRPr="00A033D5">
        <w:tab/>
        <w:t xml:space="preserve">vítá strategii generační obnovy, kterou vypracovala Komise; vyzývá Komisi, aby poskytla doporučení a přezkoumala řešení pro odstranění hlavních překážek bránících mladým chovatelům hospodářských zvířat v zakládání podniků, zejména vysokých počátečních investic do infrastruktury, obtíží s přístupem k půdě, a to zejména v důsledku rozdílů mezi členskými státy, omezeného přístupu k úvěrům, nedostatku pracovních sil, problémů souvisejících s řízením rizik, prevencí a kontrolou nákaz zvířat a byrokratické zátěže; </w:t>
      </w:r>
    </w:p>
    <w:p w14:paraId="697E718D" w14:textId="6B24673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lastRenderedPageBreak/>
        <w:t>4</w:t>
      </w:r>
      <w:r w:rsidR="00BB0AD5" w:rsidRPr="00A033D5">
        <w:t>3</w:t>
      </w:r>
      <w:r w:rsidRPr="00A033D5">
        <w:t>.</w:t>
      </w:r>
      <w:r w:rsidRPr="00A033D5">
        <w:tab/>
        <w:t>vyzývá Komisi, aby zvážila možnost poskytovat mladým zemědělcům více přímých plateb; dále zdůrazňuje, že je třeba vytvořit vhodné podmínky pro důstojný odchod do důchodu; zdůrazňuje, že usnadnění přístupu k úvěrům a půdě, zejména v členských státech s vysokými cenami půdy, zvýšení investic do kvality hospodářských zvířat a zlepšení služeb ve venkovských oblastech jsou základními podmínkami pro přilákání a udržení nové generace zemědělců; zdůrazňuje, že doporučení členským státům, aby vyčlenily 6 % rozpočtu SZP na generační obměnu, není dostatečně závazné, aby zaručilo dostačující podporu mladým zemědělcům;</w:t>
      </w:r>
      <w:bookmarkStart w:id="18" w:name="_Hlk219047460"/>
    </w:p>
    <w:p w14:paraId="32D71447" w14:textId="6E980862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4</w:t>
      </w:r>
      <w:r w:rsidRPr="00A033D5">
        <w:t>.</w:t>
      </w:r>
      <w:r w:rsidRPr="00A033D5">
        <w:tab/>
        <w:t xml:space="preserve">vítá strategie EU pro biohospodářství, kterou představila Komise; vyzývá Komisi, aby uznala </w:t>
      </w:r>
      <w:bookmarkEnd w:id="18"/>
      <w:r w:rsidRPr="00A033D5">
        <w:t>úlohu inovativního chovu hospodářských zvířat při podpoře oběhovosti a aby plně uvolnila potenciál výroby energie, zejména bioplynu a biometanu, využití digestátu jako biologického hnojiva a zhodnocování vedlejších produktů živočišné výroby prostřednictvím odvětví zpracování uhynulých zvířat s cílem poskytnout chovatelům hospodářských zvířat další zdroje příjmů; zdůrazňuje, že zejména oblasti s vysokou hustotou hospodářských zvířat hrají v biohospodářství důležitou roli, protože jejich blízkost k městským oblastem a krátké vzdálenosti umožňují oběhovou spolupráci při zvyšování objemu lidského odpadu a zpracování toků zemědělského odpadu;</w:t>
      </w:r>
    </w:p>
    <w:p w14:paraId="0031AA69" w14:textId="3AFA6B7D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5</w:t>
      </w:r>
      <w:r w:rsidRPr="00A033D5">
        <w:t>.</w:t>
      </w:r>
      <w:r w:rsidRPr="00A033D5">
        <w:tab/>
        <w:t>vyzývá Komisi a členské státy, aby určily odpovídající a dlouhodobé možnosti financování preventivních opatření a kompenzací pro zemědělce, které mohou mimo jiné zahrnovat SZP, a to nejen v případě ztrát a nákladů vzniklých v důsledku útoků velkých šelem, ale také v případě zmírňujících opatření, včetně poradenských služeb, sdílení znalostí a odborné přípravy zemědělců v oblasti koexistence pasoucích se hospodářských zvířat a velkých šelem;</w:t>
      </w:r>
    </w:p>
    <w:p w14:paraId="0C631D9E" w14:textId="33FA64F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6</w:t>
      </w:r>
      <w:r w:rsidRPr="00A033D5">
        <w:t>.</w:t>
      </w:r>
      <w:r w:rsidRPr="00A033D5">
        <w:tab/>
        <w:t>zdůrazňuje, že cílená změna směrnice o stanovištích</w:t>
      </w:r>
      <w:r w:rsidRPr="00A033D5">
        <w:rPr>
          <w:rStyle w:val="FootnoteReference"/>
        </w:rPr>
        <w:footnoteReference w:id="31"/>
      </w:r>
      <w:r w:rsidRPr="00A033D5">
        <w:t xml:space="preserve"> s cílem sladit právní předpisy EU s aktualizovanou úrovní ochrany vlka podle Bernské úmluvy má zajistit větší flexibilitu při řízení populací vlků v celé EU a minimalizovat sociálně-ekonomické dopady; </w:t>
      </w:r>
      <w:bookmarkStart w:id="19" w:name="_Hlk220682906"/>
      <w:r w:rsidRPr="00A033D5">
        <w:t>zdůrazňuje, že je třeba zohlednit vysokou přeshraniční mobilitu druhů a skutečnost, že stav ochrany různých populací téhož druhu se může v jednotlivých regionech lišit; vyzývá Komisi a členské státy, aby dále zintenzivnily přeshraniční spolupráci v těchto otázkách</w:t>
      </w:r>
      <w:bookmarkEnd w:id="19"/>
      <w:r w:rsidRPr="00A033D5">
        <w:t>;</w:t>
      </w:r>
    </w:p>
    <w:p w14:paraId="5173F4F7" w14:textId="77777777" w:rsidR="00B75963" w:rsidRPr="00A033D5" w:rsidRDefault="00B75963" w:rsidP="005712B5">
      <w:pPr>
        <w:pStyle w:val="NormalHanging12a"/>
        <w:rPr>
          <w:b/>
          <w:i/>
        </w:rPr>
      </w:pPr>
      <w:r w:rsidRPr="00A033D5">
        <w:rPr>
          <w:b/>
          <w:i/>
        </w:rPr>
        <w:t>Environmentální udržitelnost</w:t>
      </w:r>
    </w:p>
    <w:p w14:paraId="68898348" w14:textId="2800274E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7</w:t>
      </w:r>
      <w:r w:rsidRPr="00A033D5">
        <w:t>.</w:t>
      </w:r>
      <w:r w:rsidRPr="00A033D5">
        <w:tab/>
        <w:t xml:space="preserve">uznává zásadní úlohu chovu hospodářských zvířat, zejména systémů založených na spásání travních porostů, v udržování oběhových zemědělských systémů, zlepšování ekosystémových služeb a poskytování klimatických a environmentálních služeb prostřednictvím ukládání uhlíku, zlepšování kvality vody a zdraví půdy, ochrany biologické rozmanitosti, poskytování stanovišť pro faunu a flóru, udržování rozmanité a otevřené krajiny, zejména v horských oblastech, a využívání okrajových pozemků, které nemohou produkovat potraviny pro lidi; zdůrazňuje, že monogastrické druhy, jako je drůbež a prasata, mohou dále posílit oběhovost tím, že se do jejich krmiva začlení produkty z odpadních toků, a také recyklací biomasy, zatímco jejich hnůj je cenným zdrojem přírodních hnojiv pro rostlinnou výrobu; zdůrazňuje, že výrazné snížení počtu </w:t>
      </w:r>
      <w:r w:rsidRPr="00A033D5">
        <w:lastRenderedPageBreak/>
        <w:t>stád může tyto funkce ekosystému ohrozit;</w:t>
      </w:r>
    </w:p>
    <w:p w14:paraId="7E7E50B9" w14:textId="28F0B16E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8</w:t>
      </w:r>
      <w:r w:rsidRPr="00A033D5">
        <w:t>.</w:t>
      </w:r>
      <w:r w:rsidRPr="00A033D5">
        <w:tab/>
        <w:t>vyzývá Komisi, aby navrhla nástroje pro posílení úlohy živočišné výroby při udržování travních porostů důležitých pro životní prostředí a klimatickou stabilitu prostřednictvím efektivnějších zemědělských systémů, pro zlepšení udržitelnosti systémů chovu hospodářských zvířat zvýšením jejich efektivity a pro zajištění vyšších příjmů pracovníků v živočišné výrobě;</w:t>
      </w:r>
    </w:p>
    <w:p w14:paraId="4EEBB4CE" w14:textId="34D3977D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4</w:t>
      </w:r>
      <w:r w:rsidR="00BB0AD5" w:rsidRPr="00A033D5">
        <w:t>9</w:t>
      </w:r>
      <w:r w:rsidRPr="00A033D5">
        <w:t>.</w:t>
      </w:r>
      <w:r w:rsidRPr="00A033D5">
        <w:tab/>
        <w:t>zdůrazňuje, že je důležité začlenit hospodářská zvířata do modelů udržitelného zemědělství, včetně smíšených zemědělských systémů, a současně zajistit vyvážené toky živin a minimalizovat konkurenci v oblasti zdrojů; zdůrazňuje význam efektivního využívání hospodářských zvířat pro vyvážení udržitelnosti a potravinových potřeb a vyzdvihuje přínosy rotační a společné pastvy pro produktivitu krmiv, ukládání uhlíku, kvalitu půdy, biologickou rozmanitost a odolnost vůči suchu; zdůrazňuje potřebu zvýšit povědomí o environmentálních přínosech dobře chovaných zvířat;</w:t>
      </w:r>
    </w:p>
    <w:p w14:paraId="43841662" w14:textId="346757AC" w:rsidR="00B75963" w:rsidRPr="00A033D5" w:rsidRDefault="00BB0AD5" w:rsidP="005712B5">
      <w:pPr>
        <w:spacing w:after="240"/>
        <w:ind w:left="567" w:hanging="567"/>
        <w:rPr>
          <w:szCs w:val="24"/>
        </w:rPr>
      </w:pPr>
      <w:r w:rsidRPr="00A033D5">
        <w:t>50</w:t>
      </w:r>
      <w:r w:rsidR="00B75963" w:rsidRPr="00A033D5">
        <w:t>.</w:t>
      </w:r>
      <w:r w:rsidR="00B75963" w:rsidRPr="00A033D5">
        <w:tab/>
        <w:t>vyzývá Komisi, aby rozšířila možnosti členských států podporovat zemědělce při ochraně krajiny prostřednictvím SZP a zároveň omezila regulační překážky bránící plnému využívání pastvin a zajistila větší ochranu zemědělské půdy EU před záborem půdy, degradací a konkurenčním nezemědělským využitím;</w:t>
      </w:r>
    </w:p>
    <w:p w14:paraId="3D5B7562" w14:textId="7B9B4356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BB0AD5" w:rsidRPr="00A033D5">
        <w:t>1</w:t>
      </w:r>
      <w:r w:rsidRPr="00A033D5">
        <w:t>.</w:t>
      </w:r>
      <w:r w:rsidRPr="00A033D5">
        <w:tab/>
        <w:t>podtrhuje, že v případě zemědělských systémů je důležité propojit rostlinnou výrobu s chovem zvířat, aby se usnadnila recyklace živin upřednostněním organických hnojiv před syntetickými, snížila spotřeba chemických látek a zvýšila úrodnost půdy a biologická rozmanitost;</w:t>
      </w:r>
    </w:p>
    <w:p w14:paraId="78B30AE3" w14:textId="0E7342FD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BB0AD5" w:rsidRPr="00A033D5">
        <w:t>2</w:t>
      </w:r>
      <w:r w:rsidRPr="00A033D5">
        <w:t>.</w:t>
      </w:r>
      <w:r w:rsidRPr="00A033D5">
        <w:tab/>
        <w:t>vyzývá Komisi, aby s ohledem na strategický význam výroby konvenčních hnojiv v EU pro evropskou konkurenceschopnost podpořila používání zvířecích hnojiv u některých plodin a urychlila schvalování a zavádění alternativních hnojiv, jako jsou digestát a materiály RENURE, a posílila tak recyklaci živin, snížila závislost na syntetických hnojivech dovážených ze třetích zemí a podpořila oběhovost v rámci systémů chovu hospodářských zvířat; uznává strategickou roli odvětví živočišné výroby při snižování závislosti na syntetických vstupech a konstatuje, že větší využívání digestátu i materiálů RENURE přispívá nejen k oběhovému hospodářství, ale také k dekarbonizaci hospodářství EU snížením emisí skleníkových plynů, podporou výroby energie z obnovitelných zdrojů a snižováním závislosti EU na dovážených fosilních palivech;</w:t>
      </w:r>
    </w:p>
    <w:p w14:paraId="07B5A1F3" w14:textId="76DDAA6A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3</w:t>
      </w:r>
      <w:r w:rsidRPr="00A033D5">
        <w:t>.</w:t>
      </w:r>
      <w:r w:rsidRPr="00A033D5">
        <w:tab/>
        <w:t>vítá návrh Komise na cílenou revizi směrnice o dusičnanech</w:t>
      </w:r>
      <w:r w:rsidRPr="00A033D5">
        <w:rPr>
          <w:rStyle w:val="FootnoteReference"/>
        </w:rPr>
        <w:footnoteReference w:id="32"/>
      </w:r>
      <w:r w:rsidRPr="00A033D5">
        <w:t xml:space="preserve"> s cílem umožnit používání hnojiv RENURE nad limit stanovený pro používání statkových hnojiv a uvést ji do souladu s nejnovějšími vědeckými důkazy a inovativními postupy hnojení, včetně používání statkových hnojiv, s cílem podpořit oběhové hospodaření s živinami a zároveň nadále chránit kvalitu vody; odkazuje na nedávné studie o přínosech a neutrálním dopadu výjimek udělených členským státům na kvalitu vody;</w:t>
      </w:r>
    </w:p>
    <w:p w14:paraId="5E12A7F0" w14:textId="30DFA1CA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4</w:t>
      </w:r>
      <w:r w:rsidRPr="00A033D5">
        <w:t>.</w:t>
      </w:r>
      <w:r w:rsidRPr="00A033D5">
        <w:tab/>
        <w:t>vyzývá Komisi, aby vzhledem k rostoucím nákladům na hnojiva zajistila spravedlivé ceny nebo náležitou kompenzaci pro chovatele;</w:t>
      </w:r>
    </w:p>
    <w:p w14:paraId="0CC19907" w14:textId="0E4E90D6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lastRenderedPageBreak/>
        <w:t>5</w:t>
      </w:r>
      <w:r w:rsidR="00CB1F58" w:rsidRPr="00A033D5">
        <w:t>5</w:t>
      </w:r>
      <w:r w:rsidRPr="00A033D5">
        <w:t>.</w:t>
      </w:r>
      <w:r w:rsidRPr="00A033D5">
        <w:tab/>
        <w:t>vyzývá Komisi, aby v souladu s cíli EU v oblasti klimatu a energetiky investovala do inovací a infrastruktury, které umožní širší využívání hnojiv na bázi statkového hnojiva a bioplynu pocházejícího z chovu hospodářských zvířat;</w:t>
      </w:r>
    </w:p>
    <w:p w14:paraId="7A18582A" w14:textId="77171C09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6</w:t>
      </w:r>
      <w:r w:rsidRPr="00A033D5">
        <w:t>.</w:t>
      </w:r>
      <w:r w:rsidRPr="00A033D5">
        <w:tab/>
        <w:t>vyzývá Komisi, aby přehodnotila způsob, jakým jsou zemědělské produkty, vedlejší produkty a zbytkové produkty klasifikovány jako odpad, s cílem usnadnit jejich využití jako komodit; zdůrazňuje, že hospodářská zvířata jsou nepostradatelným prvkem oběhového hospodářství spojeného se zemědělským odvětvím, a podtrhuje potřebu lepšího uznání přínosu chovu hospodářských zvířat k biohospodářství prostřednictvím komplexnějšího přístupu ke koloběhu živin a uhlíku ve všech oblastech potravinářské i nepotravinářské výroby; vyzývá Komisi, aby ve svém přístupu k odvětví živočišné výroby vycházela z výsledků výzkumu a usnadnila výzkum v oblasti vývoje oběhových krmiv; vyzývá Komisi, aby přezkoumala předpisy týkající se vedlejších produktů živočišného původu, které nejsou určeny k lidské spotřebě, s cílem zjednodušit používání produktů s nízkým rizikem, jako je vlna;</w:t>
      </w:r>
    </w:p>
    <w:p w14:paraId="12FB2D0F" w14:textId="4C9B6B3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7</w:t>
      </w:r>
      <w:r w:rsidRPr="00A033D5">
        <w:t>.</w:t>
      </w:r>
      <w:r w:rsidRPr="00A033D5">
        <w:tab/>
        <w:t>varuje před univerzálními politikami zaměřenými na rozsáhlé snižování stavů hospodářských zvířat, které by mohly prohloubit zhoršování životního prostředí a ohrozit odolnost potravinového systému; konstatuje zejména, že snížení počtu přežvýkavců by mohlo vést ke změně využívání půdy, která by měla negativní dopady, včetně opouštění půdy, rozšíření lesních ploch, ztráty biologické rozmanitosti a zvýšení rizika požárů;</w:t>
      </w:r>
    </w:p>
    <w:p w14:paraId="48FC5E35" w14:textId="016E31F9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8</w:t>
      </w:r>
      <w:r w:rsidRPr="00A033D5">
        <w:t>.</w:t>
      </w:r>
      <w:r w:rsidRPr="00A033D5">
        <w:tab/>
        <w:t>vyzývá ke zvýšení investic do výzkumu a inovací s cílem optimalizovat postupy rostlinné výroby a chovu hospodářských zvířat a snížit ekologickou stopu hospodářských zvířat, včetně šlechtění rostlin a zvířat, krmení, pastvy a statkového hnojiva a technik obhospodařování polí, které zlepšují výsledky v oblasti udržitelnosti;</w:t>
      </w:r>
    </w:p>
    <w:p w14:paraId="14B6F538" w14:textId="7B7FC80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5</w:t>
      </w:r>
      <w:r w:rsidR="00CB1F58" w:rsidRPr="00A033D5">
        <w:t>9</w:t>
      </w:r>
      <w:r w:rsidRPr="00A033D5">
        <w:t>.</w:t>
      </w:r>
      <w:r w:rsidRPr="00A033D5">
        <w:tab/>
        <w:t>zdůrazňuje význam strategie, která zohledňuje celý zemědělský cyklus, podporuje optimální plánování střídání plodin, maximalizuje využití orné půdy a zlepšuje a přizpůsobuje složení krmiv pěstovaných zemědělci, počínaje odrůdami rostlin, které umožňují snížení emisí; zdůrazňuje význam obnovení podnikatelské svobody v zemědělství, což zemědělcům umožní vyvíjet a volit systémy větrání, ustájení a krmení, které jsou přizpůsobeny jejich specifickým podmínkám a nejlépe vyhovují jejich výrobním systémům;</w:t>
      </w:r>
    </w:p>
    <w:p w14:paraId="49EA1047" w14:textId="702921E2" w:rsidR="00B75963" w:rsidRPr="00A033D5" w:rsidRDefault="00CB1F58" w:rsidP="005712B5">
      <w:pPr>
        <w:spacing w:after="240"/>
        <w:ind w:left="567" w:hanging="567"/>
        <w:rPr>
          <w:szCs w:val="24"/>
        </w:rPr>
      </w:pPr>
      <w:r w:rsidRPr="00A033D5">
        <w:t>60</w:t>
      </w:r>
      <w:r w:rsidR="00B75963" w:rsidRPr="00A033D5">
        <w:t>.</w:t>
      </w:r>
      <w:r w:rsidR="00B75963" w:rsidRPr="00A033D5">
        <w:tab/>
        <w:t>naléhavě vyzývá Komisi a členské státy, aby zajistily transparentní vytváření regulačních rámců týkajících se hospodářských zvířat, jejichž základem budou spolehlivé vědecké poznatky, s plným zapojením zúčastněných stran, zejména zemědělců a organizací chovatelů hospodářských zvířat, a s dlouhodobými scénáři, které umožní postupné přizpůsobování se; doporučuje, aby byl rozhodovací proces podpořen skutečnými veřejnými konzultacemi, podrobnými studiemi dopadů a mechanismy průběžné zpětné vazby s cílem zajistit účinné a místně akceptované provádění;</w:t>
      </w:r>
    </w:p>
    <w:p w14:paraId="337F50B5" w14:textId="7505DE26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1</w:t>
      </w:r>
      <w:r w:rsidRPr="00A033D5">
        <w:t>.</w:t>
      </w:r>
      <w:r w:rsidRPr="00A033D5">
        <w:tab/>
        <w:t>požaduje, aby byl poskytnut větší politický prostor pro usnadnění přístupu založeného na cílech, a to prostřednictvím referenčního srovnávání na úrovni zemědělských podniků namísto opatření shora dolů, což znamená, že by zemědělci měli mít možnost svobodně si vybrat, která opatření přijmou, pokud přispívají ke stanoveným cílům;</w:t>
      </w:r>
    </w:p>
    <w:p w14:paraId="3647EC39" w14:textId="7D284C2A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2</w:t>
      </w:r>
      <w:r w:rsidRPr="00A033D5">
        <w:t>.</w:t>
      </w:r>
      <w:r w:rsidRPr="00A033D5">
        <w:tab/>
        <w:t xml:space="preserve">vyzývá Komisi, aby navrhla nástroje pro posílení úlohy živočišné výroby při udržování </w:t>
      </w:r>
      <w:r w:rsidRPr="00A033D5">
        <w:lastRenderedPageBreak/>
        <w:t>environmentálně a klimaticky cenných travních porostů prostřednictvím extenzivnějších systémů zemědělství a pro zlepšení udržitelnosti intenzivních systémů;</w:t>
      </w:r>
    </w:p>
    <w:p w14:paraId="003E1097" w14:textId="77777777" w:rsidR="00B75963" w:rsidRPr="00A033D5" w:rsidRDefault="00B75963" w:rsidP="005712B5">
      <w:pPr>
        <w:pStyle w:val="NormalHanging12a"/>
        <w:rPr>
          <w:b/>
          <w:i/>
        </w:rPr>
      </w:pPr>
      <w:r w:rsidRPr="00A033D5">
        <w:rPr>
          <w:b/>
          <w:i/>
        </w:rPr>
        <w:t>Sociální rozměr chovu hospodářských zvířat a výzvy specifické pro dané odvětví</w:t>
      </w:r>
    </w:p>
    <w:p w14:paraId="680F2813" w14:textId="0DFEEAE9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3</w:t>
      </w:r>
      <w:r w:rsidRPr="00A033D5">
        <w:t>.</w:t>
      </w:r>
      <w:r w:rsidRPr="00A033D5">
        <w:tab/>
        <w:t>zdůrazňuje, že rozvoj politik v oblasti chovu hospodářských zvířat se musí pevně opírat o nejpřísnější vědecké standardy, které zajistí vyvážené a komplexní pochopení přínosu a výzev pojících se s živočišnou výrobou;</w:t>
      </w:r>
    </w:p>
    <w:p w14:paraId="28815C16" w14:textId="0786A5AB" w:rsidR="00B75963" w:rsidRPr="00A033D5" w:rsidRDefault="00B75963" w:rsidP="005712B5">
      <w:pPr>
        <w:spacing w:after="240"/>
        <w:ind w:left="567" w:hanging="567"/>
      </w:pPr>
      <w:r w:rsidRPr="00A033D5">
        <w:t>6</w:t>
      </w:r>
      <w:r w:rsidR="00CB1F58" w:rsidRPr="00A033D5">
        <w:t>4</w:t>
      </w:r>
      <w:r w:rsidRPr="00A033D5">
        <w:t>.</w:t>
      </w:r>
      <w:r w:rsidRPr="00A033D5">
        <w:tab/>
        <w:t xml:space="preserve">vyzdvihuje význam transparentní, přístupné a na důkazech založené vědecké komunikace vyvracející neúmyslně nesprávné informace a ideologické předsudky ve veřejných debatách o hospodářských zvířatech a produkci a spotřebě masa; v této souvislosti poukazuje na to, že Světová zdravotnická organizace podporuje konzumaci živočišných bílkovin jako součást úplné a vyvážené stravy; </w:t>
      </w:r>
    </w:p>
    <w:p w14:paraId="05B69189" w14:textId="538E4D5D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rPr>
          <w:szCs w:val="24"/>
        </w:rPr>
        <w:t>6</w:t>
      </w:r>
      <w:r w:rsidR="00CB1F58" w:rsidRPr="00A033D5">
        <w:rPr>
          <w:szCs w:val="24"/>
        </w:rPr>
        <w:t>5</w:t>
      </w:r>
      <w:r w:rsidRPr="00A033D5">
        <w:rPr>
          <w:szCs w:val="24"/>
        </w:rPr>
        <w:t>.</w:t>
      </w:r>
      <w:r w:rsidRPr="00A033D5">
        <w:rPr>
          <w:szCs w:val="24"/>
        </w:rPr>
        <w:tab/>
      </w:r>
      <w:r w:rsidRPr="00A033D5">
        <w:t>zdůrazňuje, že politická rozhodnutí a společenské vnímání by měly být založeny na spolehlivých vědeckých důkazech odrážejících rozmanitost výrobních systémů, jejich příspěvek k lidské výživě, venkovskému hospodářství a environmentální udržitelnosti, čímž se podpoří pozitivnější obraz odvětví živočišné výroby, a že za tímto účelem je nezbytné posílit dialog mezi vědou, tvůrci politik, výrobci a spotřebiteli podporou informovaného, vyváženého a nepolarizovaného přístupu k úloze chovu hospodářských zvířat v evropské společnosti; zdůrazňuje, že je důležité informovat spotřebitele o výhodách konzumace živočišných bílkovin v rámci úplné a vyvážené stravy;</w:t>
      </w:r>
    </w:p>
    <w:p w14:paraId="47F9EA91" w14:textId="153AC420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6</w:t>
      </w:r>
      <w:r w:rsidRPr="00A033D5">
        <w:t>.</w:t>
      </w:r>
      <w:r w:rsidRPr="00A033D5">
        <w:tab/>
        <w:t xml:space="preserve">vítá návrh Komise znovu otevřít otázku názvů masa používaných k označování masa a masných částí s cílem chránit produkty živočišného původu a zakázat jejich používání k označování produktů jiného než živočišného původu a domnívá se, že toto ustanovení by se mělo vztahovat na produkty získané z buněčných kultur a hybridní produkty sestávající ze směsi živočišných a rostlinných bílkovin; připomíná, že taková ochrana existuje i pro mléčné výrobky; zdůrazňuje, že jasné, spravedlivé a transparentní označování je nezbytné k poskytování a posilování skutečné transparentnosti pro spotřebitele a k podpoře kvality živočišných produktů EU, mimo jiné zdůrazněním jejich uznávaných značek a krátkých dodavatelských řetězců; </w:t>
      </w:r>
    </w:p>
    <w:p w14:paraId="59A8A68C" w14:textId="0A82C33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7</w:t>
      </w:r>
      <w:r w:rsidRPr="00A033D5">
        <w:t>.</w:t>
      </w:r>
      <w:r w:rsidRPr="00A033D5">
        <w:tab/>
        <w:t xml:space="preserve">naléhavě vyzývá tvůrce politik na všech úrovních, aby při vypracovávání výživových doporučení dodržovali fakticky podložené normy a plně uznali výživový, kulturní a hospodářský význam masa, mléčných výrobků a vajec, přičemž rovněž zohledňuje cenovou dostupnost a skutečný příjem bílkovin z živočišných produktů v různých regionech; </w:t>
      </w:r>
    </w:p>
    <w:p w14:paraId="360A3BF3" w14:textId="5587C250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8</w:t>
      </w:r>
      <w:r w:rsidRPr="00A033D5">
        <w:t>.</w:t>
      </w:r>
      <w:r w:rsidRPr="00A033D5">
        <w:tab/>
        <w:t>vyzývá Komisi, aby revidovala nařízení (EU) č. 1169/2011</w:t>
      </w:r>
      <w:r w:rsidRPr="00A033D5">
        <w:rPr>
          <w:rStyle w:val="FootnoteReference"/>
          <w:szCs w:val="24"/>
        </w:rPr>
        <w:footnoteReference w:id="33"/>
      </w:r>
      <w:r w:rsidRPr="00A033D5">
        <w:t xml:space="preserve"> a zavedla povinné označování původu všech výrobků obsahujících maso uváděných na trh EU, které by jasně uvádělo původ z EU a mimo EU, i když maso netvoří hlavní složku; vyzývá Komisi, aby posoudila proveditelnost zavedení povinného uvádění země původu masa, </w:t>
      </w:r>
      <w:r w:rsidRPr="00A033D5">
        <w:lastRenderedPageBreak/>
        <w:t>pokud se používá jako složka zpracovaných produktů;</w:t>
      </w:r>
    </w:p>
    <w:p w14:paraId="41AAB31E" w14:textId="54364CC8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6</w:t>
      </w:r>
      <w:r w:rsidR="00CB1F58" w:rsidRPr="00A033D5">
        <w:t>9</w:t>
      </w:r>
      <w:r w:rsidRPr="00A033D5">
        <w:t>.</w:t>
      </w:r>
      <w:r w:rsidRPr="00A033D5">
        <w:tab/>
        <w:t>vyzývá Komisi, aby ve spolupráci s vědci předložila studie o účincích potravinových náhražek; varuje před nekritickou propagací výživově a environmentálně nevhodných potravinových náhražek jako náhrady tradičních potravin živočišného původu, včetně potravin, které neposkytují stejné bioaktivní sloučeniny nebo základní mikroživiny nacházející se v přírodním mase ze zdravých zvířat chovaných ve vysoce kvalitních systémech, a zejména varuje před jejich začleněním do potravinových košů pro děti a mladé lidi ve školách; konstatuje, že tradiční potraviny živočišného původu spolu s potravinami rostlinného původu mohou přispět k vyvážené a výživné stravě;</w:t>
      </w:r>
    </w:p>
    <w:p w14:paraId="4CA65792" w14:textId="422C66B4" w:rsidR="00B75963" w:rsidRPr="00A033D5" w:rsidRDefault="00CB1F58" w:rsidP="005712B5">
      <w:pPr>
        <w:spacing w:after="240"/>
        <w:ind w:left="567" w:hanging="567"/>
        <w:rPr>
          <w:szCs w:val="24"/>
        </w:rPr>
      </w:pPr>
      <w:r w:rsidRPr="00A033D5">
        <w:t>70</w:t>
      </w:r>
      <w:r w:rsidR="00B75963" w:rsidRPr="00A033D5">
        <w:t>.</w:t>
      </w:r>
      <w:r w:rsidR="00B75963" w:rsidRPr="00A033D5">
        <w:tab/>
        <w:t>požaduje, aby Komise před předložením nových legislativních návrhů týkajících se zemědělského odvětví provedla komplexní posouzení dopadů založené na nejnovějších vědeckých důkazech a řádně konzultovala všechny příslušné zúčastněné strany;</w:t>
      </w:r>
    </w:p>
    <w:p w14:paraId="247A556E" w14:textId="3C6CDD42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1</w:t>
      </w:r>
      <w:r w:rsidRPr="00A033D5">
        <w:t>.</w:t>
      </w:r>
      <w:r w:rsidRPr="00A033D5">
        <w:tab/>
        <w:t xml:space="preserve">vyjadřuje hluboké znepokojení nad rostoucím tlakem na prosazování tzv. syntetických potravin, jako jsou laboratorně vyráběné bílkoviny, aniž by byly předloženy přesvědčivé vědecké důkazy o jejich bezpečnosti, průmyslové životaschopnosti nebo prospěšnosti pro životní prostředí; zdůrazňuje, že před navržením jakéhokoli nového regulačního rámce pro nové potravinářské technologie je třeba provést řádné posouzení dopadů založené na vědeckých důkazech a zohlednit všechny aspekty týkající se bezpečnosti, dopadu na životní prostředí, dopadu na trh a ochrany spotřebitelů, mimo jiné prostřednictvím jasného a vhodného označování; </w:t>
      </w:r>
    </w:p>
    <w:p w14:paraId="042C2B31" w14:textId="37710CF6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2</w:t>
      </w:r>
      <w:r w:rsidRPr="00A033D5">
        <w:t>.</w:t>
      </w:r>
      <w:r w:rsidRPr="00A033D5">
        <w:tab/>
        <w:t>zdůrazňuje ekologickou úlohu přežvýkavců a výživovou hodnotu přírodního masa a zdůrazňuje, že výroba syntetických potravin je do značné míry závislá na vysoce průmyslových a energeticky náročných procesech, které vyžadují značné množství chemických vstupů, což je v rozporu se zásadami udržitelnosti, které prosazuje EU; poukazuje na to, že syntetické potraviny nejsou v současné době životaschopným řešením ani bezpečnou alternativou k tradiční zemědělsko-potravinářské výrobě a že jejich podpora by mohla ohrozit tisíce rodinných farem; vyzývá Komisi, aby provedla důkladné a nezávislé posouzení syntetických potravinářských výrobků, pokud jde o zdravotní, environmentální a socioekonomické dopady, spolu s obavami o ochranu spotřebitele a dopady na tradiční zemědělství a živočišnou výrobu; vyzývá k tomu, aby se stávající regulační rámce jasně zaměřily na ochranu spotřebitelů, evropských výrobců a venkovských oblastí;</w:t>
      </w:r>
    </w:p>
    <w:p w14:paraId="2D819C31" w14:textId="070B06F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3</w:t>
      </w:r>
      <w:r w:rsidRPr="00A033D5">
        <w:t>.</w:t>
      </w:r>
      <w:r w:rsidRPr="00A033D5">
        <w:tab/>
        <w:t>vyzdvihuje zásadní úlohu odvětví živočišné výroby při přispívání k potravinovému zabezpečení, vytváření pracovních míst, zachování a podpoře místního rozvoje a hospodářské stability v celé EU; uznává širší úlohu hospodářských zvířat nejen jako poskytovatele potravin a environmentálních služeb, ale také jako klíčového motivačního faktoru k sociální odpovědnosti, důstojným pracovním podmínkám a rozvoji venkova; vyzdvihuje význam ukazatele výsledku SZP (I.24) „Příspěvek k tvorbě pracovních míst ve venkovských oblastech“, který upozorňuje na úlohu chovu hospodářských zvířat, zejména rodinných a malých podniků;</w:t>
      </w:r>
    </w:p>
    <w:p w14:paraId="6051CFC7" w14:textId="4D181F01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4</w:t>
      </w:r>
      <w:r w:rsidRPr="00A033D5">
        <w:t>.</w:t>
      </w:r>
      <w:r w:rsidRPr="00A033D5">
        <w:tab/>
        <w:t xml:space="preserve">zdůrazňuje, že bez odpovídajícího financování bude toto odvětví pro mladé lidi stále méně atraktivní, což může vést nejen ke ztrátě pracovních míst, ale také ke snížení výživové a sociální konkurenceschopnosti EU; </w:t>
      </w:r>
    </w:p>
    <w:p w14:paraId="3D9CE62D" w14:textId="316A564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5</w:t>
      </w:r>
      <w:r w:rsidRPr="00A033D5">
        <w:t>.</w:t>
      </w:r>
      <w:r w:rsidRPr="00A033D5">
        <w:tab/>
        <w:t xml:space="preserve">poukazuje na to, že je důležité uznat a ocenit zásadní úlohu žen v zemědělských </w:t>
      </w:r>
      <w:r w:rsidRPr="00A033D5">
        <w:lastRenderedPageBreak/>
        <w:t xml:space="preserve">podnicích s chovem hospodářských zvířat, kde kromě své každodenní zemědělské práce často přebírají odpovědnost za řízení a mezigenerační předávání znalostí; v této souvislosti zdůrazňuje, že rodinné zemědělství, v němž hrají hlavní roli ženy a rodina, je základem evropské živočišné výroby a mělo by být podporováno specifickými politikami, které uznávají jeho hospodářský, sociální a kulturní význam; domnívá se proto, že evropské veřejné politiky musí účinněji zohledňovat genderové hledisko a prosazovat cílená opatření na podporu žen v zemědělství, zajišťovat rovné příležitosti, viditelnost jejich přínosu a lepší přístup k odborné přípravě, financování a zastoupení v rozhodovacích procesech; </w:t>
      </w:r>
    </w:p>
    <w:p w14:paraId="473720DE" w14:textId="577DF29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6</w:t>
      </w:r>
      <w:r w:rsidRPr="00A033D5">
        <w:t>.</w:t>
      </w:r>
      <w:r w:rsidRPr="00A033D5">
        <w:tab/>
        <w:t>zdůrazňuje zásadní úlohu zemědělství a živočišné výroby při poskytování sociálních výhod komunitám, pokud jde o udržování volného prostoru, vzdělávání a poskytování péče lidem se specifickými potřebami formou „zelené péče“ v zemědělských podnicích; zdůrazňuje, že je třeba zachovat zemědělskou a živočišnou výrobu ve všech regionech EU a konkrétně usnadnit tyto formy „zelené péče“ a dostatečně odměňovat zemědělce za jejich práci;</w:t>
      </w:r>
    </w:p>
    <w:p w14:paraId="28F4BA4B" w14:textId="15D02ED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7</w:t>
      </w:r>
      <w:r w:rsidRPr="00A033D5">
        <w:t>.</w:t>
      </w:r>
      <w:r w:rsidRPr="00A033D5">
        <w:tab/>
        <w:t>zdůrazňuje význam duševního zdraví a pohody zemědělců a požaduje, aby byla do budoucích nástrojů SZP zahrnuta opatření na psychologickou podporu, zjednodušení administrativy, rovnováha mezi pracovním a soukromým životem a opatření proti izolaci;</w:t>
      </w:r>
    </w:p>
    <w:p w14:paraId="4F9B9A53" w14:textId="77777777" w:rsidR="00B75963" w:rsidRPr="00A033D5" w:rsidRDefault="00B75963" w:rsidP="005712B5">
      <w:pPr>
        <w:pStyle w:val="NormalHanging12a"/>
        <w:rPr>
          <w:b/>
          <w:i/>
          <w:iCs/>
        </w:rPr>
      </w:pPr>
      <w:r w:rsidRPr="00A033D5">
        <w:rPr>
          <w:b/>
          <w:i/>
          <w:iCs/>
        </w:rPr>
        <w:t>Nákazy zvířat</w:t>
      </w:r>
    </w:p>
    <w:p w14:paraId="1F7C3C25" w14:textId="254B0171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8</w:t>
      </w:r>
      <w:r w:rsidRPr="00A033D5">
        <w:t>.</w:t>
      </w:r>
      <w:r w:rsidRPr="00A033D5">
        <w:tab/>
        <w:t>zdůrazňuje, že nákazy zvířat mají významné socioekonomické a environmentální důsledky, jakož i důsledky pro dobré životní podmínky zvířat, na úrovni zemědělských podniků, na nižší než vnitrostátní úrovni a vnitrostátní i regionální úrovni; podtrhuje, že jejich dopad na živočišnou výrobu bude dále zhoršován nárůstem teplot, rychlosti větru a stále častějšími extrémními výkyvy počasí v EU související se změnou klimatu, což je třeba řešit;</w:t>
      </w:r>
    </w:p>
    <w:p w14:paraId="7C1C10AF" w14:textId="4982FF74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7</w:t>
      </w:r>
      <w:r w:rsidR="00CB1F58" w:rsidRPr="00A033D5">
        <w:t>9</w:t>
      </w:r>
      <w:r w:rsidRPr="00A033D5">
        <w:t>.</w:t>
      </w:r>
      <w:r w:rsidRPr="00A033D5">
        <w:tab/>
        <w:t>zdůrazňuje, že je třeba posílit monitorování a preventivní opatření, aby se zabránilo přenosu nákaz zvířat v rámci EU ze zemí EU i ze třetích zemí, a vyzývá k systematickému posuzování zranitelnosti v oblasti biologické bezpečnosti v EU se zaměřením na způsoby vstupu známých a nových nákaz;</w:t>
      </w:r>
    </w:p>
    <w:p w14:paraId="5BB90115" w14:textId="418ECFD8" w:rsidR="00B75963" w:rsidRPr="00A033D5" w:rsidRDefault="00CB1F58" w:rsidP="005712B5">
      <w:pPr>
        <w:spacing w:after="240"/>
        <w:ind w:left="567" w:hanging="567"/>
        <w:rPr>
          <w:szCs w:val="24"/>
        </w:rPr>
      </w:pPr>
      <w:r w:rsidRPr="00A033D5">
        <w:t>80</w:t>
      </w:r>
      <w:r w:rsidR="00B75963" w:rsidRPr="00A033D5">
        <w:t>.</w:t>
      </w:r>
      <w:r w:rsidR="00B75963" w:rsidRPr="00A033D5">
        <w:tab/>
        <w:t xml:space="preserve">zdůrazňuje, že v EU může mít jakékoli selhání v prevenci nebo tlumení nákaz zvířat v jednom členském státě okamžité důsledky pro ostatní členské státy a tato problematika vyžaduje koordinovanou reakci; podtrhuje proto význam a nákladovou efektivitu prevence, zejména pokud jde o očkování, včasného odhalování, připravenosti, vhodné výměny informací a koordinace mezi členskými státy a nástroje finančních kompenzací pro zemědělce, kteří utrpěli přímé a nepřímé ztráty v důsledku uplatňování zdravotních opatření; </w:t>
      </w:r>
    </w:p>
    <w:p w14:paraId="636B780A" w14:textId="1EC86EFB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1</w:t>
      </w:r>
      <w:r w:rsidRPr="00A033D5">
        <w:t>.</w:t>
      </w:r>
      <w:r w:rsidRPr="00A033D5">
        <w:tab/>
        <w:t>vyzývá Komisi a členské státy, aby poskytly zdroje nezbytné k provádění účinných a účelných programů prevence a kontroly, včetně finanční, veterinární, technické a administrativní podpory, a výzkumu genetické selekce zvířat se zvýšenou odolností vůči nově se objevujícím chorobám;</w:t>
      </w:r>
    </w:p>
    <w:p w14:paraId="2CE909AD" w14:textId="0A56610A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2</w:t>
      </w:r>
      <w:r w:rsidRPr="00A033D5">
        <w:t>.</w:t>
      </w:r>
      <w:r w:rsidRPr="00A033D5">
        <w:tab/>
        <w:t xml:space="preserve">zdůrazňuje, že je důležité přijmout včasná a účinná opatření ke kontrole šíření nákaz zvířat; vyzývá Komisi, aby posílila zvláštní mechanismus rychlého varování a reakce, </w:t>
      </w:r>
      <w:r w:rsidRPr="00A033D5">
        <w:lastRenderedPageBreak/>
        <w:t>který by se aktivoval v případě podezření na výskyt nebo potvrzení ohniska nákazy zvířat, aby se zajistila výměna informací o epizootologické situaci mezi vnitrostátními orgány a Komisí v reálném čase, usnadnila koordinace hodnocení rizik a kontrolní opatření mezi členskými státy a zajistila odpovídající komunikace se všemi příslušnými zúčastněnými stranami, zejména se zemědělci a spotřebiteli;</w:t>
      </w:r>
      <w:bookmarkStart w:id="20" w:name="_Hlk222076394"/>
    </w:p>
    <w:p w14:paraId="0324F6DC" w14:textId="2ED5658C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3</w:t>
      </w:r>
      <w:r w:rsidRPr="00A033D5">
        <w:t>.</w:t>
      </w:r>
      <w:r w:rsidRPr="00A033D5">
        <w:tab/>
        <w:t>vítá skutečnost, že do roku 2023 již EU dosáhla poloviny svého cíle pro rok 2030, kterým je 50 % snížení prodeje</w:t>
      </w:r>
      <w:bookmarkEnd w:id="20"/>
      <w:r w:rsidRPr="00A033D5">
        <w:t xml:space="preserve"> a používání antimikrobiálních látek ve veterinárním lékařství v roce 2023; zdůrazňuje, že je třeba pokračovat v tomto úsilí a vypracovat koordinovaný přístup EU k prevenci a odhalování chorob zvířat s včasným monitorováním, očkováním a opatřeními biologické bezpečnosti, aby se zabránilo nárůstu chorob zvířat, který by mohl ohrozit dosažení cíle snížení antimikrobiálních látek;</w:t>
      </w:r>
    </w:p>
    <w:p w14:paraId="3C1F1490" w14:textId="00CE68B9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4</w:t>
      </w:r>
      <w:r w:rsidRPr="00A033D5">
        <w:t>.</w:t>
      </w:r>
      <w:r w:rsidRPr="00A033D5">
        <w:tab/>
        <w:t>vyzdvihuje význam vývoje pokročilých diagnostických nástrojů, prediktivního modelování a dekontaminačních technik; vyzývá Komisi, aby zvážila další posílení přísných veterinárních norem EU s cílem chránit chov hospodářských zvířat, včetně ustanovení o omezení nebo vyloučení populací volně žijících zvířat, které představují riziko infekční nákazy, a o cíleném očkování zvířat, je-li to nezbytné, jako doplňku odpovědné selekce a chovu hospodářských zvířat, což může pomoci snížit výskyt endemických a nově se objevujících nákaz;</w:t>
      </w:r>
    </w:p>
    <w:p w14:paraId="0F64AC76" w14:textId="0994441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5</w:t>
      </w:r>
      <w:r w:rsidRPr="00A033D5">
        <w:t>.</w:t>
      </w:r>
      <w:r w:rsidRPr="00A033D5">
        <w:tab/>
        <w:t>vyzývá Komisi, aby uznala úlohu a podpořila odvětví veterinárních léčiv v jeho úsilí o zavedení biotechnologií z laboratoří do zemědělských podniků, a to urychlením a zefektivněním regulačních procesů, financováním a rozšiřováním biotechnologií pro zdraví zvířat, informováním zemědělců a široké veřejnosti o jejich přínosech, zvyšováním kvalifikace a rekvalifikací pracovníků a podporou shromažďování údajů a využívání umělé inteligence v zemědělských podnicích a v odvětví zdraví zvířat;</w:t>
      </w:r>
    </w:p>
    <w:p w14:paraId="2438F4AC" w14:textId="1806149C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6</w:t>
      </w:r>
      <w:r w:rsidRPr="00A033D5">
        <w:t>.</w:t>
      </w:r>
      <w:r w:rsidRPr="00A033D5">
        <w:tab/>
        <w:t>vyzývá Komisi, aby zlepšila monitorování a podávání zpráv o těchto přímých i nepřímých nákladech, a zvýšila tak účinnost a rychlost podpůrných opatření EU a členských států; v této souvislosti připomíná, že FAO vyvinula nový nástroj OutCosT (OUTbreak COSting Tool), který umožňuje zemím vyhodnotit finanční zátěž spojenou s výskytem nákaz zvířat a opatřeními k jejich tlumení;</w:t>
      </w:r>
    </w:p>
    <w:p w14:paraId="380F411A" w14:textId="3C515E41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7</w:t>
      </w:r>
      <w:r w:rsidRPr="00A033D5">
        <w:t>.</w:t>
      </w:r>
      <w:r w:rsidRPr="00A033D5">
        <w:tab/>
        <w:t>podporuje výzvu skupiny členských států adresovanou Komisi, aby přizpůsobila přístup EU k řešení nákaz zvířat tím, že se jako preventivní opatření a součást širšího souboru nástrojů bude používat očkování, kdykoli to bude možné, a to v závislosti na druhu a nákaze;</w:t>
      </w:r>
    </w:p>
    <w:p w14:paraId="3C415B63" w14:textId="1899C0F0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8</w:t>
      </w:r>
      <w:r w:rsidRPr="00A033D5">
        <w:t>.</w:t>
      </w:r>
      <w:r w:rsidRPr="00A033D5">
        <w:tab/>
        <w:t>zdůrazňuje však, že očkování je ještě účinnější, pokud je doplněno opatřeními biologické bezpečnosti a monitorování; zdůrazňuje, že v zájmu dlouhodobé ochrany je třeba očkovací opatření kombinovat s programy genetické selekce na imunologickou odolnost, zejména u původních plemen a ve zranitelných oblastech; podtrhuje, že úsilí v této oblasti je třeba zintenzivnit a podpořit prostřednictvím dostupných a cenově přijatelných vakcín, vhodným přizpůsobením opatření biologické bezpečnosti míře rizika a dalším a účelovým financováním pro postižené zemědělce ve všech členských státech v rámci SZP po roce 2027;</w:t>
      </w:r>
    </w:p>
    <w:p w14:paraId="325BAFBF" w14:textId="5D8B86C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8</w:t>
      </w:r>
      <w:r w:rsidR="00CB1F58" w:rsidRPr="00A033D5">
        <w:t>9</w:t>
      </w:r>
      <w:r w:rsidRPr="00A033D5">
        <w:t>.</w:t>
      </w:r>
      <w:r w:rsidRPr="00A033D5">
        <w:tab/>
        <w:t xml:space="preserve">zdůrazňuje význam koordinovaného přístupu ke zdraví zvířat, který zahrnuje proaktivní investice do výzkumu, monitorovacích systémů, vývoje očkovacích látek a možností </w:t>
      </w:r>
      <w:r w:rsidRPr="00A033D5">
        <w:lastRenderedPageBreak/>
        <w:t>léčby známých i nově se objevujících nákaz; uznává vývoj rozlišování infikovaných a očkovaných zvířat, tzv. DIVA-vakcín, které umožňují rozlišit zvířata, která byla infikována patogenem, od zvířat, která proti němu byla očkována; vyzývá proto Komisi, aby zohlednila nejnovější vědecký vývoj a revidovala nařízení (EU) 2016/429</w:t>
      </w:r>
      <w:r w:rsidRPr="00A033D5">
        <w:rPr>
          <w:rStyle w:val="FootnoteReference"/>
          <w:szCs w:val="24"/>
        </w:rPr>
        <w:footnoteReference w:id="34"/>
      </w:r>
      <w:r w:rsidRPr="00A033D5">
        <w:t xml:space="preserve"> s cílem vytvořit novou kategorii zdravotního stavu nazvanou „bez nákazy s očkováním“; vyzývá Komisi, aby prostřednictvím programu Horizont Evropa podpořila investice do výzkumu a vývoje DIVA-vakcín a urychlila jejich používání mezi zemědělci;</w:t>
      </w:r>
    </w:p>
    <w:p w14:paraId="0271F082" w14:textId="4CBDBCEF" w:rsidR="00B75963" w:rsidRPr="00A033D5" w:rsidRDefault="00CB1F58" w:rsidP="005712B5">
      <w:pPr>
        <w:spacing w:after="240"/>
        <w:ind w:left="567" w:hanging="567"/>
        <w:rPr>
          <w:rStyle w:val="Bold"/>
          <w:b w:val="0"/>
          <w:bCs/>
          <w:szCs w:val="24"/>
        </w:rPr>
      </w:pPr>
      <w:r w:rsidRPr="00A033D5">
        <w:rPr>
          <w:rStyle w:val="Bold"/>
          <w:b w:val="0"/>
          <w:bCs/>
        </w:rPr>
        <w:t>90</w:t>
      </w:r>
      <w:r w:rsidR="00B75963" w:rsidRPr="00A033D5">
        <w:rPr>
          <w:rStyle w:val="Bold"/>
        </w:rPr>
        <w:t>.</w:t>
      </w:r>
      <w:r w:rsidR="00B75963" w:rsidRPr="00A033D5">
        <w:rPr>
          <w:rStyle w:val="Bold"/>
        </w:rPr>
        <w:tab/>
      </w:r>
      <w:r w:rsidR="00B75963" w:rsidRPr="00A033D5">
        <w:t>vyzývá Komisi, aby podporovala investice do biologické bezpečnosti v zemědělských podnicích prostřednictvím navýšení finančních prostředků, a to i mimo SZP; vyzývá dále Komisi, aby posílila opatření pro zdraví zvířat v odvětví zemědělství EU prostřednictvím koordinace výzkumu, společného nákupu, vytváření zásob a dodávek veterinárních očkovacích látek, nových antigenů. diagnostických činidel a imunologických veterinárních léčivých přípravků na úrovni EU prostřednictvím mechanismu připravenosti a včasného odhalování a podporou vývoje těchto produktů v EU;</w:t>
      </w:r>
      <w:r w:rsidR="00B75963" w:rsidRPr="00A033D5">
        <w:rPr>
          <w:rStyle w:val="Bold"/>
        </w:rPr>
        <w:t xml:space="preserve"> </w:t>
      </w:r>
      <w:r w:rsidR="00B75963" w:rsidRPr="00A033D5">
        <w:rPr>
          <w:rStyle w:val="Bold"/>
          <w:b w:val="0"/>
          <w:bCs/>
        </w:rPr>
        <w:t xml:space="preserve">vyzývá Komisi, aby pro tento mechanismus zajistila dostatečné finanční prostředky; </w:t>
      </w:r>
    </w:p>
    <w:p w14:paraId="68244E97" w14:textId="2605EB5A" w:rsidR="00B75963" w:rsidRPr="00A033D5" w:rsidRDefault="00B75963" w:rsidP="005712B5">
      <w:pPr>
        <w:spacing w:after="240"/>
        <w:ind w:left="567" w:hanging="567"/>
        <w:rPr>
          <w:rStyle w:val="Bold"/>
          <w:b w:val="0"/>
          <w:bCs/>
          <w:szCs w:val="24"/>
        </w:rPr>
      </w:pPr>
      <w:r w:rsidRPr="00A033D5">
        <w:rPr>
          <w:rStyle w:val="Bold"/>
          <w:b w:val="0"/>
          <w:bCs/>
        </w:rPr>
        <w:t>9</w:t>
      </w:r>
      <w:r w:rsidR="00CB1F58" w:rsidRPr="00A033D5">
        <w:rPr>
          <w:rStyle w:val="Bold"/>
          <w:b w:val="0"/>
          <w:bCs/>
        </w:rPr>
        <w:t>1</w:t>
      </w:r>
      <w:r w:rsidRPr="00A033D5">
        <w:rPr>
          <w:rStyle w:val="Bold"/>
          <w:b w:val="0"/>
          <w:bCs/>
        </w:rPr>
        <w:t>.</w:t>
      </w:r>
      <w:r w:rsidRPr="00A033D5">
        <w:rPr>
          <w:rStyle w:val="Bold"/>
          <w:b w:val="0"/>
          <w:bCs/>
        </w:rPr>
        <w:tab/>
        <w:t xml:space="preserve">podporuje vytváření strategických zásob, aby bylo možné rychleji reagovat v případě nových epidemií; zdůrazňuje, že je naléhavě nutné zavést centralizovaný a harmonizovaný systém databanky pro očkování zvířat napříč členskými státy; poukazuje na to, že takový systém by zlepšil sledovatelnost, zlepšil monitorování nákaz, podpořil včasnou reakci na propuknutí nákaz a přispěl k celkové účinnosti politik EU v oblasti zdraví zvířat a bezpečnosti potravin; konstatuje, že komplexní databanka očkování by usnadnila přeshraniční spolupráci, zajistila dodržování norem EU a poskytla cenné poznatky pro rozvoj politiky, výzkum a udržitelné řízení zdraví hospodářských zvířat; </w:t>
      </w:r>
    </w:p>
    <w:p w14:paraId="53E7ECDE" w14:textId="4C229CF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2</w:t>
      </w:r>
      <w:r w:rsidRPr="00A033D5">
        <w:t>.</w:t>
      </w:r>
      <w:r w:rsidRPr="00A033D5">
        <w:tab/>
        <w:t>podporuje výzkum nových technologií pro inaktivaci virů v potravinářských výrobcích, jako je například vysokotlaké zpracování, které se ukázalo jako slibná metoda pro zachování bezpečnosti a kvality potravin; zdůrazňuje význam specifické výživy zvířat a složení krmiv pro prevenci šíření některých nákaz a zlepšení celkového zdraví a odolnosti zvířat;</w:t>
      </w:r>
    </w:p>
    <w:p w14:paraId="0376F4B7" w14:textId="66EC44DC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3</w:t>
      </w:r>
      <w:r w:rsidRPr="00A033D5">
        <w:t>.</w:t>
      </w:r>
      <w:r w:rsidRPr="00A033D5">
        <w:tab/>
        <w:t>naléhavě vyzývá Komisi a členské státy, aby podporovaly regiony a spolupracovaly s regionálními orgány a konzultovaly se zemědělci na vytváření a provádění plánů prevence, očkování a zmírňování rizik těchto nákaz, a zároveň aby v co nejvyšší míře zabraňovaly usmrcování zvířat z důvodů nákaz;</w:t>
      </w:r>
    </w:p>
    <w:p w14:paraId="0596D1D2" w14:textId="111A8E4E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4</w:t>
      </w:r>
      <w:r w:rsidRPr="00A033D5">
        <w:t>.</w:t>
      </w:r>
      <w:r w:rsidRPr="00A033D5">
        <w:tab/>
        <w:t>vyzývá k větší spolupráci mezi EU, zúčastněnými stranami z odvětví a mezinárodními partnery, která by zajistila efektivní přidělování zdrojů a sdílení znalostí s cílem zlepšit řízení a prevenci nákaz;</w:t>
      </w:r>
    </w:p>
    <w:p w14:paraId="05FC27C1" w14:textId="42D20CC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5</w:t>
      </w:r>
      <w:r w:rsidRPr="00A033D5">
        <w:t>.</w:t>
      </w:r>
      <w:r w:rsidRPr="00A033D5">
        <w:tab/>
        <w:t xml:space="preserve">vyzývá Komisi, aby zvýšila finanční prostředky EU na programy eradikace a kontroly v členských státech EU; doporučuje zavést komplexní systémy hospodářské podpory, včetně systémů kompenzací, které by pokrývaly celý dodavatelský řetězec, aby se </w:t>
      </w:r>
      <w:r w:rsidRPr="00A033D5">
        <w:lastRenderedPageBreak/>
        <w:t>zajistilo, že všechny postižené strany, zejména chovatelé hospodářských zvířat, obdrží odpovídající pomoc; zdůrazňuje, že v případě výskytu závažných nákaz zvířat, které způsobí značné hospodářské ztráty, je třeba poskytnout urychlenou finanční pomoc, aby se snížila nejistota a zachovala hospodářská kontinuita; vyzývá členské státy, aby zefektivnily posuzování žádostí o podporu, odstranily zbytečné administrativní překážky a stanovily jasné lhůty pro vyplacení podpory, což pomůže zemědělcům lépe plánovat a stabilizuje jejich činnost;</w:t>
      </w:r>
    </w:p>
    <w:p w14:paraId="358DCF03" w14:textId="0F40B18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6</w:t>
      </w:r>
      <w:r w:rsidRPr="00A033D5">
        <w:t>.</w:t>
      </w:r>
      <w:r w:rsidRPr="00A033D5">
        <w:tab/>
        <w:t>vítá návrh Komise obsažený v balíčku o zjednodušení a zlepšení konkurenceschopnosti SZP z roku 2025, který má posílit schopnost SZP poskytovat finanční a provozní podporu zemědělcům postiženým přírodními katastrofami, nepříznivými klimatickými jevy nebo nákazami zvířat zavedením dvou dodatečných krizových plateb, které by členské státy mohly mobilizovat v rámci fondů pro rozvoj venkova; domnívá se, že budoucí SZP musí také aktivně podporovat schopnost zemědělců vyrovnat se s šířením nákaz zvířat a epidemií, zejména tím, že stanoví podstatně vyšší rozpočet na nástroje krizového řízení a na rezervu v případě krize v zemědělství, kterou lze rychle a účinně aktivovat na podporu postižených zemědělců;</w:t>
      </w:r>
    </w:p>
    <w:p w14:paraId="1C4B6CE6" w14:textId="3FE6E786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7</w:t>
      </w:r>
      <w:r w:rsidRPr="00A033D5">
        <w:t>.</w:t>
      </w:r>
      <w:r w:rsidRPr="00A033D5">
        <w:tab/>
        <w:t>vyzývá členské státy, aby tuto iniciativu podpořily dalším rozvojem systémů řízení rizik, přizpůsobených krizovým situacím způsobeným nákazami zvířat, včetně usnadnění přístupu k systémům pojištění a vzájemných fondů; vyzývá Komisi, aby navrhla vytvoření nového evropského zajišťovacího nástroje, který by umožnil pokrýt rizika spojená s novými epizootickými nákazami a zajistil, že všechny zemědělské podniky měly přístup k vhodným pojistným smlouvám na ochranu proti těmto epizootickým hrozbám;</w:t>
      </w:r>
    </w:p>
    <w:p w14:paraId="149D7FFC" w14:textId="184CDFF7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8</w:t>
      </w:r>
      <w:r w:rsidRPr="00A033D5">
        <w:t>.</w:t>
      </w:r>
      <w:r w:rsidRPr="00A033D5">
        <w:tab/>
        <w:t>vyzývá Komisi, aby posoudila možnost zřízení Evropského fondu pro zdraví zvířat, který by poskytoval rychlou a spravedlivou podporu v případě výskytu ohnisek nákazy; zdůrazňuje, že s ohledem na rizika, která představují různé nákazy zvířat, je nezbytné vyčlenit finanční prostředky na genetické zlepšování zvířat s cílem vytvořit plemena, která budou odolnější vůči nákazám, a posílit tak potravinové zabezpečení EU tváří v tvář potenciálním zdravotním krizím;</w:t>
      </w:r>
    </w:p>
    <w:p w14:paraId="7943A482" w14:textId="5838C9DD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9</w:t>
      </w:r>
      <w:r w:rsidR="00CB1F58" w:rsidRPr="00A033D5">
        <w:t>9</w:t>
      </w:r>
      <w:r w:rsidRPr="00A033D5">
        <w:t>.</w:t>
      </w:r>
      <w:r w:rsidRPr="00A033D5">
        <w:tab/>
        <w:t>naléhavě vyzývá Komisi, aby ve spolupráci s mezinárodními obchodními partnery zajistila, že budou přijaty regionalizované zákazy obchodu a uznávané způsoby inaktivace, jako je vaření a dlouhé zrání, čímž se sníží zbytečné hospodářské škody v odvětví živočišné výroby v EU;</w:t>
      </w:r>
    </w:p>
    <w:p w14:paraId="330B17BF" w14:textId="15A519E6" w:rsidR="00B75963" w:rsidRPr="00A033D5" w:rsidRDefault="00CB1F58" w:rsidP="005712B5">
      <w:pPr>
        <w:spacing w:after="240"/>
        <w:ind w:left="567" w:hanging="567"/>
        <w:rPr>
          <w:szCs w:val="24"/>
        </w:rPr>
      </w:pPr>
      <w:r w:rsidRPr="00A033D5">
        <w:t>100</w:t>
      </w:r>
      <w:r w:rsidR="00B75963" w:rsidRPr="00A033D5">
        <w:t>.</w:t>
      </w:r>
      <w:r w:rsidR="00B75963" w:rsidRPr="00A033D5">
        <w:tab/>
        <w:t>naléhavě také vyzývá Komisi, aby v některých konkrétních případech zhodnotila proveditelnost mechanismu rozdělení založeného na postupech řízení biologické bezpečnosti a šlechtění a posoudila jeho použitelnost v mezinárodním kontextu a společně s nejspolehlivějšími obchodními partnery;</w:t>
      </w:r>
    </w:p>
    <w:p w14:paraId="4B9AD26D" w14:textId="79DF54A2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CB1F58" w:rsidRPr="00A033D5">
        <w:t>1</w:t>
      </w:r>
      <w:r w:rsidRPr="00A033D5">
        <w:t>.</w:t>
      </w:r>
      <w:r w:rsidRPr="00A033D5">
        <w:tab/>
        <w:t>naléhavě vyzývá Komisi, aby posoudila rizika vyplývající z rostoucího počtu volně žijících kopytníků a jejich důsledky pro zdraví zvířat, veřejné zdraví a biologickou rozmanitost. považuje v tomto ohledu za nezbytné zavést horizontální opatření zaměřená na odpovídající řízení tohoto přemnožení;</w:t>
      </w:r>
    </w:p>
    <w:p w14:paraId="0D8789D9" w14:textId="77777777" w:rsidR="00B75963" w:rsidRPr="00A033D5" w:rsidRDefault="00B75963" w:rsidP="005712B5">
      <w:pPr>
        <w:pStyle w:val="NormalHanging12a"/>
        <w:rPr>
          <w:b/>
          <w:i/>
        </w:rPr>
      </w:pPr>
      <w:r w:rsidRPr="00A033D5">
        <w:rPr>
          <w:b/>
          <w:i/>
        </w:rPr>
        <w:t>Obchodní aspekty</w:t>
      </w:r>
    </w:p>
    <w:p w14:paraId="23C0130A" w14:textId="07BEC104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CB1F58" w:rsidRPr="00A033D5">
        <w:t>2</w:t>
      </w:r>
      <w:r w:rsidRPr="00A033D5">
        <w:t>.</w:t>
      </w:r>
      <w:r w:rsidRPr="00A033D5">
        <w:tab/>
        <w:t xml:space="preserve">zdůrazňuje, že odvětví živočišné výroby v EU je obzvláště zranitelné vůči různým </w:t>
      </w:r>
      <w:r w:rsidRPr="00A033D5">
        <w:lastRenderedPageBreak/>
        <w:t>otřesům, včetně zdravotních krizí, extrémních klimatických jevů, kolísání cen a narušení dodavatelských řetězců, jakož i rostoucí konkurenci ze třetích zemí, jejichž produkty ne vždy splňují vysoké normy EU v oblasti životního prostředí, dobrých životních podmínek zvířat, zdraví a bezpečnosti potravin, což vysvětluje obavy ohledně nedostatečné reciprocity a nekalé celosvětové hospodářské soutěže; zdůrazňuje proto, že je třeba zajistit spravedlivé podmínky hospodářské soutěže na mezinárodním trhu, aby byla chráněna hospodářská životaschopnost evropských podniků a zaručeny vzájemné normy v obchodních dohodách; žádá proto, aby byla při uzavírání obchodních dohod zohledněna zranitelnost tohoto odvětví;</w:t>
      </w:r>
    </w:p>
    <w:p w14:paraId="1AA72BDF" w14:textId="3BFF7B2A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3</w:t>
      </w:r>
      <w:r w:rsidRPr="00A033D5">
        <w:t>.</w:t>
      </w:r>
      <w:r w:rsidRPr="00A033D5">
        <w:tab/>
        <w:t xml:space="preserve">vyzývá k vytvoření zvláštního nástroje v rámci dalšího víceletého finančního rámce, který by byl zaměřen na podporu zemědělských odvětví, včetně odvětví živočišné výroby, která by byla narušena nebo vyžadovala úpravy v důsledku stávajících obchodních dohod. </w:t>
      </w:r>
    </w:p>
    <w:p w14:paraId="1A4AB732" w14:textId="5324C36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4</w:t>
      </w:r>
      <w:r w:rsidRPr="00A033D5">
        <w:t>.</w:t>
      </w:r>
      <w:r w:rsidRPr="00A033D5">
        <w:tab/>
        <w:t>poukazuje na to, že v situaci, kdy spotřeba živočišných produktů, a zejména masa v EU v nejlepším případě stagnuje, ale celosvětová poptávka po živočišných bílkovinách poroste, je třeba uznat hospodářský význam vývozu a postavení EU jako světového lídra v oblasti zemědělství šetrného ke klimatu a zvířatům a vývozu znalostí, technologií a postupů pro přechod k udržitelnosti na světové trhy, přičemž by měla být zajištěna potravinová nezávislost EU; zdůrazňuje, že by to mohlo podpořit výzkum, inovace, investice a zaměstnanost; zdůrazňuje, že v této souvislosti se investice do zlepšení kvality hospodářských zvířat a genetické sledovatelnosti stávají nezbytnými pro uspokojení celosvětové poptávky po živočišných produktech s vysokou výživovou hodnotou;</w:t>
      </w:r>
    </w:p>
    <w:p w14:paraId="3F62C0F2" w14:textId="44689198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5</w:t>
      </w:r>
      <w:r w:rsidRPr="00A033D5">
        <w:t>.</w:t>
      </w:r>
      <w:r w:rsidRPr="00A033D5">
        <w:tab/>
        <w:t>vyjadřuje politování nad skutečností, že naši obchodní partneři ne vždy sdílejí ambiciózní normy a cíle EU v oblasti zdraví, dobrých životních podmínek zvířat, životního prostředí a dalších aspektů udržitelnosti; trvá na tom, že chovatelé v EU mají nerovné podmínky vůči producentům ze zemí mimo EU, a to jak na mezinárodních trzích, tak na vnitřním trhu EU;</w:t>
      </w:r>
    </w:p>
    <w:p w14:paraId="4A90DE34" w14:textId="7AA64BE2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6</w:t>
      </w:r>
      <w:r w:rsidRPr="00A033D5">
        <w:t>.</w:t>
      </w:r>
      <w:r w:rsidRPr="00A033D5">
        <w:tab/>
        <w:t>konstatuje, že všechny potraviny dovážené na trh EU musí splňovat příslušné normy EU týkající se konečných produktů, které se použijí bez ohledu na to, zda je produkt vyroben v tuzemsku nebo je dovezen, nicméně požadavky na způsob výroby výrobků (označované jako „metody výroby a zpracování“) se však na dovážené výrobky obvykle nevztahují;</w:t>
      </w:r>
    </w:p>
    <w:p w14:paraId="32A94603" w14:textId="58BA0ADF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7</w:t>
      </w:r>
      <w:r w:rsidRPr="00A033D5">
        <w:t>.</w:t>
      </w:r>
      <w:r w:rsidRPr="00A033D5">
        <w:tab/>
        <w:t>souhlasí s tím, že podle závěrů Komise o uplatňování zdravotních a environmentálních norem EU na dovážené zemědělské a zemědělsko-potravinářské produkty existuje politický prostor k uplatňování zdravotních, environmentálních požadavků a požadavků na dobré životní podmínky zvířat na metody výroby a zpracování u dovážených výrobků způsobem, který je slučitelný s pravidly WTO; uznává, že před uplatněním norem týkajících se produkce na dovoz je vždy nutné provést individuální posouzení, jak je uvedeno ve zprávě Komise;</w:t>
      </w:r>
    </w:p>
    <w:p w14:paraId="22EFA1C1" w14:textId="743FEAE5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8</w:t>
      </w:r>
      <w:r w:rsidRPr="00A033D5">
        <w:t>.</w:t>
      </w:r>
      <w:r w:rsidRPr="00A033D5">
        <w:tab/>
        <w:t xml:space="preserve">vyzývá Komisi, aby zajistila větší soudržnost mezi svou obchodní politikou a politikou udržitelnosti tím, že do všech sjednaných obchodních dohod zahrne ve všech fázích výroby prostřednictvím doložek reciprocitu environmentálních norem, norem v oblasti dobrých životních podmínek zvířat a veterinárních norem, aby se zajistilo, že dovážené výrobky, které nesplňují normy EU, nebudou uváděny na trh EU; vyzývá Komisi, aby </w:t>
      </w:r>
      <w:r w:rsidRPr="00A033D5">
        <w:lastRenderedPageBreak/>
        <w:t>zajistila a posílila řádnou a přísnou kontrolu dovozu s cílem chránit domácí výrobce a spotřebitele EU;</w:t>
      </w:r>
    </w:p>
    <w:p w14:paraId="5E1D3996" w14:textId="532343E2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10</w:t>
      </w:r>
      <w:r w:rsidR="00777749" w:rsidRPr="00A033D5">
        <w:t>9</w:t>
      </w:r>
      <w:r w:rsidRPr="00A033D5">
        <w:t>.</w:t>
      </w:r>
      <w:r w:rsidRPr="00A033D5">
        <w:tab/>
        <w:t xml:space="preserve">vyzývá Komisi, aby posílila řádně financovanou propagační politiku EU a zvýšila rozpočet na zemědělské produkty EU, včetně produktů živočišného původu, a aby zajistila trvalou podporu zeměpisných označení v mezinárodním obchodu jako klíčového pilíře kvality, sledovatelnosti a rozvoje venkova; zdůrazňuje, že odvětví živočišné výroby je zodpovědné za významný podíl evropských zeměpisných označení, včetně produktů, jako jsou sýry, uzeniny, šunky a čerstvé maso, které jsou výsledkem zkušeností předávaných z generace na generaci a výrobních postupů úzce spjatých s jejich regiony původu; </w:t>
      </w:r>
    </w:p>
    <w:p w14:paraId="22370C7B" w14:textId="0AF01623" w:rsidR="00B75963" w:rsidRPr="00A033D5" w:rsidRDefault="00B75963" w:rsidP="005712B5">
      <w:pPr>
        <w:spacing w:after="240"/>
        <w:ind w:left="567" w:hanging="567"/>
        <w:rPr>
          <w:szCs w:val="24"/>
        </w:rPr>
      </w:pPr>
      <w:r w:rsidRPr="00A033D5">
        <w:t>1</w:t>
      </w:r>
      <w:r w:rsidR="00777749" w:rsidRPr="00A033D5">
        <w:t>10</w:t>
      </w:r>
      <w:r w:rsidRPr="00A033D5">
        <w:t>.</w:t>
      </w:r>
      <w:r w:rsidRPr="00A033D5">
        <w:tab/>
        <w:t xml:space="preserve">zdůrazňuje, že tato označení kvality nejen prezentují práci výrobců, ale také chrání tradiční postupy, podporují rozmanitost evropské gastronomie a pomáhají zachovat kulturní identitu míst produkce; dále vyzdvihuje význam jasného a přesného označování, které zlepší sledovatelnost výrobků a ochrání spotřebitele před zavádějícími marketingovými praktikami, a to jak mimo EU, tak v rámci EU, jako je používání „evropsky znějících“ nebo napodobujících názvů, které nepravdivě naznačují, že výrobky jsou místního nebo unijního původu či kvality; </w:t>
      </w:r>
    </w:p>
    <w:p w14:paraId="34E68E1F" w14:textId="378DF8CF" w:rsidR="00B75963" w:rsidRPr="00A033D5" w:rsidRDefault="00B75963" w:rsidP="005712B5">
      <w:pPr>
        <w:spacing w:after="240"/>
        <w:ind w:left="567" w:hanging="567"/>
      </w:pPr>
      <w:r w:rsidRPr="00A033D5">
        <w:t>11</w:t>
      </w:r>
      <w:r w:rsidR="00777749" w:rsidRPr="00A033D5">
        <w:t>1</w:t>
      </w:r>
      <w:r w:rsidRPr="00A033D5">
        <w:t>.</w:t>
      </w:r>
      <w:r w:rsidRPr="00A033D5">
        <w:tab/>
        <w:t>vyzývá Komisi, aby dále podporovala zemědělce v jejich úsilí o dodržování norem EU, aby se zabránilo ztrátě konkurenceschopnosti a následnému přesunu výroby z EU do zemí mimo EU s méně přísnými normami v oblasti dobrých životních podmínek zvířat a nižšími produkčními a sociálními normami, a aby zajistila, že výrobci budou mít přístup k financování zlepšování genetiky hospodářských zvířat, aby se konkurenceschopnost posilovala prostřednictvím kvality, spíše než kvantity;</w:t>
      </w:r>
    </w:p>
    <w:p w14:paraId="19BCA1C1" w14:textId="77777777" w:rsidR="005712B5" w:rsidRPr="00A033D5" w:rsidRDefault="005712B5" w:rsidP="005712B5">
      <w:pPr>
        <w:spacing w:after="240"/>
        <w:ind w:left="567" w:hanging="567"/>
      </w:pPr>
    </w:p>
    <w:p w14:paraId="74BF8E9F" w14:textId="73CF5787" w:rsidR="005712B5" w:rsidRPr="00A033D5" w:rsidRDefault="005712B5" w:rsidP="005712B5">
      <w:pPr>
        <w:widowControl/>
        <w:spacing w:after="240"/>
        <w:jc w:val="center"/>
      </w:pPr>
      <w:r w:rsidRPr="00A033D5">
        <w:t>°</w:t>
      </w:r>
    </w:p>
    <w:p w14:paraId="4F8C39A6" w14:textId="518C7D61" w:rsidR="005712B5" w:rsidRPr="00A033D5" w:rsidRDefault="005712B5" w:rsidP="005712B5">
      <w:pPr>
        <w:widowControl/>
        <w:spacing w:after="240"/>
        <w:jc w:val="center"/>
      </w:pPr>
      <w:r w:rsidRPr="00A033D5">
        <w:t>°     °</w:t>
      </w:r>
    </w:p>
    <w:p w14:paraId="17877598" w14:textId="5C8EEA99" w:rsidR="00C32E6C" w:rsidRPr="00A033D5" w:rsidRDefault="00B75963" w:rsidP="005712B5">
      <w:pPr>
        <w:pStyle w:val="NormalHanging12a"/>
      </w:pPr>
      <w:r w:rsidRPr="00A033D5">
        <w:t>11</w:t>
      </w:r>
      <w:r w:rsidR="00777749" w:rsidRPr="00A033D5">
        <w:t>2</w:t>
      </w:r>
      <w:r w:rsidRPr="00A033D5">
        <w:t>.</w:t>
      </w:r>
      <w:r w:rsidRPr="00A033D5">
        <w:tab/>
        <w:t>pověřuje svou předsedkyni, aby předala toto usnesení Radě a Komisi;</w:t>
      </w:r>
    </w:p>
    <w:p w14:paraId="05BF2262" w14:textId="3664FEF2" w:rsidR="00E365E1" w:rsidRPr="00A033D5" w:rsidRDefault="00E365E1" w:rsidP="00E23000"/>
    <w:p w14:paraId="3F6C0484" w14:textId="77777777" w:rsidR="00A033D5" w:rsidRPr="00A033D5" w:rsidRDefault="00A033D5"/>
    <w:sectPr w:rsidR="00A033D5" w:rsidRPr="00A033D5" w:rsidSect="00C32E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A85AC" w14:textId="77777777" w:rsidR="00E23000" w:rsidRPr="00C32E6C" w:rsidRDefault="00E23000">
      <w:r w:rsidRPr="00C32E6C">
        <w:separator/>
      </w:r>
    </w:p>
  </w:endnote>
  <w:endnote w:type="continuationSeparator" w:id="0">
    <w:p w14:paraId="26CE20BB" w14:textId="77777777" w:rsidR="00E23000" w:rsidRPr="00C32E6C" w:rsidRDefault="00E23000">
      <w:r w:rsidRPr="00C32E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36D5" w14:textId="77777777" w:rsidR="00064002" w:rsidRPr="00C32E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8207" w14:textId="77777777" w:rsidR="00064002" w:rsidRPr="00C32E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7719" w14:textId="77777777" w:rsidR="00064002" w:rsidRPr="00C32E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53648" w14:textId="77777777" w:rsidR="00E23000" w:rsidRPr="00C32E6C" w:rsidRDefault="00E23000">
      <w:r w:rsidRPr="00C32E6C">
        <w:separator/>
      </w:r>
    </w:p>
  </w:footnote>
  <w:footnote w:type="continuationSeparator" w:id="0">
    <w:p w14:paraId="4A808A5A" w14:textId="77777777" w:rsidR="00E23000" w:rsidRPr="00C32E6C" w:rsidRDefault="00E23000">
      <w:r w:rsidRPr="00C32E6C">
        <w:continuationSeparator/>
      </w:r>
    </w:p>
  </w:footnote>
  <w:footnote w:id="1">
    <w:p w14:paraId="0158880A" w14:textId="3DC13076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435, 6.12.2021, s. 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" w:history="1">
        <w:r w:rsidRPr="00C32E6C">
          <w:rPr>
            <w:rStyle w:val="Hyperlink"/>
            <w:sz w:val="24"/>
            <w:lang w:val="cs-CZ"/>
          </w:rPr>
          <w:t>http://data.europa.eu/eli/reg/2021/2115/oj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2">
    <w:p w14:paraId="3C678B26" w14:textId="6ACD4694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435, 6.12.2021, s. 187,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2" w:history="1">
        <w:r w:rsidRPr="00C32E6C">
          <w:rPr>
            <w:rStyle w:val="Hyperlink"/>
            <w:sz w:val="24"/>
            <w:lang w:val="cs-CZ"/>
          </w:rPr>
          <w:t>http://data.europa.eu/eli/reg/2021/2116/oj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3">
    <w:p w14:paraId="6B520E64" w14:textId="4F5963AC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435, 6.12.2021, s. 262,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3" w:history="1">
        <w:r w:rsidRPr="00C32E6C">
          <w:rPr>
            <w:rStyle w:val="Hyperlink"/>
            <w:sz w:val="24"/>
            <w:lang w:val="cs-CZ"/>
          </w:rPr>
          <w:t>http://data.europa.eu/eli/reg/2021/2117/oj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4">
    <w:p w14:paraId="45FEF29C" w14:textId="42B2790F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L</w:t>
      </w:r>
      <w:r w:rsidR="005712B5">
        <w:rPr>
          <w:sz w:val="24"/>
          <w:lang w:val="cs-CZ"/>
        </w:rPr>
        <w:t>,</w:t>
      </w:r>
      <w:r w:rsidRPr="00C32E6C">
        <w:rPr>
          <w:sz w:val="24"/>
          <w:lang w:val="cs-CZ"/>
        </w:rPr>
        <w:t> 2024/1468, 24.5.2024,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4" w:history="1">
        <w:r w:rsidRPr="00C32E6C">
          <w:rPr>
            <w:rStyle w:val="Hyperlink"/>
            <w:sz w:val="24"/>
            <w:lang w:val="cs-CZ"/>
          </w:rPr>
          <w:t>http://data.europa.eu/eli/reg/2024/1468/oj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5">
    <w:p w14:paraId="60AE343F" w14:textId="581A22EE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L, 2024/3012, 6.12.2024,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5" w:history="1">
        <w:r w:rsidRPr="00C32E6C">
          <w:rPr>
            <w:rStyle w:val="Hyperlink"/>
            <w:sz w:val="24"/>
            <w:lang w:val="cs-CZ"/>
          </w:rPr>
          <w:t>http://data.europa.eu/eli/reg/2024/3012/oj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6">
    <w:p w14:paraId="16172C1B" w14:textId="067E8FAC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Strategický dialog o budoucnosti zemědělství v EU, </w:t>
      </w:r>
      <w:hyperlink r:id="rId6" w:history="1">
        <w:r w:rsidRPr="00C32E6C">
          <w:rPr>
            <w:rStyle w:val="Hyperlink"/>
            <w:sz w:val="24"/>
            <w:lang w:val="cs-CZ"/>
          </w:rPr>
          <w:t>https://agriculture.ec.europa.eu/document/download/171329ff-0f50-4fa5-946f-aea11032172e_en?filename=strategic-dialogue-report-2024_en.pdf.</w:t>
        </w:r>
      </w:hyperlink>
    </w:p>
  </w:footnote>
  <w:footnote w:id="7">
    <w:p w14:paraId="1203CBC6" w14:textId="68692728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84, 31.3.2016, s. 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7" w:history="1">
        <w:r w:rsidRPr="00C32E6C">
          <w:rPr>
            <w:rStyle w:val="Hyperlink"/>
            <w:sz w:val="24"/>
            <w:lang w:val="cs-CZ"/>
          </w:rPr>
          <w:t>http://data.europa.eu/eli/reg/2016/429/oj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8">
    <w:p w14:paraId="36AD14BE" w14:textId="76C4F27C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412, 8.12.2020, s. 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8" w:history="1">
        <w:r w:rsidRPr="00C32E6C">
          <w:rPr>
            <w:rStyle w:val="Hyperlink"/>
            <w:sz w:val="24"/>
            <w:lang w:val="cs-CZ"/>
          </w:rPr>
          <w:t>http://data.europa.eu/eli/reg_impl/2020/2002/oj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9">
    <w:p w14:paraId="29017E23" w14:textId="5A475404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174, 3.6.2020, s. 211,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9" w:history="1">
        <w:r w:rsidRPr="00C32E6C">
          <w:rPr>
            <w:rStyle w:val="Hyperlink"/>
            <w:sz w:val="24"/>
            <w:lang w:val="cs-CZ"/>
          </w:rPr>
          <w:t>http://data.europa.eu/eli/reg_del/2020/689/oj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0">
    <w:p w14:paraId="3950D8A3" w14:textId="241A950B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 L 300, 14.11.2009, s. 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0" w:history="1">
        <w:r w:rsidRPr="00C32E6C">
          <w:rPr>
            <w:rStyle w:val="Hyperlink"/>
            <w:sz w:val="24"/>
            <w:lang w:val="cs-CZ"/>
          </w:rPr>
          <w:t>http://data.europa.eu/eli/reg/2009/1069/oj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1">
    <w:p w14:paraId="6D93A979" w14:textId="35B8B6A1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L 325, 12.12.2003, s. 31,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1" w:history="1">
        <w:r w:rsidRPr="00C32E6C">
          <w:rPr>
            <w:rStyle w:val="Hyperlink"/>
            <w:sz w:val="24"/>
            <w:lang w:val="cs-CZ"/>
          </w:rPr>
          <w:t>http://data.europa.eu/eli/dir/2003/99/oj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2">
    <w:p w14:paraId="54D97301" w14:textId="48517F7C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174, 3.6.2020, s. 64,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2" w:history="1">
        <w:r w:rsidRPr="00C32E6C">
          <w:rPr>
            <w:rStyle w:val="Hyperlink"/>
            <w:sz w:val="24"/>
            <w:lang w:val="cs-CZ"/>
          </w:rPr>
          <w:t>http://data.europa.eu/eli/reg_del/2020/687/oj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3">
    <w:p w14:paraId="351DC482" w14:textId="5396842C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221, 8.8.1998, s. 23, ELI:</w:t>
      </w:r>
      <w:r w:rsidRPr="00C32E6C">
        <w:rPr>
          <w:color w:val="000000" w:themeColor="text1"/>
          <w:sz w:val="24"/>
          <w:lang w:val="cs-CZ"/>
        </w:rPr>
        <w:t xml:space="preserve"> </w:t>
      </w:r>
      <w:hyperlink r:id="rId13" w:history="1">
        <w:r w:rsidRPr="00C32E6C">
          <w:rPr>
            <w:rStyle w:val="Hyperlink"/>
            <w:sz w:val="24"/>
            <w:lang w:val="cs-CZ"/>
          </w:rPr>
          <w:t>http://data.europa.eu/eli/dir/1998/58/oj</w:t>
        </w:r>
      </w:hyperlink>
      <w:r w:rsidRPr="00C32E6C">
        <w:rPr>
          <w:color w:val="000000" w:themeColor="text1"/>
          <w:sz w:val="24"/>
          <w:lang w:val="cs-CZ"/>
        </w:rPr>
        <w:t>.</w:t>
      </w:r>
    </w:p>
  </w:footnote>
  <w:footnote w:id="14">
    <w:p w14:paraId="52086C38" w14:textId="0FC9AB28" w:rsidR="00B75963" w:rsidRPr="00C32E6C" w:rsidRDefault="00B75963" w:rsidP="00C32E6C">
      <w:pPr>
        <w:pStyle w:val="FootnoteText"/>
        <w:ind w:left="567" w:hanging="567"/>
        <w:rPr>
          <w:bCs/>
          <w:iCs/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Úř. věst. L 3, 5.1.2005, s. 1, ELI: </w:t>
      </w:r>
      <w:hyperlink r:id="rId14" w:history="1">
        <w:r w:rsidRPr="00C32E6C">
          <w:rPr>
            <w:rStyle w:val="Hyperlink"/>
            <w:sz w:val="24"/>
            <w:lang w:val="cs-CZ"/>
          </w:rPr>
          <w:t>http://data.europa.eu/eli/reg/2005/1/oj</w:t>
        </w:r>
      </w:hyperlink>
      <w:r w:rsidRPr="00C32E6C">
        <w:rPr>
          <w:sz w:val="24"/>
          <w:lang w:val="cs-CZ"/>
        </w:rPr>
        <w:t>.</w:t>
      </w:r>
    </w:p>
  </w:footnote>
  <w:footnote w:id="15">
    <w:p w14:paraId="282C74A4" w14:textId="15BA4150" w:rsidR="00B75963" w:rsidRPr="00C32E6C" w:rsidRDefault="00B75963" w:rsidP="00C32E6C">
      <w:pPr>
        <w:pStyle w:val="FootnoteText"/>
        <w:ind w:left="567" w:hanging="567"/>
        <w:rPr>
          <w:bCs/>
          <w:iCs/>
          <w:sz w:val="24"/>
          <w:lang w:val="cs-CZ"/>
        </w:rPr>
      </w:pPr>
      <w:r w:rsidRPr="00C32E6C">
        <w:rPr>
          <w:rStyle w:val="FootnoteReference"/>
          <w:bCs/>
          <w:iCs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Úř. věst. L 303, 18.11.2009, s. 1, ELI: </w:t>
      </w:r>
      <w:hyperlink r:id="rId15" w:history="1">
        <w:r w:rsidRPr="00C32E6C">
          <w:rPr>
            <w:rStyle w:val="Hyperlink"/>
            <w:sz w:val="24"/>
            <w:lang w:val="cs-CZ"/>
          </w:rPr>
          <w:t>http://data.europa.eu/eli/reg/2009/1099/oj</w:t>
        </w:r>
      </w:hyperlink>
      <w:r w:rsidRPr="00C32E6C">
        <w:rPr>
          <w:sz w:val="24"/>
          <w:lang w:val="cs-CZ"/>
        </w:rPr>
        <w:t>.</w:t>
      </w:r>
    </w:p>
  </w:footnote>
  <w:footnote w:id="16">
    <w:p w14:paraId="4C837851" w14:textId="30F45075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4, 7.1.2019, s. 43,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6" w:history="1">
        <w:r w:rsidRPr="00C32E6C">
          <w:rPr>
            <w:rStyle w:val="Hyperlink"/>
            <w:sz w:val="24"/>
            <w:lang w:val="cs-CZ"/>
          </w:rPr>
          <w:t>http://data.europa.eu/eli/reg/2019/6/oj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7">
    <w:p w14:paraId="6AAB92DD" w14:textId="738A4E8E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C 220, 22.6.2023, s. 1.</w:t>
      </w:r>
    </w:p>
  </w:footnote>
  <w:footnote w:id="18">
    <w:p w14:paraId="532E2783" w14:textId="124AA0A6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L 387, 19.11.2020, s. 8,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7" w:history="1">
        <w:r w:rsidRPr="00C32E6C">
          <w:rPr>
            <w:rStyle w:val="Hyperlink"/>
            <w:sz w:val="24"/>
            <w:lang w:val="cs-CZ"/>
          </w:rPr>
          <w:t>http://data.europa.eu/eli/dec_impl/2020/1729/oj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19">
    <w:p w14:paraId="2CAEB6C4" w14:textId="63CD49A0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C 299, 11.9.2015, s. 7.</w:t>
      </w:r>
    </w:p>
  </w:footnote>
  <w:footnote w:id="20">
    <w:p w14:paraId="15DC9B69" w14:textId="2F888171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C, C/2024/2658, 29.4.2024,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8" w:history="1">
        <w:r w:rsidRPr="00C32E6C">
          <w:rPr>
            <w:rStyle w:val="Hyperlink"/>
            <w:sz w:val="24"/>
            <w:lang w:val="cs-CZ"/>
          </w:rPr>
          <w:t>http://data.europa.eu/eli/C/2024/2658/oj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21">
    <w:p w14:paraId="4B42B7F4" w14:textId="345DE414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C, C/2024/483, 23.1.2024, ELI:</w:t>
      </w:r>
      <w:r w:rsidRPr="00C32E6C">
        <w:rPr>
          <w:color w:val="000000" w:themeColor="text1"/>
          <w:sz w:val="24"/>
          <w:u w:color="0000FF"/>
          <w:lang w:val="cs-CZ"/>
        </w:rPr>
        <w:t xml:space="preserve"> </w:t>
      </w:r>
      <w:hyperlink r:id="rId19" w:history="1">
        <w:r w:rsidRPr="00C32E6C">
          <w:rPr>
            <w:rStyle w:val="Hyperlink"/>
            <w:sz w:val="24"/>
            <w:lang w:val="cs-CZ"/>
          </w:rPr>
          <w:t>http://data.europa.eu/eli/C/2024/483/oj</w:t>
        </w:r>
      </w:hyperlink>
      <w:r w:rsidRPr="00C32E6C">
        <w:rPr>
          <w:color w:val="000000" w:themeColor="text1"/>
          <w:sz w:val="24"/>
          <w:u w:color="0000FF"/>
          <w:lang w:val="cs-CZ"/>
        </w:rPr>
        <w:t>.</w:t>
      </w:r>
    </w:p>
  </w:footnote>
  <w:footnote w:id="22">
    <w:p w14:paraId="5997D6F1" w14:textId="512C637C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C 177, 17.5.2023, s. 35.</w:t>
      </w:r>
    </w:p>
  </w:footnote>
  <w:footnote w:id="23">
    <w:p w14:paraId="311DCA72" w14:textId="0000AE92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 věst. C 167, 11.5.2023, s. 77.</w:t>
      </w:r>
    </w:p>
  </w:footnote>
  <w:footnote w:id="24">
    <w:p w14:paraId="5EEC4AA8" w14:textId="693A178F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 342, 6.9.2022, s. 45.</w:t>
      </w:r>
    </w:p>
  </w:footnote>
  <w:footnote w:id="25">
    <w:p w14:paraId="29F907AB" w14:textId="3AEA8C96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 336, 2.9.2022, s. 20.</w:t>
      </w:r>
    </w:p>
  </w:footnote>
  <w:footnote w:id="26">
    <w:p w14:paraId="51A7EF88" w14:textId="132A92BB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 465, 17.11.2021, s. 11.</w:t>
      </w:r>
    </w:p>
  </w:footnote>
  <w:footnote w:id="27">
    <w:p w14:paraId="329D0807" w14:textId="6B1EB5A0" w:rsidR="00B75963" w:rsidRPr="00C32E6C" w:rsidRDefault="00B75963" w:rsidP="00C32E6C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C32E6C">
        <w:rPr>
          <w:rStyle w:val="FootnoteReference"/>
          <w:color w:val="000000" w:themeColor="text1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Úř. věst. C, C/2024/2657, 29.4.2024, ELI:</w:t>
      </w:r>
      <w:r w:rsidRPr="00C32E6C">
        <w:rPr>
          <w:color w:val="000000" w:themeColor="text1"/>
          <w:sz w:val="24"/>
          <w:lang w:val="cs-CZ"/>
        </w:rPr>
        <w:t xml:space="preserve"> </w:t>
      </w:r>
      <w:hyperlink r:id="rId20" w:history="1">
        <w:r w:rsidRPr="00C32E6C">
          <w:rPr>
            <w:rStyle w:val="Hyperlink"/>
            <w:sz w:val="24"/>
            <w:lang w:val="cs-CZ"/>
          </w:rPr>
          <w:t>http://data.europa.eu/eli/C/2024/2657/oj</w:t>
        </w:r>
      </w:hyperlink>
      <w:r w:rsidRPr="00C32E6C">
        <w:rPr>
          <w:color w:val="000000" w:themeColor="text1"/>
          <w:sz w:val="24"/>
          <w:lang w:val="cs-CZ"/>
        </w:rPr>
        <w:t>.</w:t>
      </w:r>
    </w:p>
  </w:footnote>
  <w:footnote w:id="28">
    <w:p w14:paraId="4D49C34B" w14:textId="461C5A5E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FAO, „The future of food and agriculture – Alternative pathways to 2050“ (Budoucnost potravin a zemědělství – alternativní cesty do roku 2050), </w:t>
      </w:r>
      <w:hyperlink r:id="rId21" w:history="1">
        <w:r w:rsidRPr="00C32E6C">
          <w:rPr>
            <w:rStyle w:val="Hyperlink"/>
            <w:sz w:val="24"/>
            <w:lang w:val="cs-CZ"/>
          </w:rPr>
          <w:t>https://www.fao.org/global-perspectives-studies/resources/detail/en/c/1157074/</w:t>
        </w:r>
      </w:hyperlink>
      <w:r w:rsidRPr="00C32E6C">
        <w:rPr>
          <w:sz w:val="24"/>
          <w:lang w:val="cs-CZ"/>
        </w:rPr>
        <w:t>.</w:t>
      </w:r>
    </w:p>
  </w:footnote>
  <w:footnote w:id="29">
    <w:p w14:paraId="268EBA01" w14:textId="47B9DD36" w:rsidR="00B75963" w:rsidRPr="00A033D5" w:rsidRDefault="00B75963" w:rsidP="00A033D5">
      <w:pPr>
        <w:pStyle w:val="FootnoteText"/>
        <w:ind w:left="567" w:hanging="567"/>
        <w:rPr>
          <w:sz w:val="24"/>
          <w:vertAlign w:val="superscript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Evropská agentura pro léčivé přípravky, „European sales and use of antimicrobials for veterinary medicine“, 31. března 2025, </w:t>
      </w:r>
      <w:hyperlink r:id="rId22" w:history="1">
        <w:r w:rsidRPr="00C32E6C">
          <w:rPr>
            <w:rStyle w:val="Hyperlink"/>
            <w:sz w:val="24"/>
            <w:lang w:val="cs-CZ"/>
          </w:rPr>
          <w:t>https://www.ema.europa.eu/en/documents/report/european-sales-use-antimicrobials-veterinary-medicine-annual-surveillance-report-2023_en.pdf</w:t>
        </w:r>
      </w:hyperlink>
      <w:r w:rsidRPr="00C32E6C">
        <w:rPr>
          <w:sz w:val="24"/>
          <w:lang w:val="cs-CZ"/>
        </w:rPr>
        <w:t>.</w:t>
      </w:r>
    </w:p>
  </w:footnote>
  <w:footnote w:id="30">
    <w:p w14:paraId="4C827581" w14:textId="5D4BD2A6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Nařízení Komise (EU) 2022/2472 ze dne 14. prosince 2022, kterým se v souladu s články 107 a 108 Smlouvy o fungování Evropské unie prohlašují určité kategorie podpory v odvětvích zemědělství a lesnictví a ve venkovských oblastech za slučitelné s vnitřním trhem (Úř. věst. L 327, 21.12.2022, s. 1, ELI: </w:t>
      </w:r>
      <w:hyperlink r:id="rId23" w:tooltip="Umožňuje přístup k tomuto dokumentu prostřednictvím jeho identifikátoru URI v systému ELI." w:history="1">
        <w:r w:rsidRPr="00C32E6C">
          <w:rPr>
            <w:rStyle w:val="Hyperlink"/>
            <w:sz w:val="24"/>
            <w:lang w:val="cs-CZ"/>
          </w:rPr>
          <w:t>http://data.europa.eu/eli/reg/2022/2472/oj</w:t>
        </w:r>
      </w:hyperlink>
      <w:r w:rsidRPr="00C32E6C">
        <w:rPr>
          <w:sz w:val="24"/>
          <w:lang w:val="cs-CZ"/>
        </w:rPr>
        <w:t xml:space="preserve">). </w:t>
      </w:r>
    </w:p>
  </w:footnote>
  <w:footnote w:id="31">
    <w:p w14:paraId="43E2B818" w14:textId="79879606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Směrnice Rady 92/43/EHS ze dne 21. května 1992 o ochraně přírodních stanovišť, volně žijících živočichů a planě rostoucích rostlin (Úř. věst. L 206, 22.7.1992, s. 7, ELI: </w:t>
      </w:r>
      <w:hyperlink r:id="rId24" w:tooltip="Umožňuje přístup k tomuto dokumentu prostřednictvím jeho identifikátoru URI v systému ELI." w:history="1">
        <w:r w:rsidRPr="00C32E6C">
          <w:rPr>
            <w:rStyle w:val="Hyperlink"/>
            <w:sz w:val="24"/>
            <w:lang w:val="cs-CZ"/>
          </w:rPr>
          <w:t>http://data.europa.eu/eli/dir/1992/43/oj</w:t>
        </w:r>
      </w:hyperlink>
      <w:r w:rsidRPr="00C32E6C">
        <w:rPr>
          <w:sz w:val="24"/>
          <w:lang w:val="cs-CZ"/>
        </w:rPr>
        <w:t xml:space="preserve">). </w:t>
      </w:r>
    </w:p>
  </w:footnote>
  <w:footnote w:id="32">
    <w:p w14:paraId="6BBD4F93" w14:textId="6EE650B1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Směrnice Rady 91/676/EHS ze dne 12. prosince 1991 o ochraně vod před znečištěním dusičnany ze zemědělských zdrojů (Úř. věst. L 375, 31.12.1991, s. 1, ELI: </w:t>
      </w:r>
      <w:hyperlink r:id="rId25" w:tooltip="Umožňuje přístup k tomuto dokumentu prostřednictvím jeho identifikátoru URI v systému ELI." w:history="1">
        <w:r w:rsidRPr="00C32E6C">
          <w:rPr>
            <w:rStyle w:val="Hyperlink"/>
            <w:sz w:val="24"/>
            <w:lang w:val="cs-CZ"/>
          </w:rPr>
          <w:t>http://data.europa.eu/eli/dir/1991/676/oj</w:t>
        </w:r>
      </w:hyperlink>
      <w:r w:rsidRPr="00C32E6C">
        <w:rPr>
          <w:sz w:val="24"/>
          <w:lang w:val="cs-CZ"/>
        </w:rPr>
        <w:t>).</w:t>
      </w:r>
      <w:r w:rsidRPr="00C32E6C">
        <w:rPr>
          <w:i/>
          <w:sz w:val="24"/>
          <w:lang w:val="cs-CZ"/>
        </w:rPr>
        <w:t xml:space="preserve"> </w:t>
      </w:r>
    </w:p>
  </w:footnote>
  <w:footnote w:id="33">
    <w:p w14:paraId="58A2B8F4" w14:textId="76924AA9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 xml:space="preserve">Nařízení Evropského parlamentu a Rady (EU) č. 1169/2011 ze dne 25. října 2011 o poskytování informací o potravinách spotřebitelům, o změně nařízení Evropského parlamentu a Rady (ES) č. 1924/2006 a (ES) č. 1925/2006 a o zrušení směrnice Komise 87/250/EHS, směrnice Rady 90/496/EHS, směrnice Komise 1999/10/ES, směrnice Evropského parlamentu a Rady 2000/13/ES, směrnic Komise 2002/67/ES a 2008/5/ES a nařízení Komise (ES) č. 608/2004 (Úř. věst. L 304, 22.11.2011, s. 18, ELI: </w:t>
      </w:r>
      <w:hyperlink r:id="rId26" w:history="1">
        <w:r w:rsidR="005712B5" w:rsidRPr="00555644">
          <w:rPr>
            <w:rStyle w:val="Hyperlink"/>
            <w:sz w:val="24"/>
            <w:lang w:val="cs-CZ"/>
          </w:rPr>
          <w:t>http://data.europa.eu/eli/reg/2011/1169/oj</w:t>
        </w:r>
      </w:hyperlink>
      <w:r w:rsidRPr="00C32E6C">
        <w:rPr>
          <w:sz w:val="24"/>
          <w:lang w:val="cs-CZ"/>
        </w:rPr>
        <w:t>).</w:t>
      </w:r>
    </w:p>
  </w:footnote>
  <w:footnote w:id="34">
    <w:p w14:paraId="759E60E6" w14:textId="1EB2EF84" w:rsidR="00B75963" w:rsidRPr="00C32E6C" w:rsidRDefault="00B75963" w:rsidP="00C32E6C">
      <w:pPr>
        <w:pStyle w:val="FootnoteText"/>
        <w:ind w:left="567" w:hanging="567"/>
        <w:rPr>
          <w:sz w:val="24"/>
          <w:lang w:val="cs-CZ"/>
        </w:rPr>
      </w:pPr>
      <w:r w:rsidRPr="00C32E6C">
        <w:rPr>
          <w:rStyle w:val="FootnoteReference"/>
          <w:sz w:val="24"/>
          <w:lang w:val="cs-CZ"/>
        </w:rPr>
        <w:footnoteRef/>
      </w:r>
      <w:r w:rsidR="00C32E6C" w:rsidRPr="00C32E6C">
        <w:rPr>
          <w:sz w:val="24"/>
          <w:lang w:val="cs-CZ"/>
        </w:rPr>
        <w:t xml:space="preserve"> </w:t>
      </w:r>
      <w:r w:rsidR="00C32E6C" w:rsidRPr="00C32E6C">
        <w:rPr>
          <w:sz w:val="24"/>
          <w:lang w:val="cs-CZ"/>
        </w:rPr>
        <w:tab/>
      </w:r>
      <w:r w:rsidRPr="00C32E6C">
        <w:rPr>
          <w:sz w:val="24"/>
          <w:lang w:val="cs-CZ"/>
        </w:rPr>
        <w:t>Nařízení Evropského parlamentu a Rady (EU) 2016/429 ze dne 9. března 2016 o nákazách zvířat a o změně a zrušení některých aktů v oblasti zdraví zvířat („právní rámec pro zdraví zvířat“) (Úř. věst. L 84, 31.3.2016, s. 1, ELI: </w:t>
      </w:r>
      <w:hyperlink r:id="rId27" w:tooltip="Umožňuje přístup k tomuto dokumentu prostřednictvím jeho identifikátoru URI v systému ELI." w:history="1">
        <w:r w:rsidRPr="00C32E6C">
          <w:rPr>
            <w:rStyle w:val="Hyperlink"/>
            <w:sz w:val="24"/>
            <w:lang w:val="cs-CZ"/>
          </w:rPr>
          <w:t>http://data.europa.eu/eli/reg/2016/429/oj</w:t>
        </w:r>
      </w:hyperlink>
      <w:r w:rsidRPr="00C32E6C">
        <w:rPr>
          <w:sz w:val="24"/>
          <w:lang w:val="cs-CZ"/>
        </w:rPr>
        <w:t>).</w:t>
      </w:r>
      <w:r w:rsidRPr="00C32E6C">
        <w:rPr>
          <w:i/>
          <w:sz w:val="24"/>
          <w:lang w:val="cs-CZ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F054" w14:textId="77777777" w:rsidR="00064002" w:rsidRPr="00C32E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CFA5" w14:textId="77777777" w:rsidR="00064002" w:rsidRPr="00C32E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6CCD" w14:textId="77777777" w:rsidR="00064002" w:rsidRPr="00C32E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F654581"/>
    <w:multiLevelType w:val="hybridMultilevel"/>
    <w:tmpl w:val="F16C6036"/>
    <w:lvl w:ilvl="0" w:tplc="AE86BF38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A71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04A8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880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8FC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D2C7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AB5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AD8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624F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C09CF"/>
    <w:multiLevelType w:val="hybridMultilevel"/>
    <w:tmpl w:val="0DAA9F68"/>
    <w:lvl w:ilvl="0" w:tplc="142C39E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EDDA729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82078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A8B4D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0CB6D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5E2715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8EE487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890E06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B2AE6D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894398">
    <w:abstractNumId w:val="0"/>
  </w:num>
  <w:num w:numId="2" w16cid:durableId="2039427601">
    <w:abstractNumId w:val="1"/>
  </w:num>
  <w:num w:numId="3" w16cid:durableId="1590962913">
    <w:abstractNumId w:val="2"/>
  </w:num>
  <w:num w:numId="4" w16cid:durableId="36190501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8/2026"/>
    <w:docVar w:name="dvlangue" w:val="CS"/>
    <w:docVar w:name="dvnumam" w:val="0"/>
    <w:docVar w:name="dvpe" w:val="774.483"/>
    <w:docVar w:name="dvrapporteur" w:val="Zpravodaj: "/>
    <w:docVar w:name="dvtitre" w:val="Usnesení Evropského parlamentu ze dne.... 2026 o tom, jak zajistit udržitelnou budoucnost odvětví živočišné výroby v EU s ohledem na potřebu zajistit potravinové zabezpečení a odolnost zemědělců a na výzvy, které představují nemoci zvířat(2025/2053(INI))"/>
  </w:docVars>
  <w:rsids>
    <w:rsidRoot w:val="00E23000"/>
    <w:rsid w:val="00002272"/>
    <w:rsid w:val="000034E9"/>
    <w:rsid w:val="00064002"/>
    <w:rsid w:val="000677B9"/>
    <w:rsid w:val="000831BA"/>
    <w:rsid w:val="000A42CC"/>
    <w:rsid w:val="000A50E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A5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2B5"/>
    <w:rsid w:val="005C2568"/>
    <w:rsid w:val="005F1B17"/>
    <w:rsid w:val="006037C0"/>
    <w:rsid w:val="00651DD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74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BF3"/>
    <w:rsid w:val="00981893"/>
    <w:rsid w:val="00A033D5"/>
    <w:rsid w:val="00A1687D"/>
    <w:rsid w:val="00A3194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963"/>
    <w:rsid w:val="00BB0AD5"/>
    <w:rsid w:val="00BD48FE"/>
    <w:rsid w:val="00BD7BD8"/>
    <w:rsid w:val="00BE6ADC"/>
    <w:rsid w:val="00C05BFE"/>
    <w:rsid w:val="00C23CD4"/>
    <w:rsid w:val="00C32E6C"/>
    <w:rsid w:val="00C61C0C"/>
    <w:rsid w:val="00C941CB"/>
    <w:rsid w:val="00CB1F58"/>
    <w:rsid w:val="00CC2357"/>
    <w:rsid w:val="00CF071A"/>
    <w:rsid w:val="00D058B8"/>
    <w:rsid w:val="00D56C11"/>
    <w:rsid w:val="00D834A0"/>
    <w:rsid w:val="00D872DF"/>
    <w:rsid w:val="00D91E21"/>
    <w:rsid w:val="00DA7FCD"/>
    <w:rsid w:val="00E230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64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A9820"/>
  <w15:chartTrackingRefBased/>
  <w15:docId w15:val="{D9DE4B2C-A394-4CED-86B5-17797EAA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7596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7596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7596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7596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7596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7596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7596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7596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7596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75963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B75963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B75963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B75963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B75963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B759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B75963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B75963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B75963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B75963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B75963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B75963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B75963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B75963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B75963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B75963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B75963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B75963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B75963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B75963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B75963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B75963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B7596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B75963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B75963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B75963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B75963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B75963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B75963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B75963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B75963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B75963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B759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B75963"/>
    <w:pPr>
      <w:spacing w:before="240" w:after="240"/>
      <w:jc w:val="right"/>
    </w:pPr>
  </w:style>
  <w:style w:type="paragraph" w:customStyle="1" w:styleId="AnnexWPDate">
    <w:name w:val="AnnexWPDate"/>
    <w:basedOn w:val="Normal"/>
    <w:rsid w:val="00B75963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B75963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B75963"/>
    <w:pPr>
      <w:spacing w:before="120" w:after="120"/>
    </w:pPr>
  </w:style>
  <w:style w:type="paragraph" w:customStyle="1" w:styleId="AnnexWPSmall">
    <w:name w:val="AnnexWPSmall"/>
    <w:basedOn w:val="Normal"/>
    <w:rsid w:val="00B75963"/>
    <w:rPr>
      <w:smallCaps/>
      <w:sz w:val="20"/>
    </w:rPr>
  </w:style>
  <w:style w:type="paragraph" w:customStyle="1" w:styleId="AnnexWPTabs">
    <w:name w:val="AnnexWPTabs"/>
    <w:basedOn w:val="Normal"/>
    <w:rsid w:val="00B75963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B75963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B75963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B75963"/>
    <w:pPr>
      <w:spacing w:after="240"/>
      <w:ind w:left="1418"/>
    </w:pPr>
  </w:style>
  <w:style w:type="paragraph" w:customStyle="1" w:styleId="Confidential">
    <w:name w:val="Confidential"/>
    <w:basedOn w:val="Normal"/>
    <w:rsid w:val="00B75963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B75963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B75963"/>
    <w:pPr>
      <w:spacing w:before="240" w:after="1200"/>
    </w:pPr>
  </w:style>
  <w:style w:type="paragraph" w:customStyle="1" w:styleId="CoverDocType">
    <w:name w:val="CoverDocType"/>
    <w:basedOn w:val="Normal"/>
    <w:rsid w:val="00B75963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B75963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B75963"/>
    <w:pPr>
      <w:spacing w:after="240"/>
      <w:jc w:val="center"/>
    </w:pPr>
  </w:style>
  <w:style w:type="paragraph" w:customStyle="1" w:styleId="Normal6a">
    <w:name w:val="Normal6a"/>
    <w:basedOn w:val="Normal"/>
    <w:rsid w:val="00B75963"/>
    <w:pPr>
      <w:spacing w:after="120"/>
    </w:pPr>
  </w:style>
  <w:style w:type="paragraph" w:customStyle="1" w:styleId="NormalBold12b">
    <w:name w:val="NormalBold12b"/>
    <w:basedOn w:val="Normal"/>
    <w:rsid w:val="00B75963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B75963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B75963"/>
    <w:rPr>
      <w:b/>
    </w:rPr>
  </w:style>
  <w:style w:type="character" w:customStyle="1" w:styleId="BoldItalic">
    <w:name w:val="BoldItalic"/>
    <w:uiPriority w:val="1"/>
    <w:rsid w:val="00B75963"/>
    <w:rPr>
      <w:b/>
      <w:i/>
      <w:u w:val="none"/>
    </w:rPr>
  </w:style>
  <w:style w:type="character" w:customStyle="1" w:styleId="BoldItalicUnderline">
    <w:name w:val="BoldItalicUnderline"/>
    <w:uiPriority w:val="1"/>
    <w:rsid w:val="00B75963"/>
    <w:rPr>
      <w:b/>
      <w:i/>
      <w:u w:val="single"/>
    </w:rPr>
  </w:style>
  <w:style w:type="character" w:customStyle="1" w:styleId="BoldUnderline">
    <w:name w:val="BoldUnderline"/>
    <w:uiPriority w:val="1"/>
    <w:rsid w:val="00B75963"/>
    <w:rPr>
      <w:b/>
      <w:u w:val="single"/>
    </w:rPr>
  </w:style>
  <w:style w:type="paragraph" w:customStyle="1" w:styleId="CoverNormalLeft">
    <w:name w:val="CoverNormalLeft"/>
    <w:basedOn w:val="CoverNormal"/>
    <w:qFormat/>
    <w:rsid w:val="00B75963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B75963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B75963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B75963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B75963"/>
    <w:rPr>
      <w:i/>
    </w:rPr>
  </w:style>
  <w:style w:type="character" w:customStyle="1" w:styleId="ItalicUnderline">
    <w:name w:val="ItalicUnderline"/>
    <w:uiPriority w:val="1"/>
    <w:rsid w:val="00B75963"/>
    <w:rPr>
      <w:i/>
      <w:u w:val="single"/>
    </w:rPr>
  </w:style>
  <w:style w:type="paragraph" w:customStyle="1" w:styleId="LegendSign">
    <w:name w:val="LegendSign"/>
    <w:basedOn w:val="Normal"/>
    <w:qFormat/>
    <w:rsid w:val="00B75963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B75963"/>
    <w:pPr>
      <w:ind w:left="0" w:firstLine="0"/>
    </w:pPr>
  </w:style>
  <w:style w:type="paragraph" w:customStyle="1" w:styleId="LegendTitle">
    <w:name w:val="LegendTitle"/>
    <w:basedOn w:val="Normal"/>
    <w:qFormat/>
    <w:rsid w:val="00B75963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B75963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B75963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B75963"/>
    <w:pPr>
      <w:spacing w:after="240"/>
    </w:pPr>
  </w:style>
  <w:style w:type="paragraph" w:customStyle="1" w:styleId="Normal12b">
    <w:name w:val="Normal12b"/>
    <w:basedOn w:val="Normal"/>
    <w:qFormat/>
    <w:rsid w:val="00B75963"/>
    <w:pPr>
      <w:spacing w:before="240"/>
    </w:pPr>
  </w:style>
  <w:style w:type="paragraph" w:customStyle="1" w:styleId="NormalBoldUnderline24b">
    <w:name w:val="NormalBoldUnderline24b"/>
    <w:basedOn w:val="Normal"/>
    <w:qFormat/>
    <w:rsid w:val="00B75963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B75963"/>
    <w:pPr>
      <w:spacing w:after="240"/>
    </w:pPr>
  </w:style>
  <w:style w:type="paragraph" w:customStyle="1" w:styleId="Normal12aBullet1">
    <w:name w:val="Normal12aBullet1"/>
    <w:basedOn w:val="Normal"/>
    <w:qFormat/>
    <w:rsid w:val="00B75963"/>
    <w:pPr>
      <w:widowControl/>
      <w:numPr>
        <w:numId w:val="3"/>
      </w:numPr>
    </w:pPr>
  </w:style>
  <w:style w:type="paragraph" w:customStyle="1" w:styleId="Normal12aBullet2">
    <w:name w:val="Normal12aBullet2"/>
    <w:basedOn w:val="Normal"/>
    <w:qFormat/>
    <w:rsid w:val="00B75963"/>
    <w:pPr>
      <w:numPr>
        <w:numId w:val="4"/>
      </w:numPr>
    </w:pPr>
  </w:style>
  <w:style w:type="paragraph" w:customStyle="1" w:styleId="NormalHanging12a1">
    <w:name w:val="NormalHanging12a1"/>
    <w:basedOn w:val="Normal"/>
    <w:qFormat/>
    <w:rsid w:val="00B75963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B75963"/>
    <w:pPr>
      <w:ind w:left="1417"/>
    </w:pPr>
  </w:style>
  <w:style w:type="paragraph" w:customStyle="1" w:styleId="NormalHanging12a3">
    <w:name w:val="NormalHanging12a3"/>
    <w:basedOn w:val="NormalHanging12a2"/>
    <w:qFormat/>
    <w:rsid w:val="00B75963"/>
    <w:pPr>
      <w:ind w:left="1843"/>
    </w:pPr>
  </w:style>
  <w:style w:type="paragraph" w:customStyle="1" w:styleId="NormalHanging12a4">
    <w:name w:val="NormalHanging12a4"/>
    <w:basedOn w:val="NormalHanging12a3"/>
    <w:qFormat/>
    <w:rsid w:val="00B75963"/>
    <w:pPr>
      <w:ind w:left="2268"/>
    </w:pPr>
  </w:style>
  <w:style w:type="paragraph" w:customStyle="1" w:styleId="NormalHanging12a5">
    <w:name w:val="NormalHanging12a5"/>
    <w:basedOn w:val="NormalHanging12a4"/>
    <w:qFormat/>
    <w:rsid w:val="00B75963"/>
    <w:pPr>
      <w:ind w:left="2693"/>
    </w:pPr>
  </w:style>
  <w:style w:type="paragraph" w:customStyle="1" w:styleId="NormalHanging12a6">
    <w:name w:val="NormalHanging12a6"/>
    <w:basedOn w:val="NormalHanging12a5"/>
    <w:qFormat/>
    <w:rsid w:val="00B75963"/>
    <w:pPr>
      <w:ind w:left="3118"/>
    </w:pPr>
  </w:style>
  <w:style w:type="paragraph" w:customStyle="1" w:styleId="NormalHanging12a7">
    <w:name w:val="NormalHanging12a7"/>
    <w:basedOn w:val="NormalHanging12a6"/>
    <w:qFormat/>
    <w:rsid w:val="00B75963"/>
    <w:pPr>
      <w:ind w:left="3544"/>
    </w:pPr>
  </w:style>
  <w:style w:type="paragraph" w:customStyle="1" w:styleId="NormalHangingCenter">
    <w:name w:val="NormalHangingCenter"/>
    <w:basedOn w:val="Normal"/>
    <w:qFormat/>
    <w:rsid w:val="00B75963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B75963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B75963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B75963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B75963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B75963"/>
    <w:rPr>
      <w:b/>
      <w:i/>
    </w:rPr>
  </w:style>
  <w:style w:type="paragraph" w:customStyle="1" w:styleId="NormalBoldItalicCenter6a">
    <w:name w:val="NormalBoldItalicCenter6a"/>
    <w:basedOn w:val="Normal6a"/>
    <w:qFormat/>
    <w:rsid w:val="00B75963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B75963"/>
    <w:rPr>
      <w:i/>
    </w:rPr>
  </w:style>
  <w:style w:type="paragraph" w:customStyle="1" w:styleId="PageHeadingNotTOC">
    <w:name w:val="PageHeadingNotTOC"/>
    <w:basedOn w:val="PageHeading"/>
    <w:rsid w:val="00B75963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B75963"/>
    <w:rPr>
      <w:vertAlign w:val="subscript"/>
    </w:rPr>
  </w:style>
  <w:style w:type="character" w:customStyle="1" w:styleId="SubBold">
    <w:name w:val="SubBold"/>
    <w:uiPriority w:val="1"/>
    <w:qFormat/>
    <w:rsid w:val="00B75963"/>
    <w:rPr>
      <w:b/>
      <w:vertAlign w:val="subscript"/>
    </w:rPr>
  </w:style>
  <w:style w:type="character" w:customStyle="1" w:styleId="SubBoldItalic">
    <w:name w:val="SubBoldItalic"/>
    <w:uiPriority w:val="1"/>
    <w:rsid w:val="00B75963"/>
    <w:rPr>
      <w:b/>
      <w:i/>
      <w:vertAlign w:val="subscript"/>
    </w:rPr>
  </w:style>
  <w:style w:type="character" w:customStyle="1" w:styleId="SubItalic">
    <w:name w:val="SubItalic"/>
    <w:uiPriority w:val="1"/>
    <w:qFormat/>
    <w:rsid w:val="00B75963"/>
    <w:rPr>
      <w:b/>
      <w:i/>
      <w:vertAlign w:val="subscript"/>
    </w:rPr>
  </w:style>
  <w:style w:type="character" w:customStyle="1" w:styleId="Sup">
    <w:name w:val="Sup"/>
    <w:uiPriority w:val="1"/>
    <w:rsid w:val="00B75963"/>
    <w:rPr>
      <w:vertAlign w:val="superscript"/>
    </w:rPr>
  </w:style>
  <w:style w:type="character" w:customStyle="1" w:styleId="SupBoldItalic">
    <w:name w:val="SupBoldItalic"/>
    <w:uiPriority w:val="1"/>
    <w:qFormat/>
    <w:rsid w:val="00B75963"/>
    <w:rPr>
      <w:b/>
      <w:i/>
      <w:vertAlign w:val="superscript"/>
    </w:rPr>
  </w:style>
  <w:style w:type="character" w:customStyle="1" w:styleId="Underline">
    <w:name w:val="Underline"/>
    <w:uiPriority w:val="1"/>
    <w:rsid w:val="00B75963"/>
    <w:rPr>
      <w:u w:val="single"/>
    </w:rPr>
  </w:style>
  <w:style w:type="paragraph" w:customStyle="1" w:styleId="NormalBoldCenter">
    <w:name w:val="NormalBoldCenter"/>
    <w:basedOn w:val="Normal"/>
    <w:rsid w:val="00B75963"/>
    <w:pPr>
      <w:jc w:val="center"/>
    </w:pPr>
    <w:rPr>
      <w:b/>
    </w:rPr>
  </w:style>
  <w:style w:type="paragraph" w:customStyle="1" w:styleId="ProcedureTable">
    <w:name w:val="ProcedureTable"/>
    <w:basedOn w:val="Normal"/>
    <w:rsid w:val="00B75963"/>
    <w:rPr>
      <w:sz w:val="20"/>
    </w:rPr>
  </w:style>
  <w:style w:type="paragraph" w:customStyle="1" w:styleId="ProcedureTableBold">
    <w:name w:val="ProcedureTableBold"/>
    <w:basedOn w:val="Normal"/>
    <w:rsid w:val="00B75963"/>
    <w:rPr>
      <w:b/>
      <w:sz w:val="20"/>
    </w:rPr>
  </w:style>
  <w:style w:type="paragraph" w:customStyle="1" w:styleId="NormalCenter">
    <w:name w:val="NormalCenter"/>
    <w:basedOn w:val="Normal"/>
    <w:rsid w:val="00B75963"/>
    <w:pPr>
      <w:jc w:val="center"/>
    </w:pPr>
  </w:style>
  <w:style w:type="character" w:customStyle="1" w:styleId="SubBoldItalicUnderline">
    <w:name w:val="SubBoldItalicUnderline"/>
    <w:uiPriority w:val="1"/>
    <w:rsid w:val="00B75963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B75963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B75963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B75963"/>
    <w:rPr>
      <w:u w:val="single"/>
      <w:vertAlign w:val="subscript"/>
    </w:rPr>
  </w:style>
  <w:style w:type="character" w:customStyle="1" w:styleId="SupBold">
    <w:name w:val="SupBold"/>
    <w:uiPriority w:val="1"/>
    <w:rsid w:val="00B75963"/>
    <w:rPr>
      <w:b/>
      <w:vertAlign w:val="superscript"/>
    </w:rPr>
  </w:style>
  <w:style w:type="character" w:customStyle="1" w:styleId="SupBoldItalicUnderline">
    <w:name w:val="SupBoldItalicUnderline"/>
    <w:uiPriority w:val="1"/>
    <w:rsid w:val="00B75963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B75963"/>
    <w:rPr>
      <w:b/>
      <w:u w:val="single"/>
      <w:vertAlign w:val="superscript"/>
    </w:rPr>
  </w:style>
  <w:style w:type="character" w:customStyle="1" w:styleId="SupItalic">
    <w:name w:val="SupItalic"/>
    <w:uiPriority w:val="1"/>
    <w:rsid w:val="00B75963"/>
    <w:rPr>
      <w:i/>
      <w:vertAlign w:val="superscript"/>
    </w:rPr>
  </w:style>
  <w:style w:type="character" w:customStyle="1" w:styleId="SupItalicUnderline">
    <w:name w:val="SupItalicUnderline"/>
    <w:uiPriority w:val="1"/>
    <w:rsid w:val="00B75963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B75963"/>
    <w:rPr>
      <w:u w:val="single"/>
      <w:vertAlign w:val="superscript"/>
    </w:rPr>
  </w:style>
  <w:style w:type="paragraph" w:customStyle="1" w:styleId="Normal24a">
    <w:name w:val="Normal24a"/>
    <w:basedOn w:val="Normal"/>
    <w:rsid w:val="00B75963"/>
    <w:pPr>
      <w:spacing w:after="480"/>
    </w:pPr>
  </w:style>
  <w:style w:type="paragraph" w:customStyle="1" w:styleId="Normal12a24b">
    <w:name w:val="Normal12a24b"/>
    <w:basedOn w:val="Normal"/>
    <w:rsid w:val="00B75963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B75963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uiPriority w:val="99"/>
    <w:rsid w:val="00B75963"/>
    <w:rPr>
      <w:color w:val="0000FF"/>
      <w:u w:val="single"/>
    </w:rPr>
  </w:style>
  <w:style w:type="paragraph" w:styleId="Revision">
    <w:name w:val="Revision"/>
    <w:hidden/>
    <w:uiPriority w:val="99"/>
    <w:semiHidden/>
    <w:rsid w:val="00B75963"/>
    <w:rPr>
      <w:snapToGrid w:val="0"/>
      <w:sz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75963"/>
    <w:rPr>
      <w:snapToGrid w:val="0"/>
      <w:sz w:val="24"/>
      <w:lang w:val="cs-CZ" w:eastAsia="en-US"/>
    </w:rPr>
  </w:style>
  <w:style w:type="paragraph" w:customStyle="1" w:styleId="RollCallVotes">
    <w:name w:val="RollCallVotes"/>
    <w:basedOn w:val="Normal"/>
    <w:rsid w:val="00B7596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7596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7596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75963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75963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B75963"/>
    <w:rPr>
      <w:snapToGrid w:val="0"/>
      <w:sz w:val="24"/>
      <w:lang w:val="cs-C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59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7596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75963"/>
    <w:pPr>
      <w:ind w:left="720"/>
      <w:contextualSpacing/>
    </w:pPr>
    <w:rPr>
      <w:snapToGrid w:val="0"/>
      <w:lang w:eastAsia="en-US"/>
    </w:rPr>
  </w:style>
  <w:style w:type="paragraph" w:styleId="CommentText">
    <w:name w:val="annotation text"/>
    <w:basedOn w:val="Normal"/>
    <w:link w:val="CommentTextChar"/>
    <w:unhideWhenUsed/>
    <w:rsid w:val="00B75963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B75963"/>
    <w:rPr>
      <w:lang w:val="cs-CZ" w:eastAsia="en-US"/>
    </w:rPr>
  </w:style>
  <w:style w:type="character" w:styleId="CommentReference">
    <w:name w:val="annotation reference"/>
    <w:basedOn w:val="DefaultParagraphFont"/>
    <w:unhideWhenUsed/>
    <w:rsid w:val="00B759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75963"/>
    <w:pPr>
      <w:snapToGrid/>
    </w:pPr>
    <w:rPr>
      <w:b/>
      <w:bCs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B75963"/>
    <w:rPr>
      <w:b/>
      <w:bCs/>
      <w:snapToGrid w:val="0"/>
      <w:lang w:val="cs-CZ" w:eastAsia="en-US"/>
    </w:rPr>
  </w:style>
  <w:style w:type="paragraph" w:styleId="NormalWeb">
    <w:name w:val="Normal (Web)"/>
    <w:basedOn w:val="Normal"/>
    <w:rsid w:val="00B75963"/>
    <w:rPr>
      <w:snapToGrid w:val="0"/>
      <w:szCs w:val="24"/>
      <w:lang w:eastAsia="en-US"/>
    </w:rPr>
  </w:style>
  <w:style w:type="paragraph" w:customStyle="1" w:styleId="Footprint12b">
    <w:name w:val="Footprint12b"/>
    <w:basedOn w:val="Normal"/>
    <w:rsid w:val="00B7596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7596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impl/2020/2002/oj" TargetMode="External"/><Relationship Id="rId13" Type="http://schemas.openxmlformats.org/officeDocument/2006/relationships/hyperlink" Target="http://data.europa.eu/eli/dir/1998/58/oj" TargetMode="External"/><Relationship Id="rId18" Type="http://schemas.openxmlformats.org/officeDocument/2006/relationships/hyperlink" Target="http://data.europa.eu/eli/C/2024/2658/oj" TargetMode="External"/><Relationship Id="rId26" Type="http://schemas.openxmlformats.org/officeDocument/2006/relationships/hyperlink" Target="http://data.europa.eu/eli/reg/2011/1169/oj" TargetMode="External"/><Relationship Id="rId3" Type="http://schemas.openxmlformats.org/officeDocument/2006/relationships/hyperlink" Target="http://data.europa.eu/eli/reg/2021/2117/oj" TargetMode="External"/><Relationship Id="rId21" Type="http://schemas.openxmlformats.org/officeDocument/2006/relationships/hyperlink" Target="https://www.fao.org/global-perspectives-studies/resources/detail/en/c/1157074/" TargetMode="External"/><Relationship Id="rId7" Type="http://schemas.openxmlformats.org/officeDocument/2006/relationships/hyperlink" Target="http://data.europa.eu/eli/reg/2016/429/oj" TargetMode="External"/><Relationship Id="rId12" Type="http://schemas.openxmlformats.org/officeDocument/2006/relationships/hyperlink" Target="http://data.europa.eu/eli/reg_del/2020/687/oj" TargetMode="External"/><Relationship Id="rId17" Type="http://schemas.openxmlformats.org/officeDocument/2006/relationships/hyperlink" Target="http://data.europa.eu/eli/dec_impl/2020/1729/oj" TargetMode="External"/><Relationship Id="rId25" Type="http://schemas.openxmlformats.org/officeDocument/2006/relationships/hyperlink" Target="http://data.europa.eu/eli/dir/1991/676/oj" TargetMode="External"/><Relationship Id="rId2" Type="http://schemas.openxmlformats.org/officeDocument/2006/relationships/hyperlink" Target="http://data.europa.eu/eli/reg/2021/2116/oj" TargetMode="External"/><Relationship Id="rId16" Type="http://schemas.openxmlformats.org/officeDocument/2006/relationships/hyperlink" Target="http://data.europa.eu/eli/reg/2019/6/oj" TargetMode="External"/><Relationship Id="rId20" Type="http://schemas.openxmlformats.org/officeDocument/2006/relationships/hyperlink" Target="http://data.europa.eu/eli/C/2024/2657/oj" TargetMode="External"/><Relationship Id="rId1" Type="http://schemas.openxmlformats.org/officeDocument/2006/relationships/hyperlink" Target="http://data.europa.eu/eli/reg/2021/2115/oj" TargetMode="External"/><Relationship Id="rId6" Type="http://schemas.openxmlformats.org/officeDocument/2006/relationships/hyperlink" Target="https://agriculture.ec.europa.eu/document/download/171329ff-0f50-4fa5-946f-aea11032172e_en?filename=strategic-dialogue-report-2024_en.pdf" TargetMode="External"/><Relationship Id="rId11" Type="http://schemas.openxmlformats.org/officeDocument/2006/relationships/hyperlink" Target="http://data.europa.eu/eli/dir/2003/99/oj" TargetMode="External"/><Relationship Id="rId24" Type="http://schemas.openxmlformats.org/officeDocument/2006/relationships/hyperlink" Target="http://data.europa.eu/eli/dir/1992/43/oj" TargetMode="External"/><Relationship Id="rId5" Type="http://schemas.openxmlformats.org/officeDocument/2006/relationships/hyperlink" Target="http://data.europa.eu/eli/reg/2024/3012/oj" TargetMode="External"/><Relationship Id="rId15" Type="http://schemas.openxmlformats.org/officeDocument/2006/relationships/hyperlink" Target="http://data.europa.eu/eli/reg/2009/1099/oj" TargetMode="External"/><Relationship Id="rId23" Type="http://schemas.openxmlformats.org/officeDocument/2006/relationships/hyperlink" Target="http://data.europa.eu/eli/reg/2022/2472/oj" TargetMode="External"/><Relationship Id="rId10" Type="http://schemas.openxmlformats.org/officeDocument/2006/relationships/hyperlink" Target="http://data.europa.eu/eli/reg/2009/1069/oj" TargetMode="External"/><Relationship Id="rId19" Type="http://schemas.openxmlformats.org/officeDocument/2006/relationships/hyperlink" Target="http://data.europa.eu/eli/C/2024/483/oj" TargetMode="External"/><Relationship Id="rId4" Type="http://schemas.openxmlformats.org/officeDocument/2006/relationships/hyperlink" Target="http://data.europa.eu/eli/reg/2024/1468/oj" TargetMode="External"/><Relationship Id="rId9" Type="http://schemas.openxmlformats.org/officeDocument/2006/relationships/hyperlink" Target="http://data.europa.eu/eli/reg_del/2020/689/oj" TargetMode="External"/><Relationship Id="rId14" Type="http://schemas.openxmlformats.org/officeDocument/2006/relationships/hyperlink" Target="http://data.europa.eu/eli/reg/2005/1/oj" TargetMode="External"/><Relationship Id="rId22" Type="http://schemas.openxmlformats.org/officeDocument/2006/relationships/hyperlink" Target="https://www.ema.europa.eu/en/documents/report/european-sales-use-antimicrobials-veterinary-medicine-annual-surveillance-report-2023_en.pdf" TargetMode="External"/><Relationship Id="rId27" Type="http://schemas.openxmlformats.org/officeDocument/2006/relationships/hyperlink" Target="http://data.europa.eu/eli/reg/2016/4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13351</Words>
  <Characters>81978</Characters>
  <Application>Microsoft Office Word</Application>
  <DocSecurity>0</DocSecurity>
  <Lines>683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2026-06-05T07:57:00Z</dcterms:created>
  <dcterms:modified xsi:type="dcterms:W3CDTF">2026-06-05T07:57:00Z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A10-0088/2026</vt:lpwstr>
  </property>
  <property fmtid="{D5CDD505-2E9C-101B-9397-08002B2CF9AE}" pid="4" name="&lt;Type&gt;">
    <vt:lpwstr>RR</vt:lpwstr>
  </property>
</Properties>
</file>