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E79" w14:paraId="6CB56B4D" w14:textId="77777777" w:rsidTr="0010095E">
        <w:trPr>
          <w:trHeight w:hRule="exact" w:val="1418"/>
        </w:trPr>
        <w:tc>
          <w:tcPr>
            <w:tcW w:w="6804" w:type="dxa"/>
            <w:shd w:val="clear" w:color="auto" w:fill="auto"/>
            <w:vAlign w:val="center"/>
          </w:tcPr>
          <w:p w14:paraId="5F45A147" w14:textId="77777777" w:rsidR="00751A4A" w:rsidRPr="00B46E79" w:rsidRDefault="00B15160" w:rsidP="0010095E">
            <w:pPr>
              <w:pStyle w:val="EPName"/>
            </w:pPr>
            <w:r w:rsidRPr="00B46E79">
              <w:t>Ευρωπαϊκό Κοινοβούλιο</w:t>
            </w:r>
          </w:p>
          <w:p w14:paraId="0D491C0E" w14:textId="77777777" w:rsidR="00751A4A" w:rsidRPr="00B46E79" w:rsidRDefault="005F1B17" w:rsidP="005F1B17">
            <w:pPr>
              <w:pStyle w:val="EPTerm"/>
              <w:rPr>
                <w:rStyle w:val="HideTWBExt"/>
                <w:noProof w:val="0"/>
                <w:vanish w:val="0"/>
                <w:color w:val="auto"/>
              </w:rPr>
            </w:pPr>
            <w:r w:rsidRPr="00B46E79">
              <w:t>2024</w:t>
            </w:r>
            <w:r w:rsidR="00817416" w:rsidRPr="00B46E79">
              <w:t>-202</w:t>
            </w:r>
            <w:r w:rsidRPr="00B46E79">
              <w:t>9</w:t>
            </w:r>
          </w:p>
        </w:tc>
        <w:tc>
          <w:tcPr>
            <w:tcW w:w="2268" w:type="dxa"/>
            <w:shd w:val="clear" w:color="auto" w:fill="auto"/>
          </w:tcPr>
          <w:p w14:paraId="48C5F0D8" w14:textId="77777777" w:rsidR="00751A4A" w:rsidRPr="00B46E79" w:rsidRDefault="00187494" w:rsidP="0010095E">
            <w:pPr>
              <w:pStyle w:val="EPLogo"/>
            </w:pPr>
            <w:r w:rsidRPr="00B46E79">
              <w:rPr>
                <w:noProof/>
                <w:lang w:eastAsia="ja-JP"/>
              </w:rPr>
              <w:drawing>
                <wp:inline distT="0" distB="0" distL="0" distR="0" wp14:anchorId="4752A2FD" wp14:editId="484393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E26B34" w14:textId="77777777" w:rsidR="00D058B8" w:rsidRPr="00B46E79" w:rsidRDefault="00D058B8" w:rsidP="004C5D52">
      <w:pPr>
        <w:pStyle w:val="LineTop"/>
      </w:pPr>
    </w:p>
    <w:p w14:paraId="373751AE" w14:textId="77777777" w:rsidR="00680577" w:rsidRPr="00B46E79" w:rsidRDefault="00B15160" w:rsidP="00680577">
      <w:pPr>
        <w:pStyle w:val="EPBodyTA1"/>
      </w:pPr>
      <w:r w:rsidRPr="00B46E79">
        <w:t>ΚΕΙΜΕΝΑ ΠΟΥ ΕΓΚΡΙΘΗΚΑΝ</w:t>
      </w:r>
    </w:p>
    <w:p w14:paraId="604544FE" w14:textId="77777777" w:rsidR="00D058B8" w:rsidRPr="00B46E79" w:rsidRDefault="00D058B8" w:rsidP="00D058B8">
      <w:pPr>
        <w:pStyle w:val="LineBottom"/>
      </w:pPr>
    </w:p>
    <w:p w14:paraId="5C74BABC" w14:textId="26D53962" w:rsidR="00B15160" w:rsidRPr="00B46E79" w:rsidRDefault="00B15160" w:rsidP="00B15160">
      <w:pPr>
        <w:pStyle w:val="ATHeading1"/>
      </w:pPr>
      <w:bookmarkStart w:id="0" w:name="TANumber"/>
      <w:r w:rsidRPr="00B46E79">
        <w:t>P10_TA(2026)0</w:t>
      </w:r>
      <w:r w:rsidR="0046645E" w:rsidRPr="00B46E79">
        <w:t>157</w:t>
      </w:r>
      <w:bookmarkEnd w:id="0"/>
    </w:p>
    <w:p w14:paraId="052C9ECF" w14:textId="5654D70E" w:rsidR="00B15160" w:rsidRPr="00B46E79" w:rsidRDefault="00E40508" w:rsidP="00B15160">
      <w:pPr>
        <w:pStyle w:val="ATHeading2"/>
      </w:pPr>
      <w:bookmarkStart w:id="1" w:name="title"/>
      <w:r w:rsidRPr="00B46E79">
        <w:t>Τρ</w:t>
      </w:r>
      <w:bookmarkEnd w:id="1"/>
      <w:r w:rsidRPr="00B46E79">
        <w:t>όπος εξασφάλισης ενός βιώσιμου μέλλοντος για τον κτηνοτροφικό τομέα της ΕΕ υπό το πρίσμα της ανάγκης κατοχύρωσης της επισιτιστικής ασφάλειας, της ανθεκτικότητας των γεωργών και των προκλήσεων που θέτουν οι νόσοι των ζώων</w:t>
      </w:r>
    </w:p>
    <w:p w14:paraId="1BD51CE1" w14:textId="77777777" w:rsidR="00B15160" w:rsidRPr="00B46E79" w:rsidRDefault="00B15160" w:rsidP="00B15160">
      <w:pPr>
        <w:rPr>
          <w:i/>
          <w:vanish/>
        </w:rPr>
      </w:pPr>
      <w:r w:rsidRPr="00B46E79">
        <w:rPr>
          <w:i/>
        </w:rPr>
        <w:fldChar w:fldCharType="begin"/>
      </w:r>
      <w:r w:rsidRPr="00B46E79">
        <w:rPr>
          <w:i/>
        </w:rPr>
        <w:instrText xml:space="preserve"> TC"(</w:instrText>
      </w:r>
      <w:bookmarkStart w:id="2" w:name="DocNumber"/>
      <w:r w:rsidRPr="00B46E79">
        <w:rPr>
          <w:i/>
        </w:rPr>
        <w:instrText>A10-0088/2026</w:instrText>
      </w:r>
      <w:bookmarkEnd w:id="2"/>
      <w:r w:rsidRPr="00B46E79">
        <w:rPr>
          <w:i/>
        </w:rPr>
        <w:instrText xml:space="preserve"> - Εισηγητής: Carlo Fidanza)"\l3 \n&gt; \* MERGEFORMAT </w:instrText>
      </w:r>
      <w:r w:rsidRPr="00B46E79">
        <w:rPr>
          <w:i/>
        </w:rPr>
        <w:fldChar w:fldCharType="end"/>
      </w:r>
    </w:p>
    <w:p w14:paraId="59C1A79F" w14:textId="77777777" w:rsidR="00B15160" w:rsidRPr="00B46E79" w:rsidRDefault="00B15160" w:rsidP="00B15160">
      <w:pPr>
        <w:rPr>
          <w:vanish/>
        </w:rPr>
      </w:pPr>
      <w:bookmarkStart w:id="3" w:name="Commission"/>
      <w:r w:rsidRPr="00B46E79">
        <w:rPr>
          <w:vanish/>
        </w:rPr>
        <w:t>Επιτροπή Γεωργίας και Ανάπτυξης της Υπαίθρου</w:t>
      </w:r>
      <w:bookmarkEnd w:id="3"/>
    </w:p>
    <w:p w14:paraId="75486E54" w14:textId="77777777" w:rsidR="00B15160" w:rsidRPr="00B46E79" w:rsidRDefault="00B15160" w:rsidP="00B15160">
      <w:pPr>
        <w:rPr>
          <w:vanish/>
        </w:rPr>
      </w:pPr>
      <w:bookmarkStart w:id="4" w:name="PE"/>
      <w:r w:rsidRPr="00B46E79">
        <w:rPr>
          <w:vanish/>
        </w:rPr>
        <w:t>PE774.483</w:t>
      </w:r>
      <w:bookmarkEnd w:id="4"/>
    </w:p>
    <w:p w14:paraId="76BD781C" w14:textId="3728DF0A" w:rsidR="00B15160" w:rsidRPr="00B46E79" w:rsidRDefault="00B15160" w:rsidP="00B15160">
      <w:pPr>
        <w:pStyle w:val="ATHeading3"/>
      </w:pPr>
      <w:bookmarkStart w:id="5" w:name="Sujet"/>
      <w:r w:rsidRPr="00B46E79">
        <w:t xml:space="preserve">Ψήφισμα του Ευρωπαϊκού Κοινοβουλίου της </w:t>
      </w:r>
      <w:r w:rsidR="0002492A" w:rsidRPr="00B46E79">
        <w:t>30ή</w:t>
      </w:r>
      <w:r w:rsidR="00E40508" w:rsidRPr="00B46E79">
        <w:t>ς Απριλίου</w:t>
      </w:r>
      <w:r w:rsidRPr="00B46E79">
        <w:t xml:space="preserve"> 2026 σχετικά με τον τρόπο εξασφάλισης ενός βιώσιμου μέλλοντος για τον κτηνοτροφικό τομέα της ΕΕ υπό το πρίσμα της ανάγκης κατοχύρωσης της επισιτιστικής ασφάλειας, της ανθεκτικότητας των γεωργών και των προκλήσεων που θέτουν οι νόσοι των ζώων</w:t>
      </w:r>
      <w:bookmarkEnd w:id="5"/>
      <w:r w:rsidRPr="00B46E79">
        <w:t xml:space="preserve"> </w:t>
      </w:r>
      <w:bookmarkStart w:id="6" w:name="References"/>
      <w:r w:rsidRPr="00B46E79">
        <w:t>(2025/2053(INI))</w:t>
      </w:r>
      <w:bookmarkEnd w:id="6"/>
    </w:p>
    <w:p w14:paraId="354CD344" w14:textId="77777777" w:rsidR="00F166BD" w:rsidRPr="00B46E79" w:rsidRDefault="00F166BD" w:rsidP="00F166BD">
      <w:pPr>
        <w:pStyle w:val="EPComma"/>
        <w:ind w:left="567" w:hanging="567"/>
      </w:pPr>
      <w:r w:rsidRPr="00B46E79">
        <w:rPr>
          <w:rStyle w:val="Italic"/>
        </w:rPr>
        <w:t>Το Ευρωπαϊκό Κοινοβούλιο</w:t>
      </w:r>
      <w:r w:rsidRPr="00B46E79">
        <w:t>,</w:t>
      </w:r>
    </w:p>
    <w:p w14:paraId="5F51B703" w14:textId="77777777" w:rsidR="00F166BD" w:rsidRPr="00B46E79" w:rsidRDefault="00F166BD" w:rsidP="00E40508">
      <w:pPr>
        <w:pStyle w:val="NormalHanging12a"/>
      </w:pPr>
      <w:r w:rsidRPr="00B46E79">
        <w:t>–</w:t>
      </w:r>
      <w:r w:rsidRPr="00B46E79">
        <w:tab/>
        <w:t>έχοντας υπόψη τα άρθρα 38 και 39 της Συνθήκης για τη λειτουργία της Ευρωπαϊκής Ένωσης (ΣΛΕΕ) που θεσπίζουν την κοινή γεωργική πολιτική και τους στόχους της,</w:t>
      </w:r>
    </w:p>
    <w:p w14:paraId="5CE6C9BA" w14:textId="77777777" w:rsidR="00F166BD" w:rsidRPr="00B46E79" w:rsidRDefault="00F166BD" w:rsidP="00E40508">
      <w:pPr>
        <w:pStyle w:val="NormalHanging12a"/>
      </w:pPr>
      <w:r w:rsidRPr="00B46E79">
        <w:t>–</w:t>
      </w:r>
      <w:r w:rsidRPr="00B46E79">
        <w:tab/>
        <w:t>έχοντας υπόψη τον κανονισμό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w:t>
      </w:r>
      <w:r w:rsidRPr="00B46E79">
        <w:rPr>
          <w:rStyle w:val="FootnoteReference"/>
        </w:rPr>
        <w:footnoteReference w:id="1"/>
      </w:r>
      <w:r w:rsidRPr="00B46E79">
        <w:t>,</w:t>
      </w:r>
    </w:p>
    <w:p w14:paraId="1CD5C408" w14:textId="77777777" w:rsidR="00F166BD" w:rsidRPr="00B46E79" w:rsidRDefault="00F166BD" w:rsidP="00E40508">
      <w:pPr>
        <w:pStyle w:val="NormalHanging12a"/>
      </w:pPr>
      <w:r w:rsidRPr="00B46E79">
        <w:t>–</w:t>
      </w:r>
      <w:r w:rsidRPr="00B46E79">
        <w:tab/>
        <w:t>έχοντας υπόψη τον κανονισμό (EΕ) 2021/2116 του Ευρωπαϊκού Κοινοβουλίου και του Συμβουλίου, της 2ας Δεκεμβρίου 2021, σχετικά με τη χρηματοδότηση, τη διαχείριση και την παρακολούθηση της κοινής γεωργικής πολιτικής και την κατάργηση του κανονισμού (ΕΕ) αριθ. 1306/2013</w:t>
      </w:r>
      <w:r w:rsidRPr="00B46E79">
        <w:rPr>
          <w:rStyle w:val="FootnoteReference"/>
        </w:rPr>
        <w:footnoteReference w:id="2"/>
      </w:r>
      <w:r w:rsidRPr="00B46E79">
        <w:t>,</w:t>
      </w:r>
    </w:p>
    <w:p w14:paraId="4FCE2A1E" w14:textId="77777777" w:rsidR="00F166BD" w:rsidRPr="00B46E79" w:rsidRDefault="00F166BD" w:rsidP="00E40508">
      <w:pPr>
        <w:pStyle w:val="NormalHanging12a"/>
      </w:pPr>
      <w:r w:rsidRPr="00B46E79">
        <w:t>–</w:t>
      </w:r>
      <w:r w:rsidRPr="00B46E79">
        <w:tab/>
        <w:t xml:space="preserve">έχοντας υπόψη τον κανονισμό (ΕΕ) 2021/2117 του Ευρωπαϊκού Κοινοβουλίου και του Συμβουλίου της 2ας Δεκεμβρίου 2021 σχετικά με την τροποποίηση των κανονισμών (ΕΕ) αριθ. 1308/2013 για τη θέσπιση κοινής οργάνωσης των αγορών γεωργικών προϊόντων, (ΕΕ) αριθ. 1151/2012 για τα συστήματα ποιότητας των γεωργικών προϊόντων και των τροφίμων, (ΕΕ) αριθ. 251/2014 για τον ορισμό, την περιγραφή, την παρουσίαση, την επισήμανση και την προστασία των γεωγραφικών ενδείξεων των </w:t>
      </w:r>
      <w:r w:rsidRPr="00B46E79">
        <w:lastRenderedPageBreak/>
        <w:t>αρωματισμένων αμπελοοινικών προϊόντων και (ΕΕ) αριθ. 228/2013 για τον καθορισμό ειδικών μέτρων για τη γεωργία στις εξόχως απόκεντρες περιοχές της Ένωσης</w:t>
      </w:r>
      <w:r w:rsidRPr="00B46E79">
        <w:rPr>
          <w:rStyle w:val="FootnoteReference"/>
        </w:rPr>
        <w:footnoteReference w:id="3"/>
      </w:r>
      <w:r w:rsidRPr="00B46E79">
        <w:t>,</w:t>
      </w:r>
    </w:p>
    <w:p w14:paraId="3332981E" w14:textId="77777777" w:rsidR="00F166BD" w:rsidRPr="00B46E79" w:rsidRDefault="00F166BD" w:rsidP="00E40508">
      <w:pPr>
        <w:pStyle w:val="NormalHanging12a"/>
      </w:pPr>
      <w:r w:rsidRPr="00B46E79">
        <w:t>–</w:t>
      </w:r>
      <w:r w:rsidRPr="00B46E79">
        <w:tab/>
        <w:t>έχοντας υπόψη τον κανονισμό (ΕΕ) 2024/1468 του Ευρωπαϊκού Κοινοβουλίου και του Συμβουλίου, της 14ης Μαΐου 2024, για την τροποποίηση των κανονισμών (ΕΕ) 2021/2115 και (ΕΕ) 2021/2116 όσον αφορά τα πρότυπα για την καλή γεωργική και περιβαλλοντική κατάσταση, τα προγράμματα για το κλίμα, το περιβάλλον και την καλή διαβίωση των ζώων, τις τροποποιήσεις των στρατηγικών σχεδίων για την ΚΓΠ, την επανεξέταση των στρατηγικών σχεδίων για την ΚΓΠ και τις εξαιρέσεις από τους ελέγχους και τις κυρώσεις</w:t>
      </w:r>
      <w:r w:rsidRPr="00B46E79">
        <w:rPr>
          <w:rStyle w:val="FootnoteReference"/>
        </w:rPr>
        <w:footnoteReference w:id="4"/>
      </w:r>
      <w:r w:rsidRPr="00B46E79">
        <w:t>,</w:t>
      </w:r>
    </w:p>
    <w:p w14:paraId="37027ADC" w14:textId="77777777" w:rsidR="00F166BD" w:rsidRPr="00B46E79" w:rsidRDefault="00F166BD" w:rsidP="00E40508">
      <w:pPr>
        <w:pStyle w:val="NormalHanging12a"/>
      </w:pPr>
      <w:r w:rsidRPr="00B46E79">
        <w:t>–</w:t>
      </w:r>
      <w:r w:rsidRPr="00B46E79">
        <w:tab/>
        <w:t>έχοντας υπόψη</w:t>
      </w:r>
      <w:r w:rsidRPr="00B46E79">
        <w:rPr>
          <w:rStyle w:val="Bold"/>
        </w:rPr>
        <w:t xml:space="preserve"> </w:t>
      </w:r>
      <w:r w:rsidRPr="00B46E79">
        <w:t>τον κανονισμό (ΕΕ) 2024/3012 του Ευρωπαϊκού Κοινοβουλίου και του Συμβουλίου, της 27ης Νοεμβρίου 2024, σχετικά με τη θέσπιση ενωσιακού πλαισίου πιστοποίησης για τις μόνιμες απορροφήσεις άνθρακα, την ανθρακοδεσμευτική γεωργία και την αποθήκευση άνθρακα σε προϊόντα</w:t>
      </w:r>
      <w:r w:rsidRPr="00B46E79">
        <w:rPr>
          <w:rStyle w:val="FootnoteReference"/>
        </w:rPr>
        <w:footnoteReference w:id="5"/>
      </w:r>
      <w:r w:rsidRPr="00B46E79">
        <w:t>,</w:t>
      </w:r>
    </w:p>
    <w:p w14:paraId="75301A18" w14:textId="77777777" w:rsidR="00F166BD" w:rsidRPr="00B46E79" w:rsidRDefault="00F166BD" w:rsidP="00E40508">
      <w:pPr>
        <w:pStyle w:val="NormalHanging12a"/>
      </w:pPr>
      <w:r w:rsidRPr="00B46E79">
        <w:t>–</w:t>
      </w:r>
      <w:r w:rsidRPr="00B46E79">
        <w:tab/>
        <w:t>έχοντας υπόψη την ανακοίνωση της Επιτροπής, της 19ης Φεβρουαρίου 2025, με τίτλο «Ένα όραμα για τη γεωργία και τα τρόφιμα – Από κοινού διαμόρφωση ενός ελκυστικού τομέα γεωργίας και τροφίμων της ΕΕ για τις μελλοντικές γενιές» (COM(2025)0075),</w:t>
      </w:r>
    </w:p>
    <w:p w14:paraId="5165F232" w14:textId="77777777" w:rsidR="00F166BD" w:rsidRPr="00B46E79" w:rsidRDefault="00F166BD" w:rsidP="00E40508">
      <w:pPr>
        <w:pStyle w:val="NormalHanging12a"/>
      </w:pPr>
      <w:r w:rsidRPr="00B46E79">
        <w:t>–</w:t>
      </w:r>
      <w:r w:rsidRPr="00B46E79">
        <w:tab/>
        <w:t>έχοντας υπόψη την τελική έκθεση σχετικά με τον στρατηγικό διάλογο για το μέλλον της γεωργίας της ΕΕ με τίτλο «A shared prospect for farming and food in Europe» (Μια κοινή προοπτική για τη γεωργία και τα τρόφιμα στην Ευρώπη) που δημοσιεύθηκε στις 4 Σεπτεμβρίου 2024</w:t>
      </w:r>
      <w:r w:rsidRPr="00B46E79">
        <w:rPr>
          <w:rStyle w:val="FootnoteReference"/>
        </w:rPr>
        <w:footnoteReference w:id="6"/>
      </w:r>
      <w:r w:rsidRPr="00B46E79">
        <w:t>,</w:t>
      </w:r>
    </w:p>
    <w:p w14:paraId="4F093C28" w14:textId="77777777" w:rsidR="00F166BD" w:rsidRPr="00B46E79" w:rsidRDefault="00F166BD" w:rsidP="00E40508">
      <w:pPr>
        <w:pStyle w:val="NormalHanging12a"/>
      </w:pPr>
      <w:r w:rsidRPr="00B46E79">
        <w:t>–</w:t>
      </w:r>
      <w:r w:rsidRPr="00B46E79">
        <w:tab/>
        <w:t>έχοντας υπόψη τον κανονισμό (EE) 2016/429 του Ευρωπαϊκού Κοινοβουλίου και του Συμβουλίου, της 9ης Μαρτίου 2016, σχετικά με τις μεταδοτικές νόσους των ζώων και για την τροποποίηση και την κατάργηση ορισμένων πράξεων στον τομέα της υγείας των ζώων («νόμος για την υγεία των ζώων»)</w:t>
      </w:r>
      <w:r w:rsidRPr="00B46E79">
        <w:rPr>
          <w:rStyle w:val="FootnoteReference"/>
        </w:rPr>
        <w:footnoteReference w:id="7"/>
      </w:r>
      <w:r w:rsidRPr="00B46E79">
        <w:t>,</w:t>
      </w:r>
    </w:p>
    <w:p w14:paraId="3055BC20" w14:textId="77777777" w:rsidR="00F166BD" w:rsidRPr="00B46E79" w:rsidRDefault="00F166BD" w:rsidP="00E40508">
      <w:pPr>
        <w:pStyle w:val="NormalHanging12a"/>
      </w:pPr>
      <w:r w:rsidRPr="00B46E79">
        <w:t>–</w:t>
      </w:r>
      <w:r w:rsidRPr="00B46E79">
        <w:tab/>
        <w:t>έχοντας υπόψη τον εκτελεστικό κανονισμό (ΕΕ) 2020/2002 της Επιτροπής, της 7ης Δεκεμβρίου 2020, για τη θέσπιση κανόνων εφαρμογής του κανονισμού (ΕΕ) 2016/429 του Ευρωπαϊκού Κοινοβουλίου και του Συμβουλίου όσον αφορά την κοινοποίηση σε επίπεδο Ένωσης των καταγεγραμμένων νόσων και την υποβολή εκθέσεων σε επίπεδο Ένωσης σχετικά με αυτές, τους μορφότυπους και τις διαδικασίες για την υποβολή ενωσιακών προγραμμάτων επιτήρησης και προγραμμάτων εκρίζωσης και των σχετικών εκθέσεων, όπως και για την αίτηση αναγνώρισης καθεστώτος απαλλαγμένου από νόσο, καθώς και όσον αφορά το ηλεκτρονικό σύστημα πληροφοριών</w:t>
      </w:r>
      <w:r w:rsidRPr="00B46E79">
        <w:rPr>
          <w:rStyle w:val="FootnoteReference"/>
        </w:rPr>
        <w:footnoteReference w:id="8"/>
      </w:r>
      <w:r w:rsidRPr="00B46E79">
        <w:t>,</w:t>
      </w:r>
    </w:p>
    <w:p w14:paraId="641ED92F" w14:textId="77777777" w:rsidR="00F166BD" w:rsidRPr="00B46E79" w:rsidRDefault="00F166BD" w:rsidP="00E40508">
      <w:pPr>
        <w:pStyle w:val="NormalHanging12a"/>
      </w:pPr>
      <w:r w:rsidRPr="00B46E79">
        <w:t>–</w:t>
      </w:r>
      <w:r w:rsidRPr="00B46E79">
        <w:tab/>
        <w:t xml:space="preserve">έχοντας υπόψη τον κατ’ εξουσιοδότηση κανονισμό (ΕΕ) 2020/689 της Επιτροπής, της 17ης Δεκεμβρίου 2019, για τη συμπλήρωση του κανονισμού (ΕΕ) 2016/429 του </w:t>
      </w:r>
      <w:r w:rsidRPr="00B46E79">
        <w:lastRenderedPageBreak/>
        <w:t>Ευρωπαϊκού Κοινοβουλίου και του Συμβουλίου όσον αφορά τους κανόνες για την επιτήρηση, τα προγράμματα εκρίζωσης και το καθεστώς απαλλαγμένου από νόσο για ορισμένες καταγεγραμμένες και αναδυόμενες νόσους</w:t>
      </w:r>
      <w:r w:rsidRPr="00B46E79">
        <w:rPr>
          <w:rStyle w:val="FootnoteReference"/>
        </w:rPr>
        <w:footnoteReference w:id="9"/>
      </w:r>
      <w:r w:rsidRPr="00B46E79">
        <w:t>,</w:t>
      </w:r>
    </w:p>
    <w:p w14:paraId="0E7EDDCF" w14:textId="77777777" w:rsidR="00F166BD" w:rsidRPr="00B46E79" w:rsidRDefault="00F166BD" w:rsidP="00E40508">
      <w:pPr>
        <w:pStyle w:val="NormalHanging12a"/>
      </w:pPr>
      <w:r w:rsidRPr="00B46E79">
        <w:t>–</w:t>
      </w:r>
      <w:r w:rsidRPr="00B46E79">
        <w:tab/>
        <w:t>έχοντας υπόψη τον κανονισμό (ΕΚ) αριθ. 1069/2009 του Ευρωπαϊκού Κοινοβουλίου και του Συμβουλίου, της 21ης Οκτωβρίου 2009, περί υγειονομικών κανόνων για ζωικά υποπροϊόντα και παράγωγα προϊόντα που δεν προορίζονται για κατανάλωση από τον άνθρωπο και για την κατάργηση του κανονισμού (ΕΚ) αριθ. 1774/2002 (κανονισμός για τα ζωικά υποπροϊόντα)</w:t>
      </w:r>
      <w:r w:rsidRPr="00B46E79">
        <w:rPr>
          <w:rStyle w:val="FootnoteReference"/>
        </w:rPr>
        <w:footnoteReference w:id="10"/>
      </w:r>
      <w:r w:rsidRPr="00B46E79">
        <w:t>,</w:t>
      </w:r>
    </w:p>
    <w:p w14:paraId="340FF9BC" w14:textId="77777777" w:rsidR="00F166BD" w:rsidRPr="00B46E79" w:rsidRDefault="00F166BD" w:rsidP="00E40508">
      <w:pPr>
        <w:pStyle w:val="NormalHanging12a"/>
      </w:pPr>
      <w:r w:rsidRPr="00B46E79">
        <w:t>–</w:t>
      </w:r>
      <w:r w:rsidRPr="00B46E79">
        <w:tab/>
        <w:t>έχοντας υπόψη την οδηγία 2003/99/ΕΚ του Ευρωπαϊκού Κοινοβουλίου και του Συμβουλίου, της 17ης Νοεμβρίου 2003, για την παρακολούθηση των ζωονόσων και των ζωονοσογόνων παραγόντων, για την τροποποίηση της απόφασης 90/424/ΕΟΚ του Συμβουλίου και την κατάργηση της οδηγίας 92/117/ΕΟΚ του Συμβουλίου</w:t>
      </w:r>
      <w:r w:rsidRPr="00B46E79">
        <w:rPr>
          <w:rStyle w:val="FootnoteReference"/>
        </w:rPr>
        <w:footnoteReference w:id="11"/>
      </w:r>
      <w:r w:rsidRPr="00B46E79">
        <w:t>,</w:t>
      </w:r>
    </w:p>
    <w:p w14:paraId="63EC693A" w14:textId="77777777" w:rsidR="00F166BD" w:rsidRPr="00B46E79" w:rsidRDefault="00F166BD" w:rsidP="00E40508">
      <w:pPr>
        <w:pStyle w:val="NormalHanging12a"/>
      </w:pPr>
      <w:r w:rsidRPr="00B46E79">
        <w:t>–</w:t>
      </w:r>
      <w:r w:rsidRPr="00B46E79">
        <w:tab/>
        <w:t>έχοντας υπόψη τον κατ’ εξουσιοδότηση κανονισμό (ΕΕ) 2020/687 της Επιτροπής, της 17ης Δεκεμβρίου 2019, για τη συμπλήρωση του κανονισμού (ΕΕ) 2016/429 του Ευρωπαϊκού Κοινοβουλίου και του Συμβουλίου όσον αφορά τους κανόνες για την πρόληψη και τον έλεγχο ορισμένων καταγεγραμμένων νόσων</w:t>
      </w:r>
      <w:r w:rsidRPr="00B46E79">
        <w:rPr>
          <w:rStyle w:val="FootnoteReference"/>
        </w:rPr>
        <w:footnoteReference w:id="12"/>
      </w:r>
      <w:r w:rsidRPr="00B46E79">
        <w:t>,</w:t>
      </w:r>
    </w:p>
    <w:p w14:paraId="7F8DBE4B" w14:textId="77777777" w:rsidR="00F166BD" w:rsidRPr="00B46E79" w:rsidRDefault="00F166BD" w:rsidP="00E40508">
      <w:pPr>
        <w:pStyle w:val="NormalHanging12a"/>
      </w:pPr>
      <w:r w:rsidRPr="00B46E79">
        <w:t>–</w:t>
      </w:r>
      <w:r w:rsidRPr="00B46E79">
        <w:tab/>
        <w:t>έχοντας υπόψη την οδηγία 98/58/ΕΚ του Συμβουλίου, της 20ής Ιουλίου 1998, σχετικά με την προστασία των ζώων στα εκτροφεία</w:t>
      </w:r>
      <w:r w:rsidRPr="00B46E79">
        <w:rPr>
          <w:rStyle w:val="FootnoteReference"/>
        </w:rPr>
        <w:footnoteReference w:id="13"/>
      </w:r>
      <w:r w:rsidRPr="00B46E79">
        <w:t>, τον κανονισμό (ΕΚ) αριθ. 1/2005 του Συμβουλίου, της 22ας Δεκεμβρίου 2004, για την προστασία των ζώων κατά τη μεταφορά και συναφείς δραστηριότητες και για την τροποποίηση των οδηγιών 64/432/ΕΟΚ και 93/119/ΕΚ και του κανονισμού (ΕΚ) αριθ. 1255/97</w:t>
      </w:r>
      <w:r w:rsidRPr="00B46E79">
        <w:rPr>
          <w:vertAlign w:val="superscript"/>
        </w:rPr>
        <w:footnoteReference w:id="14"/>
      </w:r>
      <w:r w:rsidRPr="00B46E79">
        <w:t>, και τον κανονισμό (ΕΚ) αριθ. 1099/2009, της 24ης Σεπτεμβρίου 2009, για την προστασία των ζώων κατά τη θανάτωσή τους</w:t>
      </w:r>
      <w:r w:rsidRPr="00B46E79">
        <w:rPr>
          <w:vertAlign w:val="superscript"/>
        </w:rPr>
        <w:footnoteReference w:id="15"/>
      </w:r>
      <w:r w:rsidRPr="00B46E79">
        <w:t>,</w:t>
      </w:r>
    </w:p>
    <w:p w14:paraId="7BCA367C" w14:textId="77777777" w:rsidR="00F166BD" w:rsidRPr="00B46E79" w:rsidRDefault="00F166BD" w:rsidP="00E40508">
      <w:pPr>
        <w:pStyle w:val="NormalHanging12a"/>
      </w:pPr>
      <w:r w:rsidRPr="00B46E79">
        <w:t>–</w:t>
      </w:r>
      <w:r w:rsidRPr="00B46E79">
        <w:tab/>
        <w:t>έχοντας υπόψη τον κανονισμό (ΕΕ) 2019/6 του Ευρωπαϊκού Κοινοβουλίου και του Συμβουλίου, της 11ης Δεκεμβρίου 2018, για τα κτηνιατρικά φάρμακα και για την κατάργηση της οδηγίας 2001/82/ΕΚ</w:t>
      </w:r>
      <w:r w:rsidRPr="00B46E79">
        <w:rPr>
          <w:rStyle w:val="FootnoteReference"/>
        </w:rPr>
        <w:footnoteReference w:id="16"/>
      </w:r>
      <w:r w:rsidRPr="00B46E79">
        <w:t>,</w:t>
      </w:r>
    </w:p>
    <w:p w14:paraId="17991AFA" w14:textId="77777777" w:rsidR="00F166BD" w:rsidRPr="00B46E79" w:rsidRDefault="00F166BD" w:rsidP="00E40508">
      <w:pPr>
        <w:pStyle w:val="NormalHanging12a"/>
      </w:pPr>
      <w:r w:rsidRPr="00B46E79">
        <w:t>–</w:t>
      </w:r>
      <w:r w:rsidRPr="00B46E79">
        <w:tab/>
        <w:t>έχοντας υπόψη τη σύσταση του Συμβουλίου, της 13ης Ιουνίου 2023, σχετικά με την ενίσχυση των δράσεων της ΕΕ για την καταπολέμηση της μικροβιακής αντοχής στο πλαίσιο της προσέγγισης «Μία υγεία» (2023/C 220/01)</w:t>
      </w:r>
      <w:r w:rsidRPr="00B46E79">
        <w:rPr>
          <w:rStyle w:val="FootnoteReference"/>
        </w:rPr>
        <w:footnoteReference w:id="17"/>
      </w:r>
      <w:r w:rsidRPr="00B46E79">
        <w:t>,</w:t>
      </w:r>
    </w:p>
    <w:p w14:paraId="67AC99E5" w14:textId="1EA64D6F" w:rsidR="00F166BD" w:rsidRPr="00B46E79" w:rsidRDefault="00F166BD" w:rsidP="00E40508">
      <w:pPr>
        <w:pStyle w:val="NormalHanging12a"/>
      </w:pPr>
      <w:r w:rsidRPr="00B46E79">
        <w:t>–</w:t>
      </w:r>
      <w:r w:rsidRPr="00B46E79">
        <w:tab/>
        <w:t>έχοντας υπόψη την εκτελεστική απόφαση (ΕΕ) 2020/1729 της Επιτροπής</w:t>
      </w:r>
      <w:r w:rsidR="00E40508" w:rsidRPr="00B46E79">
        <w:t>,</w:t>
      </w:r>
      <w:r w:rsidRPr="00B46E79">
        <w:t xml:space="preserve"> της 17ης</w:t>
      </w:r>
      <w:r w:rsidR="00E40508" w:rsidRPr="00B46E79">
        <w:t> </w:t>
      </w:r>
      <w:r w:rsidRPr="00B46E79">
        <w:t>Νοεμβρίου 2020</w:t>
      </w:r>
      <w:r w:rsidR="00E40508" w:rsidRPr="00B46E79">
        <w:t>,</w:t>
      </w:r>
      <w:r w:rsidRPr="00B46E79">
        <w:t xml:space="preserve"> για την παρακολούθηση και την υποβολή εκθέσεων σχετικά με </w:t>
      </w:r>
      <w:r w:rsidRPr="00B46E79">
        <w:lastRenderedPageBreak/>
        <w:t>τη μικροβιακή αντοχή ζωονοσογόνων και συμβιωτικών βακτηρίων και την κατάργηση της εκτελεστικής απόφασης 2013/652/ΕΕ</w:t>
      </w:r>
      <w:r w:rsidRPr="00B46E79">
        <w:rPr>
          <w:rStyle w:val="FootnoteReference"/>
        </w:rPr>
        <w:footnoteReference w:id="18"/>
      </w:r>
      <w:r w:rsidRPr="00B46E79">
        <w:t>,</w:t>
      </w:r>
    </w:p>
    <w:p w14:paraId="6398E56B" w14:textId="77777777" w:rsidR="00F166BD" w:rsidRPr="00B46E79" w:rsidRDefault="00F166BD" w:rsidP="00E40508">
      <w:pPr>
        <w:pStyle w:val="NormalHanging12a"/>
      </w:pPr>
      <w:r w:rsidRPr="00B46E79">
        <w:t>–</w:t>
      </w:r>
      <w:r w:rsidRPr="00B46E79">
        <w:tab/>
        <w:t>έχοντας υπόψη την ανακοίνωση της Επιτροπής με τίτλο «Κατευθυντήριες γραμμές για τη συνετή χρήση των αντιμικροβιακών στην κτηνιατρική» (2015/C 299/04)</w:t>
      </w:r>
      <w:r w:rsidRPr="00B46E79">
        <w:rPr>
          <w:rStyle w:val="FootnoteReference"/>
        </w:rPr>
        <w:footnoteReference w:id="19"/>
      </w:r>
      <w:r w:rsidRPr="00B46E79">
        <w:t>, που δημοσιεύτηκε στις 11 Σεπτεμβρίου 2015,</w:t>
      </w:r>
    </w:p>
    <w:p w14:paraId="7BA6240B" w14:textId="77777777" w:rsidR="00F166BD" w:rsidRPr="00B46E79" w:rsidRDefault="00F166BD" w:rsidP="00E40508">
      <w:pPr>
        <w:pStyle w:val="NormalHanging12a"/>
      </w:pPr>
      <w:r w:rsidRPr="00B46E79">
        <w:t>–</w:t>
      </w:r>
      <w:r w:rsidRPr="00B46E79">
        <w:tab/>
        <w:t>έχοντας υπόψη τις συστάσεις της βελγικής Προεδρίας του Συμβουλίου της ΕΕ, σε συνέχεια της υπουργικής διάσκεψης για τις ασθένειες των ζώων που πραγματοποιήθηκε στις 24 Ιανουαρίου 2024, σύμφωνα με τις οποίες η βιοασφάλεια και ο εμβολιασμός θα πρέπει να αποτελέσουν τους πυλώνες εναλλακτικών στρατηγικών αντί της μαζικής σφαγής για τη διαχείριση λοιμωδών επιδημιών στις εκμεταλλεύσεις,</w:t>
      </w:r>
    </w:p>
    <w:p w14:paraId="2FC1A299" w14:textId="77777777" w:rsidR="00F166BD" w:rsidRPr="00B46E79" w:rsidRDefault="00F166BD" w:rsidP="00E40508">
      <w:pPr>
        <w:pStyle w:val="NormalHanging12a"/>
      </w:pPr>
      <w:r w:rsidRPr="00B46E79">
        <w:t>–</w:t>
      </w:r>
      <w:r w:rsidRPr="00B46E79">
        <w:tab/>
        <w:t>έχοντας υπόψη την ανακοίνωση της Επιτροπής, της 15ης Νοεμβρίου 2011, με τίτλο «Σχέδιο δράσης κατά του αυξανόμενου κινδύνου από την μικροβιακή αντοχή» (COM(2011)0748),</w:t>
      </w:r>
    </w:p>
    <w:p w14:paraId="328790F0" w14:textId="1D049BCE" w:rsidR="00F166BD" w:rsidRPr="00B46E79" w:rsidRDefault="00F166BD" w:rsidP="00E40508">
      <w:pPr>
        <w:pStyle w:val="NormalHanging12a"/>
      </w:pPr>
      <w:r w:rsidRPr="00B46E79">
        <w:t>–</w:t>
      </w:r>
      <w:r w:rsidRPr="00B46E79">
        <w:tab/>
        <w:t>έχοντας υπόψη τον κανονισμό (ΕΚ) αριθ. 1/2005 του Συμβουλίου, της 22ας</w:t>
      </w:r>
      <w:r w:rsidR="00E40508" w:rsidRPr="00B46E79">
        <w:t> </w:t>
      </w:r>
      <w:r w:rsidRPr="00B46E79">
        <w:t>Δεκεμβρίου 2004, για την προστασία των ζώων κατά τη μεταφορά και συναφείς δραστηριότητες και για την τροποποίηση των οδηγιών 64/432/ΕΟΚ και 93/119/ΕΚ και του κανονισμού (ΕΚ) αριθ. 1255/97,</w:t>
      </w:r>
    </w:p>
    <w:p w14:paraId="15D01A5C" w14:textId="77777777" w:rsidR="00F166BD" w:rsidRPr="00B46E79" w:rsidRDefault="00F166BD" w:rsidP="00E40508">
      <w:pPr>
        <w:pStyle w:val="NormalHanging12a"/>
      </w:pPr>
      <w:r w:rsidRPr="00B46E79">
        <w:t>–</w:t>
      </w:r>
      <w:r w:rsidRPr="00B46E79">
        <w:tab/>
        <w:t>έχοντας υπόψη το ψήφισμά του της 19ης Οκτωβρίου 2023 σχετικά με την ανανέωση των γενεών στις γεωργικές εκμεταλλεύσεις της ΕΕ του μέλλοντος</w:t>
      </w:r>
      <w:r w:rsidRPr="00B46E79">
        <w:rPr>
          <w:rStyle w:val="FootnoteReference"/>
        </w:rPr>
        <w:footnoteReference w:id="20"/>
      </w:r>
      <w:r w:rsidRPr="00B46E79">
        <w:t>,</w:t>
      </w:r>
    </w:p>
    <w:p w14:paraId="6B9006B9" w14:textId="77777777" w:rsidR="00F166BD" w:rsidRPr="00B46E79" w:rsidRDefault="00F166BD" w:rsidP="00E40508">
      <w:pPr>
        <w:pStyle w:val="NormalHanging12a"/>
      </w:pPr>
      <w:r w:rsidRPr="00B46E79">
        <w:t>–</w:t>
      </w:r>
      <w:r w:rsidRPr="00B46E79">
        <w:tab/>
        <w:t>έχοντας υπόψη το ψήφισμά του της 14ης Ιουνίου 2023 σχετικά με τη διασφάλιση της επισιτιστικής ασφάλειας και της μακροπρόθεσμης ανθεκτικότητας της γεωργίας της ΕΕ</w:t>
      </w:r>
      <w:r w:rsidRPr="00B46E79">
        <w:rPr>
          <w:rStyle w:val="FootnoteReference"/>
        </w:rPr>
        <w:footnoteReference w:id="21"/>
      </w:r>
      <w:r w:rsidRPr="00B46E79">
        <w:t>,</w:t>
      </w:r>
    </w:p>
    <w:p w14:paraId="0F5ED61B" w14:textId="77777777" w:rsidR="00F166BD" w:rsidRPr="00B46E79" w:rsidRDefault="00F166BD" w:rsidP="00E40508">
      <w:pPr>
        <w:pStyle w:val="NormalHanging12a"/>
      </w:pPr>
      <w:r w:rsidRPr="00B46E79">
        <w:t>–</w:t>
      </w:r>
      <w:r w:rsidRPr="00B46E79">
        <w:tab/>
        <w:t>έχοντας υπόψη το ψήφισμά του της 13ης Δεκεμβρίου 2022 σχετικά με ένα μακρόπνοο όραμα για τις αγροτικές περιοχές της ΕΕ – προς ισχυρότερες, συνδεδεμένες, ανθεκτικές και ευημερούσες αγροτικές περιοχές έως το 2040</w:t>
      </w:r>
      <w:r w:rsidRPr="00B46E79">
        <w:rPr>
          <w:rStyle w:val="FootnoteReference"/>
        </w:rPr>
        <w:footnoteReference w:id="22"/>
      </w:r>
      <w:r w:rsidRPr="00B46E79">
        <w:t>,</w:t>
      </w:r>
    </w:p>
    <w:p w14:paraId="444876B1" w14:textId="77777777" w:rsidR="00F166BD" w:rsidRPr="00B46E79" w:rsidRDefault="00F166BD" w:rsidP="00E40508">
      <w:pPr>
        <w:pStyle w:val="NormalHanging12a"/>
      </w:pPr>
      <w:r w:rsidRPr="00B46E79">
        <w:t>–</w:t>
      </w:r>
      <w:r w:rsidRPr="00B46E79">
        <w:tab/>
        <w:t>έχοντας υπόψη το ψήφισμά του της 24ης Νοεμβρίου 2022 σχετικά με την προστασία της κτηνοτροφίας και των μεγάλων σαρκοφάγων στην Ευρώπη</w:t>
      </w:r>
      <w:r w:rsidRPr="00B46E79">
        <w:rPr>
          <w:rStyle w:val="FootnoteReference"/>
        </w:rPr>
        <w:footnoteReference w:id="23"/>
      </w:r>
      <w:r w:rsidRPr="00B46E79">
        <w:t>,</w:t>
      </w:r>
    </w:p>
    <w:p w14:paraId="2AFE3693" w14:textId="77777777" w:rsidR="00F166BD" w:rsidRPr="00B46E79" w:rsidRDefault="00F166BD" w:rsidP="00E40508">
      <w:pPr>
        <w:pStyle w:val="NormalHanging12a"/>
      </w:pPr>
      <w:r w:rsidRPr="00B46E79">
        <w:t>–</w:t>
      </w:r>
      <w:r w:rsidRPr="00B46E79">
        <w:tab/>
        <w:t>έχοντας υπόψη το ψήφισμά του της 16ης Φεβρουαρίου 2022 σχετικά με την έκθεση εφαρμογής για την καλή διαβίωση των εκτρεφόμενων ζώων</w:t>
      </w:r>
      <w:r w:rsidRPr="00B46E79">
        <w:rPr>
          <w:rStyle w:val="FootnoteReference"/>
        </w:rPr>
        <w:footnoteReference w:id="24"/>
      </w:r>
      <w:r w:rsidRPr="00B46E79">
        <w:t>,</w:t>
      </w:r>
    </w:p>
    <w:p w14:paraId="758069CF" w14:textId="77777777" w:rsidR="00F166BD" w:rsidRPr="00B46E79" w:rsidRDefault="00F166BD" w:rsidP="00E40508">
      <w:pPr>
        <w:pStyle w:val="NormalHanging12a"/>
      </w:pPr>
      <w:r w:rsidRPr="00B46E79">
        <w:t>–</w:t>
      </w:r>
      <w:r w:rsidRPr="00B46E79">
        <w:tab/>
        <w:t xml:space="preserve">έχοντας υπόψη τη σύστασή του της 20ής Ιανουαρίου 2022 προς το Συμβούλιο και την Επιτροπή σε συνέχεια της διερεύνησης καταγγελλόμενων παραβάσεων και </w:t>
      </w:r>
      <w:r w:rsidRPr="00B46E79">
        <w:lastRenderedPageBreak/>
        <w:t>περιπτώσεων κακοδιοίκησης κατά την εφαρμογή της νομοθεσίας της Ένωσης σε σχέση με την προστασία των ζώων κατά τη μεταφορά εντός και εκτός Ένωσης</w:t>
      </w:r>
      <w:r w:rsidRPr="00B46E79">
        <w:rPr>
          <w:rStyle w:val="FootnoteReference"/>
        </w:rPr>
        <w:footnoteReference w:id="25"/>
      </w:r>
      <w:r w:rsidRPr="00B46E79">
        <w:t>,</w:t>
      </w:r>
    </w:p>
    <w:p w14:paraId="5A68242E" w14:textId="77777777" w:rsidR="00F166BD" w:rsidRPr="00B46E79" w:rsidRDefault="00F166BD" w:rsidP="00E40508">
      <w:pPr>
        <w:pStyle w:val="NormalHanging12a"/>
      </w:pPr>
      <w:r w:rsidRPr="00B46E79">
        <w:t>–</w:t>
      </w:r>
      <w:r w:rsidRPr="00B46E79">
        <w:tab/>
        <w:t xml:space="preserve">έχοντας υπόψη την τελική έκθεση της Εξεταστικής Επιτροπής για την προστασία των ζώων κατά τη μεταφορά, της 14ης Δεκεμβρίου 2021, σχετικά με τη </w:t>
      </w:r>
      <w:r w:rsidRPr="00B46E79">
        <w:rPr>
          <w:u w:color="0000FF"/>
        </w:rPr>
        <w:t>διερεύνηση εικαζόμενων παραβάσεων και κακοδιοίκησης κατά την εφαρμογή του δικαίου της Ένωσης σε σχέση με την προστασία των ζώων κατά τη μεταφορά εντός και εκτός της Ένωσης</w:t>
      </w:r>
      <w:r w:rsidRPr="00B46E79">
        <w:t>,</w:t>
      </w:r>
    </w:p>
    <w:p w14:paraId="6840EDD2" w14:textId="77777777" w:rsidR="00F166BD" w:rsidRPr="00B46E79" w:rsidRDefault="00F166BD" w:rsidP="00E40508">
      <w:pPr>
        <w:pStyle w:val="NormalHanging12a"/>
      </w:pPr>
      <w:r w:rsidRPr="00B46E79">
        <w:t>–</w:t>
      </w:r>
      <w:r w:rsidRPr="00B46E79">
        <w:tab/>
        <w:t>έχοντας υπόψη το ψήφισμά του της 10ης Φεβρουαρίου 2021 σχετικά με το νέο σχέδιο δράσης για την κυκλική οικονομία</w:t>
      </w:r>
      <w:r w:rsidRPr="00B46E79">
        <w:rPr>
          <w:rStyle w:val="FootnoteReference"/>
        </w:rPr>
        <w:footnoteReference w:id="26"/>
      </w:r>
      <w:r w:rsidRPr="00B46E79">
        <w:t>,</w:t>
      </w:r>
    </w:p>
    <w:p w14:paraId="1DF08DD3" w14:textId="77777777" w:rsidR="00F166BD" w:rsidRPr="00B46E79" w:rsidRDefault="00F166BD" w:rsidP="00E40508">
      <w:pPr>
        <w:pStyle w:val="NormalHanging12a"/>
      </w:pPr>
      <w:r w:rsidRPr="00B46E79">
        <w:t>–</w:t>
      </w:r>
      <w:r w:rsidRPr="00B46E79">
        <w:tab/>
        <w:t>έχοντας υπόψη το ψήφισμά του της 19ης Οκτωβρίου 2023 σχετικά με την ευρωπαϊκή στρατηγική για τις πρωτεΐνες</w:t>
      </w:r>
      <w:r w:rsidRPr="00B46E79">
        <w:rPr>
          <w:vertAlign w:val="superscript"/>
        </w:rPr>
        <w:footnoteReference w:id="27"/>
      </w:r>
      <w:r w:rsidRPr="00B46E79">
        <w:t>,</w:t>
      </w:r>
    </w:p>
    <w:p w14:paraId="307D86C9" w14:textId="77777777" w:rsidR="00F166BD" w:rsidRPr="00B46E79" w:rsidRDefault="00F166BD" w:rsidP="00E40508">
      <w:pPr>
        <w:pStyle w:val="NormalHanging12a"/>
      </w:pPr>
      <w:r w:rsidRPr="00B46E79">
        <w:t>–</w:t>
      </w:r>
      <w:r w:rsidRPr="00B46E79">
        <w:tab/>
        <w:t>έχοντας υπόψη τα πρότυπα του Παγκόσμιου Οργανισμού για την Υγεία των Ζώων (WOAH), όπως ορίζονται στον κώδικα υγείας χερσαίων ζώων,</w:t>
      </w:r>
    </w:p>
    <w:p w14:paraId="5AA88A29" w14:textId="77777777" w:rsidR="00F166BD" w:rsidRPr="00B46E79" w:rsidRDefault="00F166BD" w:rsidP="00E40508">
      <w:pPr>
        <w:pStyle w:val="NormalHanging12a"/>
      </w:pPr>
      <w:r w:rsidRPr="00B46E79">
        <w:t>–</w:t>
      </w:r>
      <w:r w:rsidRPr="00B46E79">
        <w:tab/>
        <w:t>έχοντας υπόψη την έκθεση του Οργανισμού Τροφίμων και Γεωργίας των Ηνωμένων Εθνών (FAO) για το 2023 με τίτλο «Contribution of terrestrial animal source food to healthy diets for improved nutrition and health outcomes – An evidence and policy overview on the state of knowledge and gaps» (Συμβολή των τροφίμων χερσαίας ζωικής προέλευσης σε υγιεινά διαιτολόγια για βελτιωμένα αποτελέσματα διατροφής και υγείας – επισκόπηση των στοιχείων και των πολιτικών σχετικά με την κατάσταση των γνώσεων και τα υφιστάμενα κενά),</w:t>
      </w:r>
    </w:p>
    <w:p w14:paraId="0EC92921" w14:textId="683DF247" w:rsidR="00F166BD" w:rsidRPr="00B46E79" w:rsidRDefault="00F166BD" w:rsidP="00E40508">
      <w:pPr>
        <w:pStyle w:val="NormalHanging12a"/>
        <w:rPr>
          <w:bCs/>
          <w:iCs/>
        </w:rPr>
      </w:pPr>
      <w:r w:rsidRPr="00B46E79">
        <w:t>–</w:t>
      </w:r>
      <w:r w:rsidRPr="00B46E79">
        <w:tab/>
        <w:t xml:space="preserve">έχοντας υπόψη το ψήφισμα αριθ. 29 του Παγκόσμιου Οργανισμού για την Υγεία των Ζώων (WOAH) με τίτλο «Veterinary Vaccines and Vaccination From science to action – reflections for change» (Κτηνιατρικά εμβόλια και εμβολιασμός. Από την επιστήμη στη δράση — προβληματισμοί για αλλαγή), που εγκρίθηκε τον Μάιο </w:t>
      </w:r>
      <w:r w:rsidR="00E40508" w:rsidRPr="00B46E79">
        <w:t xml:space="preserve">του </w:t>
      </w:r>
      <w:r w:rsidRPr="00B46E79">
        <w:t>2025,</w:t>
      </w:r>
    </w:p>
    <w:p w14:paraId="563B8F7C" w14:textId="54DA002E" w:rsidR="00F166BD" w:rsidRPr="00B46E79" w:rsidRDefault="00F166BD" w:rsidP="00E40508">
      <w:pPr>
        <w:pStyle w:val="NormalHanging12a"/>
      </w:pPr>
      <w:r w:rsidRPr="00B46E79">
        <w:t>–</w:t>
      </w:r>
      <w:r w:rsidRPr="00B46E79">
        <w:tab/>
        <w:t>έχοντας υπόψη την ενημερωτική έκθεση της Ευρωπαϊκής Οικονομικής και Κοινωνικής Επιτροπής (ΕΟΚΕ) με τίτλο «Οφέλη της εκτατικής κτηνοτροφίας και των οργανικών λιπασμάτων στο πλαίσιο της Ευρωπαϊκής Πράσινης Συμφωνίας», που εγκρίθηκε στις 8</w:t>
      </w:r>
      <w:r w:rsidR="00E40508" w:rsidRPr="00B46E79">
        <w:t> </w:t>
      </w:r>
      <w:r w:rsidRPr="00B46E79">
        <w:t>Δεκεμβρίου 2021,</w:t>
      </w:r>
    </w:p>
    <w:p w14:paraId="45FC603D" w14:textId="77777777" w:rsidR="00F166BD" w:rsidRPr="00B46E79" w:rsidRDefault="00F166BD" w:rsidP="00E40508">
      <w:pPr>
        <w:pStyle w:val="NormalHanging12a"/>
      </w:pPr>
      <w:r w:rsidRPr="00B46E79">
        <w:t>–</w:t>
      </w:r>
      <w:r w:rsidRPr="00B46E79">
        <w:tab/>
        <w:t>έχοντας υπόψη το άρθρο 55 του Κανονισμού του,</w:t>
      </w:r>
    </w:p>
    <w:p w14:paraId="7E04D5FA" w14:textId="77777777" w:rsidR="00F166BD" w:rsidRPr="00B46E79" w:rsidRDefault="00F166BD" w:rsidP="00E40508">
      <w:pPr>
        <w:pStyle w:val="NormalHanging12a"/>
      </w:pPr>
      <w:r w:rsidRPr="00B46E79">
        <w:t>–</w:t>
      </w:r>
      <w:r w:rsidRPr="00B46E79">
        <w:tab/>
        <w:t>έχοντας υπόψη την έκθεση της Επιτροπής Γεωργίας και Ανάπτυξης της Υπαίθρου (A10-0088/2026),</w:t>
      </w:r>
    </w:p>
    <w:p w14:paraId="1A91E583" w14:textId="4A45D674" w:rsidR="00F166BD" w:rsidRPr="00B46E79" w:rsidRDefault="00F166BD" w:rsidP="00E40508">
      <w:pPr>
        <w:widowControl/>
        <w:spacing w:after="240"/>
        <w:ind w:left="567" w:hanging="567"/>
        <w:rPr>
          <w:rFonts w:eastAsia="Calibri"/>
          <w:szCs w:val="24"/>
        </w:rPr>
      </w:pPr>
      <w:bookmarkStart w:id="7" w:name="_Hlk225940437"/>
      <w:r w:rsidRPr="00B46E79">
        <w:t>Α.</w:t>
      </w:r>
      <w:r w:rsidRPr="00B46E79">
        <w:tab/>
        <w:t>λαμβάνοντας υπόψη ότι ο κτηνοτροφικός τομέας αποτελεί εδώ και καιρό βασικό πυλώνα της γεωργίας της ΕΕ, ιδίως στις αγροτικές περιοχές, και συμβάλλει σημαντικά και μοναδικά σε σημαντικό μερίδιο της οικονομίας της ΕΕ· λαμβάνοντας υπόψη ότι η αξία της ζωικής παραγωγής και των κτηνοτροφικών προϊόντων ανήλθε σε 214,3</w:t>
      </w:r>
      <w:r w:rsidR="00E40508" w:rsidRPr="00B46E79">
        <w:t> </w:t>
      </w:r>
      <w:r w:rsidRPr="00B46E79">
        <w:t xml:space="preserve">δισεκατομμύρια EUR </w:t>
      </w:r>
      <w:bookmarkStart w:id="8" w:name="_Hlk225940358"/>
      <w:r w:rsidRPr="00B46E79">
        <w:t>το 2023, ποσό που αντιστοιχεί στο 40 % της συνολικής γεωργικής παραγωγής της ΕΕ</w:t>
      </w:r>
      <w:bookmarkEnd w:id="8"/>
      <w:r w:rsidRPr="00B46E79">
        <w:t xml:space="preserve"> κατά το εν λόγω έτος, και λαμβάνοντας υπόψη ότι η </w:t>
      </w:r>
      <w:r w:rsidRPr="00B46E79">
        <w:lastRenderedPageBreak/>
        <w:t>κερδοφορία και η βιωσιμότητα της φυτικής παραγωγής εξαρτώνται από την ανθεκτική ζωική παραγωγή·</w:t>
      </w:r>
    </w:p>
    <w:bookmarkEnd w:id="7"/>
    <w:p w14:paraId="6A1E98A5" w14:textId="77777777" w:rsidR="00F166BD" w:rsidRPr="00B46E79" w:rsidRDefault="00F166BD" w:rsidP="00E40508">
      <w:pPr>
        <w:widowControl/>
        <w:spacing w:after="240"/>
        <w:ind w:left="567" w:hanging="567"/>
        <w:rPr>
          <w:rFonts w:eastAsia="Calibri"/>
          <w:szCs w:val="24"/>
        </w:rPr>
      </w:pPr>
      <w:r w:rsidRPr="00B46E79">
        <w:t>Β.</w:t>
      </w:r>
      <w:r w:rsidRPr="00B46E79">
        <w:tab/>
        <w:t>λαμβάνοντας υπόψη ότι η αλυσίδα αξίας της κτηνοτροφίας είναι μακρά και πολύπλοκη, με τη συμμετοχή πολλών παραγόντων από τους τομείς της αναπαραγωγής, των ζωοτροφών και της υγείας των ζώων έως τους γεωργούς και τη βιομηχανία μεταποίησης που συνδέονται με τη ζωική παραγωγή (μεταποίηση γάλακτος και κρέατος, ζωοτροφές και ζωικά υποπροϊόντα), και είναι καίριας σημασίας στην ΕΕ όσον αφορά την καινοτομία, τον κύκλο εργασιών και την απασχόληση·</w:t>
      </w:r>
    </w:p>
    <w:p w14:paraId="32D2EBC7" w14:textId="77777777" w:rsidR="00F166BD" w:rsidRPr="00B46E79" w:rsidRDefault="00F166BD" w:rsidP="00E40508">
      <w:pPr>
        <w:widowControl/>
        <w:spacing w:after="240"/>
        <w:ind w:left="567" w:hanging="567"/>
        <w:rPr>
          <w:rFonts w:eastAsia="Calibri"/>
          <w:szCs w:val="24"/>
        </w:rPr>
      </w:pPr>
      <w:r w:rsidRPr="00B46E79">
        <w:t>Γ.</w:t>
      </w:r>
      <w:r w:rsidRPr="00B46E79">
        <w:tab/>
        <w:t>λαμβάνοντας υπόψη ότι οι δίκαιες τιμές για τα ζωικά προϊόντα και οι περιφερειακές αξιακές αλυσίδες μπορούν να διασφαλίσουν το εισόδημα των γεωργών· λαμβάνοντας υπόψη ότι η γεωργική αξιακή αλυσίδα της ζωικής παραγωγής περιλαμβάνει ευρύ φάσμα παραγόντων, από τους τομείς πριν από τη συγκομιδή, όπως η αναπαραγωγή, η εκτροφή και η υγεία των ζώων έως τους γεωργούς και τη βιομηχανία μεταποίησης τροφίμων μετά τη συγκομιδή, και αποτελεί βασική αξιακή αλυσίδα στην ΕΕ όσον αφορά τον κύκλο εργασιών και την απασχόληση, δεδομένης της παρουσίας συνεχούς ανθρώπινης ανάμιξης στη διαδικασία παραγωγής, συμβάλλοντας σημαντικά στην επισιτιστική ασφάλεια και στην κυριαρχία και την αυτονομία πρωτεϊνών·</w:t>
      </w:r>
    </w:p>
    <w:p w14:paraId="60ABF21B" w14:textId="77777777" w:rsidR="00F166BD" w:rsidRPr="00B46E79" w:rsidRDefault="00F166BD" w:rsidP="00E40508">
      <w:pPr>
        <w:widowControl/>
        <w:spacing w:after="240"/>
        <w:ind w:left="567" w:hanging="567"/>
        <w:rPr>
          <w:rFonts w:eastAsia="Calibri"/>
          <w:szCs w:val="24"/>
        </w:rPr>
      </w:pPr>
      <w:r w:rsidRPr="00B46E79">
        <w:t>Δ.</w:t>
      </w:r>
      <w:r w:rsidRPr="00B46E79">
        <w:tab/>
        <w:t>λαμβάνοντας υπόψη ότι οι τοπικές δομές σφαγείων μπορούν να συμβάλουν σημαντικά στην περιφερειακή προστιθέμενη αξία, να μειώσουν το μήκος των αλυσίδων εφοδιασμού και να περιορίσουν τις εκπομπές που προκαλούνται από τη μεταφορά προϊόντων κρέατος, καθώς τα περιφερειακά σφαγεία μπορούν να ανταποκρίνονται καλύτερα στις ειδικές απαιτήσεις της αγοράς των επιμέρους περιφερειών και να προωθήσουν την οριζόμενη από τη ζήτηση παραγωγή·</w:t>
      </w:r>
    </w:p>
    <w:p w14:paraId="3F73D438" w14:textId="77777777" w:rsidR="00F166BD" w:rsidRPr="00B46E79" w:rsidRDefault="00F166BD" w:rsidP="00E40508">
      <w:pPr>
        <w:widowControl/>
        <w:spacing w:after="240"/>
        <w:ind w:left="567" w:hanging="567"/>
        <w:rPr>
          <w:rFonts w:eastAsia="Calibri"/>
          <w:szCs w:val="24"/>
        </w:rPr>
      </w:pPr>
      <w:r w:rsidRPr="00B46E79">
        <w:t>Ε.</w:t>
      </w:r>
      <w:r w:rsidRPr="00B46E79">
        <w:tab/>
        <w:t>λαμβάνοντας υπόψη ότι η κτηνοτροφία είναι ζωτικής σημασίας για πολλές ευρωπαϊκές περιφέρειες πολλές από τις οποίες βρίσκονται σε κίνδυνο αποπληθυσμού· λαμβάνοντας υπόψη ότι το 58 % των ευρωπαϊκών γεωργικών εκμεταλλεύσεων εκτρέφουν ζώα· λαμβάνοντας υπόψη ότι οι μικτές και εξειδικευμένες κτηνοτροφικές εκμεταλλεύσεις αντιπροσωπεύουν το 40,9 % των ευρωπαϊκών εκμεταλλεύσεων και οι ευρωπαϊκές κτηνοτροφικές εκμεταλλεύσεις απασχολούν περίπου 4 εκατομμύρια άτομα (μισθωτούς και μη μισθωτούς)· λαμβάνοντας υπόψη ότι τα τελευταία 20 χρόνια η Ευρωπαϊκή Ένωση έχασε το 37 % των αγροτών της και ότι το εισόδημα των αγροτών μειώθηκε κατά 12 % ανά εκτάριο·</w:t>
      </w:r>
    </w:p>
    <w:p w14:paraId="59A13D16" w14:textId="77777777" w:rsidR="00F166BD" w:rsidRPr="00B46E79" w:rsidRDefault="00F166BD" w:rsidP="00E40508">
      <w:pPr>
        <w:widowControl/>
        <w:spacing w:after="240"/>
        <w:ind w:left="567" w:hanging="567"/>
        <w:rPr>
          <w:rFonts w:eastAsia="Calibri"/>
          <w:szCs w:val="24"/>
        </w:rPr>
      </w:pPr>
      <w:r w:rsidRPr="00B46E79">
        <w:t>ΣΤ.</w:t>
      </w:r>
      <w:r w:rsidRPr="00B46E79">
        <w:tab/>
        <w:t>λαμβάνοντας υπόψη ότι σε πολλές περιοχές της ΕΕ, όπως ορεινές, ηπειρωτικές και αγροτικές περιοχές και αρκετές εξόχως απόκεντρες περιοχές, η κτηνοτροφική παραγωγή είναι η μόνη βιώσιμη οικονομική δραστηριότητα και διαδραματίζει θεμελιώδη ρόλο στη συγκράτηση των πληθυσμών, τη διατήρηση της ποικιλομορφίας και των παραδοσιακών τοπίων και την προώθηση άλλων τοπικών οικονομικών δραστηριοτήτων· λαμβάνοντας υπόψη ότι τα χρηματοδοτικά κονδύλια του προγράμματος ειδικών μέτρων λόγω του απομακρυσμένου και νησιωτικού χαρακτήρα ορισμένων περιφερειών (POSEI) πρέπει να αναθεωρηθούν ώστε να ληφθεί υπόψη η υποτίμηση που έχει προκαλέσει ο πληθωρισμός, ώστε το εν λόγω πρόγραμμα να εκπληρώσει τον ρόλο του να στηρίξει τους γεωργούς και τους κτηνοτρόφους στις εξόχως απόκεντρες περιοχές·</w:t>
      </w:r>
    </w:p>
    <w:p w14:paraId="19B15F8B" w14:textId="77777777" w:rsidR="00F166BD" w:rsidRPr="00B46E79" w:rsidRDefault="00F166BD" w:rsidP="00E40508">
      <w:pPr>
        <w:widowControl/>
        <w:spacing w:after="240"/>
        <w:ind w:left="567" w:hanging="567"/>
        <w:rPr>
          <w:rFonts w:eastAsia="Calibri"/>
          <w:szCs w:val="24"/>
        </w:rPr>
      </w:pPr>
      <w:r w:rsidRPr="00B46E79">
        <w:t>Ζ.</w:t>
      </w:r>
      <w:r w:rsidRPr="00B46E79">
        <w:tab/>
        <w:t xml:space="preserve">λαμβάνοντας υπόψη ότι ολόκληρος ο κτηνοτροφικός τομέας παρέχει κλιματικά και περιβαλλοντικά οφέλη μέσω της παγίδευσης του διοξειδίου του άνθρακα, της ρύθμισης </w:t>
      </w:r>
      <w:r w:rsidRPr="00B46E79">
        <w:lastRenderedPageBreak/>
        <w:t>των ροών των υδάτων και της βελτίωσης της ποιότητας των υδάτων, της προστασίας της βιοποικιλότητας, της πρόληψης των δασικών πυρκαγιών, της συγκράτησης του πληθυσμού στις αγροτικές περιοχές και της διατήρησης διαφοροποιημένων και ανοικτών τοπίων, ιδίως σε μειονεκτούσες και ορεινές περιοχές·</w:t>
      </w:r>
    </w:p>
    <w:p w14:paraId="44AB1636" w14:textId="77777777" w:rsidR="00F166BD" w:rsidRPr="00B46E79" w:rsidRDefault="00F166BD" w:rsidP="00E40508">
      <w:pPr>
        <w:widowControl/>
        <w:spacing w:after="240"/>
        <w:ind w:left="567" w:hanging="567"/>
        <w:rPr>
          <w:rFonts w:eastAsia="Calibri"/>
          <w:szCs w:val="24"/>
        </w:rPr>
      </w:pPr>
      <w:bookmarkStart w:id="9" w:name="_Hlk225941055"/>
      <w:r w:rsidRPr="00B46E79">
        <w:t>Η.</w:t>
      </w:r>
      <w:r w:rsidRPr="00B46E79">
        <w:tab/>
        <w:t>λαμβάνοντας υπόψη ότι τα μονογαστρικά ζώα, όπως οι χοίροι και τα πουλερικά, παράγουν λιγότερες εκπομπές αερίων του θερμοκηπίου λόγω της αποδοτικής αξιοποίησης των ζωοτροφών τους, και μπορούν να συμβάλουν περαιτέρω στην κυκλικότητα με τη χρήση προϊόντων ροής αποβλήτων στη διατροφή τους, ενώ η κοπριά τους χρησιμεύει ως φυσικό λίπασμα για τη φυτική παραγωγή· λαμβάνοντας υπόψη ότι η κλιματική αποδοτικότητα αρκετών ευρωπαϊκών μοντέλων ζωικής παραγωγής όσον αφορά τη γενετική, την τεχνολογία, την καινοτομία και τη γνώση είναι ζωτικής σημασίας για την παγκόσμια παραγωγή και τη βιωσιμότητά της·</w:t>
      </w:r>
    </w:p>
    <w:p w14:paraId="727FF0BA" w14:textId="77777777" w:rsidR="00F166BD" w:rsidRPr="00B46E79" w:rsidRDefault="00F166BD" w:rsidP="00E40508">
      <w:pPr>
        <w:widowControl/>
        <w:spacing w:after="240"/>
        <w:ind w:left="567" w:hanging="567"/>
        <w:rPr>
          <w:rFonts w:eastAsia="Calibri"/>
          <w:szCs w:val="24"/>
        </w:rPr>
      </w:pPr>
      <w:bookmarkStart w:id="10" w:name="_Hlk225940951"/>
      <w:r w:rsidRPr="00B46E79">
        <w:t>Θ.</w:t>
      </w:r>
      <w:r w:rsidRPr="00B46E79">
        <w:tab/>
        <w:t>λαμβάνοντας υπόψη ότι η ΕΕ είναι ο δεύτερος μεγαλύτερος παραγωγός κρέατος στον κόσμο μετά την Κίνα αλλά πριν από τις Ηνωμένες Πολιτείες και τα κτηνοτροφικά συστήματα της ΕΕ συμβάλλουν σημαντικά στην οικονομία, το εμπόριο και τις συναφείς θέσεις εργασίας στην ΕΕ και τηρούν κορυφαία παγκοσμίως πρότυπα καλής διαβίωσης των ζώων, αποδοτικότητας και βιωσιμότητας·</w:t>
      </w:r>
    </w:p>
    <w:p w14:paraId="31430AFA" w14:textId="77777777" w:rsidR="00F166BD" w:rsidRPr="00B46E79" w:rsidRDefault="00F166BD" w:rsidP="00E40508">
      <w:pPr>
        <w:widowControl/>
        <w:spacing w:after="240"/>
        <w:ind w:left="567" w:hanging="567"/>
        <w:rPr>
          <w:rFonts w:eastAsia="Calibri"/>
          <w:szCs w:val="24"/>
        </w:rPr>
      </w:pPr>
      <w:r w:rsidRPr="00B46E79">
        <w:t>Ι.</w:t>
      </w:r>
      <w:r w:rsidRPr="00B46E79">
        <w:tab/>
        <w:t>λαμβάνοντας υπόψη ότι το κρέας από χοιρινό και πουλερικά αντιπροσωπεύουν σημαντικό μερίδιο της παραγωγής κρέατος στην ΕΕ, το οποίο διαδραματίζει καίριο ρόλο στη διασφάλιση της επισιτιστικής ασφάλειας, στην προσφορά οικονομικά προσιτών προϊόντων στους Ευρωπαίους καταναλωτές και στη διατήρηση των μέσων διαβίωσης πολλών αγροτών· λαμβάνοντας υπόψη ότι η ενίσχυση της βιωσιμότητας των συμβατικών συστημάτων θα επιτρέψει μεγάλες βελτιώσεις της βιωσιμότητας, γεγονός που θα ωφελήσει ευρεία βάση καταναλωτών, συμπεριλαμβανομένων των καταναλωτών με χαμηλότερα εισοδήματα, διασφαλίζοντας ότι οι ζωικές πρωτεΐνες παραμένουν οικονομικά προσιτές και προσβάσιμες σε όλους τους πολίτες της ΕΕ·</w:t>
      </w:r>
    </w:p>
    <w:bookmarkEnd w:id="9"/>
    <w:bookmarkEnd w:id="10"/>
    <w:p w14:paraId="7408F8F3" w14:textId="77777777" w:rsidR="00F166BD" w:rsidRPr="00B46E79" w:rsidRDefault="00F166BD" w:rsidP="00E40508">
      <w:pPr>
        <w:widowControl/>
        <w:spacing w:after="240"/>
        <w:ind w:left="567" w:hanging="567"/>
        <w:rPr>
          <w:rFonts w:eastAsia="Calibri"/>
          <w:szCs w:val="24"/>
        </w:rPr>
      </w:pPr>
      <w:r w:rsidRPr="00B46E79">
        <w:t>ΙΑ.</w:t>
      </w:r>
      <w:r w:rsidRPr="00B46E79">
        <w:tab/>
        <w:t>λαμβάνοντας υπόψη ότι το 2023 η ΕΕ είχε 133 εκατομμύρια χοίρους, 74 εκατομμύρια βοοειδή, 58 εκατομμύρια πρόβατα, 11 εκατομμύρια αίγες και περίπου 1,63 δισεκατομμύρια πουλερικά·</w:t>
      </w:r>
    </w:p>
    <w:p w14:paraId="17438435" w14:textId="77777777" w:rsidR="00F166BD" w:rsidRPr="00B46E79" w:rsidRDefault="00F166BD" w:rsidP="00E40508">
      <w:pPr>
        <w:widowControl/>
        <w:spacing w:after="240"/>
        <w:ind w:left="567" w:hanging="567"/>
        <w:rPr>
          <w:rFonts w:eastAsia="Calibri"/>
          <w:szCs w:val="24"/>
        </w:rPr>
      </w:pPr>
      <w:r w:rsidRPr="00B46E79">
        <w:t>ΙΒ.</w:t>
      </w:r>
      <w:r w:rsidRPr="00B46E79">
        <w:tab/>
        <w:t>λαμβάνοντας υπόψη ότι το 2023 η ΕΕ παρήγαγε 40,7 εκατομμύρια τόνους κρέατος, εκ των οποίων χοιρινό κρέας (50 %), κρέας πουλερικών (32 %), βόειο κρέας (15 %) και αιγοπρόβειο κρέας (1 %)·</w:t>
      </w:r>
    </w:p>
    <w:p w14:paraId="14339789" w14:textId="77777777" w:rsidR="00F166BD" w:rsidRPr="00B46E79" w:rsidRDefault="00F166BD" w:rsidP="00E40508">
      <w:pPr>
        <w:widowControl/>
        <w:spacing w:after="240"/>
        <w:ind w:left="567" w:hanging="567"/>
        <w:rPr>
          <w:rFonts w:eastAsia="Calibri"/>
          <w:szCs w:val="24"/>
        </w:rPr>
      </w:pPr>
      <w:r w:rsidRPr="00B46E79">
        <w:t>ΙΓ.</w:t>
      </w:r>
      <w:r w:rsidRPr="00B46E79">
        <w:tab/>
        <w:t>λαμβάνοντας υπόψη ότι η ΕΕ είναι ο μεγαλύτερος παραγωγός αγελαδινού γάλακτος παγκοσμίως, αντιπροσωπεύοντας πάνω από το 20 % της παγκόσμιας προσφοράς γάλακτος, και κατέχει ηγετική θέση στο διεθνές εμπόριο γαλακτοκομικών προϊόντων, αντιπροσωπεύοντας πάνω από το 30 % των παγκόσμιων εξαγωγών γαλακτοκομικών προϊόντων·</w:t>
      </w:r>
    </w:p>
    <w:p w14:paraId="1A4911AD" w14:textId="77777777" w:rsidR="00F166BD" w:rsidRPr="00B46E79" w:rsidRDefault="00F166BD" w:rsidP="00E40508">
      <w:pPr>
        <w:widowControl/>
        <w:spacing w:after="240"/>
        <w:ind w:left="567" w:hanging="567"/>
        <w:rPr>
          <w:rFonts w:eastAsia="Calibri"/>
          <w:szCs w:val="24"/>
        </w:rPr>
      </w:pPr>
      <w:r w:rsidRPr="00B46E79">
        <w:t>ΙΔ.</w:t>
      </w:r>
      <w:r w:rsidRPr="00B46E79">
        <w:tab/>
        <w:t xml:space="preserve">λαμβάνοντας υπόψη ότι οι καθαρές εξαγωγές ζωικών προϊόντων της ΕΕ έχουν υπερτριπλασιαστεί από το 2000 και ανήλθαν σε 37,8 δισεκατομμύρια EUR το 2024 (εξαιρουμένου του ενδοκοινοτικού εμπορίου) σε μία συγκυρία όπου η παγκόσμια </w:t>
      </w:r>
      <w:r w:rsidRPr="00B46E79">
        <w:lastRenderedPageBreak/>
        <w:t>ζήτηση για κρέας, γαλακτοκομικά προϊόντα και αυγά αναμένεται να αυξηθεί κατά 25 έως 50 % έως το 2050, σύμφωνα με τα τελευταία σενάρια του FAO</w:t>
      </w:r>
      <w:r w:rsidRPr="00B46E79">
        <w:rPr>
          <w:rStyle w:val="FootnoteReference"/>
        </w:rPr>
        <w:footnoteReference w:id="28"/>
      </w:r>
      <w:r w:rsidRPr="00B46E79">
        <w:t>·</w:t>
      </w:r>
    </w:p>
    <w:p w14:paraId="0037E874" w14:textId="77777777" w:rsidR="00F166BD" w:rsidRPr="00B46E79" w:rsidRDefault="00F166BD" w:rsidP="00E40508">
      <w:pPr>
        <w:widowControl/>
        <w:spacing w:after="240"/>
        <w:ind w:left="567" w:hanging="567"/>
        <w:rPr>
          <w:rFonts w:eastAsia="Calibri"/>
          <w:szCs w:val="24"/>
        </w:rPr>
      </w:pPr>
      <w:bookmarkStart w:id="11" w:name="_Hlk225257994"/>
      <w:r w:rsidRPr="00B46E79">
        <w:t>ΙΕ.</w:t>
      </w:r>
      <w:r w:rsidRPr="00B46E79">
        <w:tab/>
        <w:t>λαμβάνοντας υπόψη ότι το 2023 η ΕΕ εισήγαγε σχεδόν 900 000 τόνους κρέατος πουλερικών, περισσότερους από 340 000 τόνους βοείου κρέατος και περίπου 150 000 τόνους πρόβειου κρέατος·</w:t>
      </w:r>
    </w:p>
    <w:bookmarkEnd w:id="11"/>
    <w:p w14:paraId="7BDD4C01" w14:textId="77777777" w:rsidR="00F166BD" w:rsidRPr="00B46E79" w:rsidRDefault="00F166BD" w:rsidP="00E40508">
      <w:pPr>
        <w:pStyle w:val="NormalHanging12a"/>
        <w:rPr>
          <w:rFonts w:eastAsia="Calibri"/>
          <w:snapToGrid/>
          <w:szCs w:val="24"/>
        </w:rPr>
      </w:pPr>
      <w:r w:rsidRPr="00B46E79">
        <w:rPr>
          <w:snapToGrid/>
        </w:rPr>
        <w:t>ΙΣΤ.</w:t>
      </w:r>
      <w:r w:rsidRPr="00B46E79">
        <w:tab/>
        <w:t>λαμβάνοντας υπόψη ότι τα προϊόντα ζωικής προέλευσης με γεωγραφικές ενδείξεις (ΓΕ) αντιπροσωπεύουν σχεδόν το 20 % του συνόλου των γεωγραφικών ενδείξεων της ΕΕ και αντιπροσωπεύουν σημαντική προστιθέμενη αξία για τις αγροτικές οικονομίες, αντικατοπτρίζοντας όχι μόνο την οικονομική τους σημασία αλλά και την πολιτιστική αξία της γαστρονομικής κληρονομιάς της ΕΕ·</w:t>
      </w:r>
    </w:p>
    <w:p w14:paraId="73B9C676" w14:textId="77777777" w:rsidR="00F166BD" w:rsidRPr="00B46E79" w:rsidRDefault="00F166BD" w:rsidP="00E40508">
      <w:pPr>
        <w:widowControl/>
        <w:spacing w:after="240"/>
        <w:ind w:left="567" w:hanging="567"/>
        <w:rPr>
          <w:rFonts w:eastAsia="Calibri"/>
          <w:szCs w:val="24"/>
        </w:rPr>
      </w:pPr>
      <w:r w:rsidRPr="00B46E79">
        <w:t>ΙΖ.</w:t>
      </w:r>
      <w:r w:rsidRPr="00B46E79">
        <w:tab/>
        <w:t xml:space="preserve">λαμβάνοντας υπόψη ότι η μη τιμολογιακή ανταγωνιστικότητα, συμπεριλαμβανομένων υψηλών προτύπων που συνδέονται με την ασφάλεια, την ιχνηλασιμότητα και την ποιότητα των προϊόντων, αποτελεί βασικό χαρακτηριστικό της ζωικής παραγωγής της ΕΕ, αλλά επιφέρει υψηλότερο κόστος παραγωγής και υψηλότερες τιμές προϊόντων σε σύγκριση με τους εμπορικούς εταίρους της ΕΕ· λαμβάνοντας υπόψη ότι η διατήρηση αυτών των υψηλών προτύπων της ΕΕ για το περιβάλλον, την ασφάλεια των τροφίμων και την καλή διαβίωση των ζώων επηρεάζει τη διεθνή ανταγωνιστικότητα του κτηνοτροφικού τομέα της ΕΕ και, ως εκ τούτου, απαιτείται ιδιαίτερη προσοχή κατά τη διαπραγμάτευση και τη σύναψη εμπορικών συμφωνιών· </w:t>
      </w:r>
    </w:p>
    <w:p w14:paraId="38FF8E16" w14:textId="77777777" w:rsidR="00F166BD" w:rsidRPr="00B46E79" w:rsidRDefault="00F166BD" w:rsidP="00E40508">
      <w:pPr>
        <w:widowControl/>
        <w:spacing w:after="240"/>
        <w:ind w:left="567" w:hanging="567"/>
        <w:rPr>
          <w:rFonts w:eastAsia="Calibri"/>
          <w:szCs w:val="24"/>
        </w:rPr>
      </w:pPr>
      <w:bookmarkStart w:id="12" w:name="_Hlk225946356"/>
      <w:r w:rsidRPr="00B46E79">
        <w:t>ΙΗ.</w:t>
      </w:r>
      <w:r w:rsidRPr="00B46E79">
        <w:tab/>
        <w:t>λαμβάνοντας υπόψη οι κτηνοτρόφοι αντιμετωπίζουν νομοθετική επιβάρυνση καθώς η συμμόρφωση επιφέρει κόστη και οι συνεχείς νομοθετικές αλλαγές προκαλούν αβεβαιότητα κατά την πραγματοποίηση δαπανηρών επενδύσεων· λαμβάνοντας υπόψη ότι ένα σταθερό νομοθετικό πλαίσιο αποτελεί ουσιώδη εγγύηση για τους Ευρωπαίους αγρότες στις προσπάθειές τους να σχεδιάσουν και να διατηρήσουν και να αυξήσουν το παραγωγικό δυναμικό τους·</w:t>
      </w:r>
    </w:p>
    <w:p w14:paraId="3EFAA727" w14:textId="77777777" w:rsidR="00F166BD" w:rsidRPr="00B46E79" w:rsidRDefault="00F166BD" w:rsidP="00E40508">
      <w:pPr>
        <w:widowControl/>
        <w:spacing w:after="240"/>
        <w:ind w:left="567" w:hanging="567"/>
        <w:rPr>
          <w:rFonts w:eastAsia="Calibri"/>
          <w:szCs w:val="24"/>
        </w:rPr>
      </w:pPr>
      <w:r w:rsidRPr="00B46E79">
        <w:t>ΙΘ.</w:t>
      </w:r>
      <w:r w:rsidRPr="00B46E79">
        <w:tab/>
        <w:t>λαμβάνοντας υπόψη ότι η πολιτική της ΕΕ για την προώθηση της γεωργίας διαδραματίζει καίριο ρόλο στην αύξηση της προβολής και της ανταγωνιστικότητας των ευρωπαϊκών αγροδιατροφικών προϊόντων υψηλής ποιότητας, συμπεριλαμβανομένων των ζωικών προϊόντων, τόσο στην εσωτερική αγορά όσο και στο εξωτερικό· λαμβάνοντας υπόψη ότι αυτή η πολιτική και οι εξαγωγές σε βασικές αγορές τις οποίες υποστηρίζει αποτελούν σημαντικές κινητήριες δυνάμεις για τη βελτίωση των εσόδων των αγροτών και τους επιτρέπουν να επενδύσουν περαιτέρω στον εκσυγχρονισμό των εκμεταλλεύσεών τους·</w:t>
      </w:r>
    </w:p>
    <w:p w14:paraId="30EB4FBF" w14:textId="77777777" w:rsidR="00F166BD" w:rsidRPr="00B46E79" w:rsidRDefault="00F166BD" w:rsidP="00E40508">
      <w:pPr>
        <w:widowControl/>
        <w:spacing w:after="240"/>
        <w:ind w:left="567" w:hanging="567"/>
        <w:rPr>
          <w:rFonts w:eastAsia="Calibri"/>
          <w:szCs w:val="24"/>
        </w:rPr>
      </w:pPr>
      <w:r w:rsidRPr="00B46E79">
        <w:t>Κ.</w:t>
      </w:r>
      <w:r w:rsidRPr="00B46E79">
        <w:tab/>
        <w:t>λαμβάνοντας υπόψη ότι ο αριθμός των εκτρεφόμενων ζώων, το μέγεθος των εκμεταλλεύσεων και των κοπαδιών, ο βαθμός τομεακής εξειδίκευσης, η ένταση της παραγωγής που μετράται με βάση τον αριθμό των μονάδων ζωικού κεφαλαίου ανά εκτάριο και η αναλογία χορτολιβαδικών εκτάσεων στη χρησιμοποιούμενη γεωργική έκταση (ΧΓΕ) ποικίλλουν σημαντικά από το ένα κράτος μέλος στο άλλο και, εντός των κρατών μελών, από τη μία περιφέρεια στην άλλη·</w:t>
      </w:r>
    </w:p>
    <w:bookmarkEnd w:id="12"/>
    <w:p w14:paraId="4E5F1E4A" w14:textId="77777777" w:rsidR="00F166BD" w:rsidRPr="00B46E79" w:rsidRDefault="00F166BD" w:rsidP="00E40508">
      <w:pPr>
        <w:widowControl/>
        <w:spacing w:after="240"/>
        <w:ind w:left="567" w:hanging="567"/>
        <w:rPr>
          <w:rFonts w:eastAsia="Calibri"/>
          <w:szCs w:val="24"/>
        </w:rPr>
      </w:pPr>
      <w:r w:rsidRPr="00B46E79">
        <w:lastRenderedPageBreak/>
        <w:t>ΚΑ.</w:t>
      </w:r>
      <w:r w:rsidRPr="00B46E79">
        <w:tab/>
        <w:t>λαμβάνοντας υπόψη ότι η κτηνοτροφία, και ιδίως στις γεωργικές εκμεταλλεύσεις μικρού και μεσαίου μεγέθους, αντιμετωπίζει επί του παρόντος διάφορες οικονομικές, περιβαλλοντικές και κοινωνικές προκλήσεις·</w:t>
      </w:r>
    </w:p>
    <w:p w14:paraId="3219D6CC" w14:textId="77777777" w:rsidR="00F166BD" w:rsidRPr="00B46E79" w:rsidRDefault="00F166BD" w:rsidP="00E40508">
      <w:pPr>
        <w:widowControl/>
        <w:spacing w:after="240"/>
        <w:ind w:left="567" w:hanging="567"/>
        <w:rPr>
          <w:rFonts w:eastAsia="Calibri"/>
          <w:szCs w:val="24"/>
        </w:rPr>
      </w:pPr>
      <w:r w:rsidRPr="00B46E79">
        <w:t>ΚΒ.</w:t>
      </w:r>
      <w:r w:rsidRPr="00B46E79">
        <w:tab/>
        <w:t>λαμβάνοντας υπόψη ότι οι πληθυσμοί ζωικού κεφαλαίου έχουν μειωθεί κατά την τελευταία δεκαετία, με τα στατιστικά στοιχεία της Eurostat να δείχνουν μείωση, κατά την περίοδο 2014-2024, 8,1 % για τους χοίρους, 8,7 % για τα βοοειδή, ιδίως κατά την τελευταία τετραετία, 9,4 % για τα πρόβατα και 16,3 % για τις αίγες· λαμβάνοντας υπόψη ότι η μόνη εξαίρεση είναι στον τομέα των πουλερικών, όπου οι πληθυσμοί έχουν αυξηθεί·</w:t>
      </w:r>
    </w:p>
    <w:p w14:paraId="245228C0" w14:textId="77777777" w:rsidR="00F166BD" w:rsidRPr="00B46E79" w:rsidRDefault="00F166BD" w:rsidP="00E40508">
      <w:pPr>
        <w:widowControl/>
        <w:spacing w:after="240"/>
        <w:ind w:left="567" w:hanging="567"/>
        <w:rPr>
          <w:rFonts w:eastAsia="Calibri"/>
          <w:szCs w:val="24"/>
        </w:rPr>
      </w:pPr>
      <w:r w:rsidRPr="00B46E79">
        <w:t>ΚΓ.</w:t>
      </w:r>
      <w:r w:rsidRPr="00B46E79">
        <w:tab/>
        <w:t>λαμβάνοντας υπόψη ότι, στο όραμά της για τη γεωργία και τα τρόφιμα, η Επιτροπή υπογραμμίζει την ανάγκη για ένα μακροπρόθεσμο όραμα για τον τομέα της ζωικής παραγωγής και δρομολόγησε έναν άξονα εργασίας για την κτηνοτροφία που διερευνά πολιτικές οδούς για έναν ανταγωνιστικό και βιώσιμο κτηνοτροφικό τομέα στην ΕΕ·</w:t>
      </w:r>
    </w:p>
    <w:p w14:paraId="7EF22304" w14:textId="77777777" w:rsidR="00F166BD" w:rsidRPr="00B46E79" w:rsidRDefault="00F166BD" w:rsidP="00E40508">
      <w:pPr>
        <w:widowControl/>
        <w:spacing w:after="240"/>
        <w:ind w:left="567" w:hanging="567"/>
        <w:rPr>
          <w:rFonts w:eastAsia="Calibri"/>
          <w:szCs w:val="24"/>
        </w:rPr>
      </w:pPr>
      <w:r w:rsidRPr="00B46E79">
        <w:t>ΚΔ.</w:t>
      </w:r>
      <w:r w:rsidRPr="00B46E79">
        <w:tab/>
        <w:t>λαμβάνοντας υπόψη ότι τα ζωικά προϊόντα, όταν καταναλώνονται σύμφωνα με τις οδηγίες του Παγκόσμιου Οργανισμού Υγείας, συμβάλλουν σε ισορροπημένη και θρεπτική διατροφή παρέχοντας μια σταθερή πηγή βασικών θρεπτικών ουσιών, όπως πρωτεΐνες υψηλής ποιότητας, βιταμίνες και ανόργανα στοιχεία·</w:t>
      </w:r>
    </w:p>
    <w:p w14:paraId="2A36456B" w14:textId="77777777" w:rsidR="00F166BD" w:rsidRPr="00B46E79" w:rsidRDefault="00F166BD" w:rsidP="00E40508">
      <w:pPr>
        <w:widowControl/>
        <w:spacing w:after="240"/>
        <w:ind w:left="567" w:hanging="567"/>
        <w:rPr>
          <w:rFonts w:eastAsia="Calibri"/>
          <w:szCs w:val="24"/>
        </w:rPr>
      </w:pPr>
      <w:r w:rsidRPr="00B46E79">
        <w:t>ΚΕ.</w:t>
      </w:r>
      <w:r w:rsidRPr="00B46E79">
        <w:tab/>
        <w:t xml:space="preserve">λαμβάνοντας υπόψη ότι, κατά τα επόμενα 30 έτη, η παγκόσμια κατανάλωση ζωικών πρωτεϊνών αναμένεται να αυξηθεί, γεγονός που, σε συνδυασμό με την αύξηση του παγκόσμιου πληθυσμού, θα οδηγήσει σε σημαντική αύξηση των επιπέδων ζήτησης· λαμβάνοντας υπόψη ότι η κτηνοτροφική παραγωγή της ΕΕ, ως βασική πηγή τοπικά παραγόμενης πρωτεΐνης υψηλής ποιότητας, θα πρέπει να αναγνωριστεί ως στρατηγικός πυλώνας για την ενίσχυση της πρωτεϊνικής κυριαρχίας της Ένωσης και για τη συμβολή στην οικονομική ανθεκτικότητα, τη στρατηγική αυτονομία και την κοινωνική ευθύνη· </w:t>
      </w:r>
    </w:p>
    <w:p w14:paraId="7F11E22C" w14:textId="77777777" w:rsidR="00F166BD" w:rsidRPr="00B46E79" w:rsidRDefault="00F166BD" w:rsidP="00E40508">
      <w:pPr>
        <w:widowControl/>
        <w:spacing w:after="240"/>
        <w:ind w:left="567" w:hanging="567"/>
        <w:rPr>
          <w:rFonts w:eastAsia="Calibri"/>
          <w:szCs w:val="24"/>
        </w:rPr>
      </w:pPr>
      <w:r w:rsidRPr="00B46E79">
        <w:t>ΚΣΤ.</w:t>
      </w:r>
      <w:r w:rsidRPr="00B46E79">
        <w:tab/>
        <w:t>λαμβάνοντας υπόψη ότι είναι σημαντικό η ΕΕ, η οποία συγκαταλέγεται μεταξύ των πλέον αποδοτικών παραγωγών ζωικών πρωτεϊνών όσον αφορά τις εκπομπές αερίων του θερμοκηπίου, να διατηρήσει την ικανότητά της να παράγει ζωικές πρωτεΐνες με βιώσιμο τρόπο, καθώς η μείωση της εγχώριας παραγωγής ή η μετατόπιση της παραγωγής σε περιοχές με λιγότερο αποδοτικά συστήματα είναι πιθανό να οδηγήσει σε υψηλότερες παγκόσμιες εκπομπές αερίων του θερμοκηπίου·</w:t>
      </w:r>
    </w:p>
    <w:p w14:paraId="6C1EBD0D" w14:textId="77777777" w:rsidR="00F166BD" w:rsidRPr="00B46E79" w:rsidRDefault="00F166BD" w:rsidP="00E40508">
      <w:pPr>
        <w:widowControl/>
        <w:spacing w:after="240"/>
        <w:ind w:left="567" w:hanging="567"/>
        <w:rPr>
          <w:rFonts w:eastAsia="Calibri"/>
          <w:szCs w:val="24"/>
        </w:rPr>
      </w:pPr>
      <w:r w:rsidRPr="00B46E79">
        <w:t>ΚΖ.</w:t>
      </w:r>
      <w:r w:rsidRPr="00B46E79">
        <w:tab/>
        <w:t>λαμβάνοντας υπόψη ότι, σύμφωνα με την Επιτροπή, η ΕΕ είναι αυτάρκης μόνο κατά 75 % σε πηγές ακατέργαστων πρωτεϊνών και εξακολουθεί να εξαρτάται από τις εισαγωγές για πάνω από το 70 % των αναγκών της σε φυτικές πρωτεΐνες, όπως το σογιάλευρο και άλλα προϊόντα ελαιούχων σπόρων, γεγονός που αφήνει τον ευρωπαϊκό γεωργικό τομέα εκτεθειμένο σε σημαντικά τρωτά σημεία, συμπεριλαμβανομένης της γεωπολιτικής αστάθειας, των εμπορικών περιορισμών και των διαταραχών στην αλυσίδα εφοδιασμού·</w:t>
      </w:r>
    </w:p>
    <w:p w14:paraId="72477A5B" w14:textId="77777777" w:rsidR="00F166BD" w:rsidRPr="00B46E79" w:rsidRDefault="00F166BD" w:rsidP="00E40508">
      <w:pPr>
        <w:widowControl/>
        <w:spacing w:after="240"/>
        <w:ind w:left="567" w:hanging="567"/>
        <w:rPr>
          <w:rFonts w:eastAsia="Aptos"/>
          <w:kern w:val="2"/>
          <w:szCs w:val="24"/>
          <w14:ligatures w14:val="standardContextual"/>
        </w:rPr>
      </w:pPr>
      <w:r w:rsidRPr="00B46E79">
        <w:t>ΚΗ.</w:t>
      </w:r>
      <w:r w:rsidRPr="00B46E79">
        <w:tab/>
        <w:t xml:space="preserve">λαμβάνοντας υπόψη ότι ο αριθμός των κτηνοτρόφων στην ΕΕ μειώνεται ραγδαία κατά συνέπεια των οικονομικών δυσκολιών, ιδίως συνδεόμενων με περιορισμένη κερδοφορία, καθώς και της έλλειψης ελκυστικότητας του τομέα, των προκλήσεων από την εξάπλωση νοσημάτων που μεταδίδονται μέσω διαβιβαστών και άλλων νόσων των ζώων και της μεγάλης έλλειψης ανανέωσης των γενεών· λαμβάνοντας υπόψη ότι η ΕΕ αντιμετωπίζει κρίσιμη έλλειψη κτηνιάτρων, ειδικευμένων σε ζώα εκμεταλλεύσεως· λαμβάνοντας υπόψη ότι η εγκατάλειψη της κτηνοτροφικής παραγωγής από τους </w:t>
      </w:r>
      <w:r w:rsidRPr="00B46E79">
        <w:lastRenderedPageBreak/>
        <w:t>αγρότες συνδέεται επίσης συχνά με τη συγκέντρωση της παραγωγής σε μεγάλες εκμεταλλεύσεις και την πίεση από γείτονες που δεν δραστηριοποιούνται στον γεωργικό τομέα συμπεριλαμβανομένων των διαμαρτυριών τους σχετικά με τις «οχλήσεις» που είναι εγγενείς στην κτηνοτροφία και τη γεωργική παραγωγή, όπως οι οσμές, ο θόρυβος και η σκόνη·</w:t>
      </w:r>
    </w:p>
    <w:p w14:paraId="3B2DDEC8" w14:textId="77777777" w:rsidR="00F166BD" w:rsidRPr="00B46E79" w:rsidRDefault="00F166BD" w:rsidP="00E40508">
      <w:pPr>
        <w:widowControl/>
        <w:spacing w:after="240"/>
        <w:ind w:left="567" w:hanging="567"/>
        <w:rPr>
          <w:rFonts w:eastAsia="Calibri"/>
          <w:szCs w:val="24"/>
        </w:rPr>
      </w:pPr>
      <w:r w:rsidRPr="00B46E79">
        <w:t>ΚΘ.</w:t>
      </w:r>
      <w:r w:rsidRPr="00B46E79">
        <w:tab/>
        <w:t>λαμβάνοντας υπόψη ότι, στο πλαίσιο αυτό, είναι σημαντικό να βελτιωθεί η ελκυστικότητα του τομέα μέσω εισοδηματικής στήριξης, εξορθολογισμένης γραφειοκρατίας, στοχευμένων κινήτρων και βελτιωμένων συνθηκών διαβίωσης στις αγροτικές περιοχές, ώστε να διασφαλιστεί ότι η κτηνοτροφία είναι βιώσιμη και συμβάλλει στη διασφάλιση της εδαφικής συνοχής της ΕΕ·</w:t>
      </w:r>
    </w:p>
    <w:p w14:paraId="69C883E2" w14:textId="77777777" w:rsidR="00F166BD" w:rsidRPr="00B46E79" w:rsidRDefault="00F166BD" w:rsidP="00E40508">
      <w:pPr>
        <w:widowControl/>
        <w:spacing w:after="240"/>
        <w:ind w:left="567" w:hanging="567"/>
        <w:rPr>
          <w:rFonts w:eastAsia="Aptos"/>
          <w:kern w:val="2"/>
          <w:szCs w:val="24"/>
          <w14:ligatures w14:val="standardContextual"/>
        </w:rPr>
      </w:pPr>
      <w:r w:rsidRPr="00B46E79">
        <w:t>Λ.</w:t>
      </w:r>
      <w:r w:rsidRPr="00B46E79">
        <w:tab/>
        <w:t>λαμβάνοντας υπόψη ότι μία από τις κύριες προκλήσεις που αντιμετωπίζει ο ευρωπαϊκός κτηνοτροφικός τομέας είναι η έλλειψη συμμετοχής των νέων και νεοεισερχόμενων αγροτών, καθώς και οι ελλείψεις εργατικού δυναμικού· λαμβάνοντας υπόψη ότι είναι, επομένως, αναγκαίο να διευκολυνθούν οι εγκαταστάσεις νέων γεωργών και οι εξαγορές γεωργικών εκμεταλλεύσεων με την παροχή στοχευμένης αρχικής υποστήριξης, και την παράλληλη καταπολέμηση της υπερχρέωσης των κτηνοτρόφων· λαμβάνοντας υπόψη ότι το εισόδημα που παράγεται από τη γεωργία δεν επαρκεί για την προσέλκυση ειδικευμένου εργατικού δυναμικού στον τομέα·</w:t>
      </w:r>
    </w:p>
    <w:p w14:paraId="4C785E27" w14:textId="77777777" w:rsidR="00F166BD" w:rsidRPr="00B46E79" w:rsidRDefault="00F166BD" w:rsidP="00E40508">
      <w:pPr>
        <w:widowControl/>
        <w:spacing w:after="240"/>
        <w:ind w:left="567" w:hanging="567"/>
        <w:rPr>
          <w:rFonts w:eastAsia="Calibri"/>
          <w:szCs w:val="24"/>
        </w:rPr>
      </w:pPr>
      <w:r w:rsidRPr="00B46E79">
        <w:t>ΛΑ.</w:t>
      </w:r>
      <w:r w:rsidRPr="00B46E79">
        <w:tab/>
        <w:t>λαμβάνοντας υπόψη ότι πλέον στον κτηνοτροφικό τομέα της ΕΕ εργάζονται περισσότερες γυναίκες από ποτέ και ότι η ενεργός συμμετοχή τους θα πρέπει να υποστηριχθεί και να προωθηθεί και ότι η συμβολή τους θα πρέπει να αναγνωριστεί καλύτερα·</w:t>
      </w:r>
    </w:p>
    <w:p w14:paraId="40C0CAF8" w14:textId="77777777" w:rsidR="00F166BD" w:rsidRPr="00B46E79" w:rsidRDefault="00F166BD" w:rsidP="00E40508">
      <w:pPr>
        <w:widowControl/>
        <w:spacing w:after="240"/>
        <w:ind w:left="567" w:hanging="567"/>
        <w:rPr>
          <w:rFonts w:eastAsia="Calibri"/>
          <w:szCs w:val="24"/>
        </w:rPr>
      </w:pPr>
      <w:r w:rsidRPr="00B46E79">
        <w:t>ΛΒ.</w:t>
      </w:r>
      <w:r w:rsidRPr="00B46E79">
        <w:tab/>
        <w:t>λαμβάνοντας υπόψη ότι οι συνεταιρισμοί γεωργικών προϊόντων διατροφής είναι επιχειρήσεις που συγκροτούνται από κτηνοτρόφους οι οποίοι αποφασίζουν να ενώσουν τις δυνάμεις τους για να εμπορεύονται μαζί τα προϊόντα τους, να πραγματοποιούν κοινές επενδύσεις που επιφέρουν μεγαλύτερη αξία για τα μέλη τους και προσφέρουν υπηρεσίες και χρηματοδότηση που διαφορετικά θα ήταν πολύ δύσκολο να αποκτηθούν·</w:t>
      </w:r>
    </w:p>
    <w:p w14:paraId="3F376CE7" w14:textId="77777777" w:rsidR="00F166BD" w:rsidRPr="00B46E79" w:rsidRDefault="00F166BD" w:rsidP="00E40508">
      <w:pPr>
        <w:widowControl/>
        <w:spacing w:after="240"/>
        <w:ind w:left="567" w:hanging="567"/>
        <w:rPr>
          <w:rFonts w:eastAsia="Calibri"/>
          <w:szCs w:val="24"/>
        </w:rPr>
      </w:pPr>
      <w:r w:rsidRPr="00B46E79">
        <w:t>ΛΓ.</w:t>
      </w:r>
      <w:r w:rsidRPr="00B46E79">
        <w:tab/>
        <w:t>λαμβάνοντας υπόψη ότι το μερίδιο των άμεσων ενισχύσεων και των συνολικών επιδοτήσεων, συμπεριλαμβανομένης της επενδυτικής στήριξης, αντιπροσωπεύει σημαντικό μέρος του καθαρού γεωργικού εισοδήματος για την κτηνοτροφία και τη μικτή γεωργία, γεγονός που υπογραμμίζει τον ουσιαστικό ρόλο του· λαμβάνοντας υπόψη ότι η στήριξη της ΚΓΠ δεν επαρκεί για την ανάσχεση της μείωσης της παραγωγής και του αριθμού των γεωργών και για την προσέλκυση νέων στην κτηνοτροφία και ότι, συνεπώς, είναι σημαντικό να συμπληρωθεί το εισόδημα των γεωργών, που προέρχεται τόσο από την αγορά όσο και από τη δημόσια στήριξη μέσω της διαφοροποίησης, όπως ο αγροτουρισμός, και εργαλείων διαχείρισης κινδύνων, προκειμένου να αυξηθεί η ανταγωνιστικότητα, η κερδοφορία και η μακροπρόθεσμη ανθεκτικότητά τους·</w:t>
      </w:r>
    </w:p>
    <w:p w14:paraId="4C59A778" w14:textId="77777777" w:rsidR="00F166BD" w:rsidRPr="00B46E79" w:rsidRDefault="00F166BD" w:rsidP="00E40508">
      <w:pPr>
        <w:widowControl/>
        <w:spacing w:after="240"/>
        <w:ind w:left="567" w:hanging="567"/>
        <w:rPr>
          <w:rFonts w:eastAsia="Aptos"/>
          <w:kern w:val="2"/>
          <w:szCs w:val="24"/>
          <w14:ligatures w14:val="standardContextual"/>
        </w:rPr>
      </w:pPr>
      <w:r w:rsidRPr="00B46E79">
        <w:t>ΛΔ.</w:t>
      </w:r>
      <w:r w:rsidRPr="00B46E79">
        <w:tab/>
        <w:t>λαμβάνοντας υπόψη ότι παρότι η τιμή εξακολουθεί να αποτελεί τον αποφασιστικό παράγοντα στις αγοραστικές αποφάσεις, η βιωσιμότητα και οι ανησυχίες για την υγεία αναμένεται να διαδραματίσουν πιο εξέχοντα ρόλο, και αυτό θα διαμορφώσει τα πρότυπα παραγωγής και κατανάλωσης κρέατος και γαλακτοκομικών προϊόντων στην ΕΕ·</w:t>
      </w:r>
    </w:p>
    <w:p w14:paraId="267A805C" w14:textId="77777777" w:rsidR="00F166BD" w:rsidRPr="00B46E79" w:rsidRDefault="00F166BD" w:rsidP="00E40508">
      <w:pPr>
        <w:widowControl/>
        <w:spacing w:after="240"/>
        <w:ind w:left="567" w:hanging="567"/>
        <w:rPr>
          <w:rFonts w:eastAsia="Aptos"/>
          <w:kern w:val="2"/>
          <w:szCs w:val="24"/>
          <w14:ligatures w14:val="standardContextual"/>
        </w:rPr>
      </w:pPr>
      <w:r w:rsidRPr="00B46E79">
        <w:lastRenderedPageBreak/>
        <w:t>ΛΕ.</w:t>
      </w:r>
      <w:r w:rsidRPr="00B46E79">
        <w:tab/>
        <w:t>λαμβάνοντας υπόψη ότι η καλή διαβίωση των ζώων είναι καίριας σημασίας για το μέλλον της κτηνοτροφίας, η οποία πρέπει να εξελιχθεί ώστε να βελτιωθούν οι συνθήκες διαβίωσης των εκτρεφόμενων ζώων· λαμβάνοντας υπόψη ότι οι προσδοκίες των καταναλωτών όσον αφορά την καλή διαβίωση των ζώων και η αλλαγή στάσης έναντι των συστημάτων στέγασης που περιλαμβάνουν στενό περιορισμό θα πρέπει να παρέχουν κίνητρα για την αύξηση των επενδύσεων που απαιτούνται για την παροχή καλύτερων περιβαλλοντικών συνθηκών στα ζώα, υπό την προϋπόθεση ότι τυχόν πρόσθετες απαιτήσεις βασίζονται σε επιστημονικά στοιχεία και συνοδεύονται από κατάλληλη αμοιβή για το πρόσθετο κόστος που προκύπτει και κατάλληλα οικονομικά κίνητρα·</w:t>
      </w:r>
    </w:p>
    <w:p w14:paraId="449B1420" w14:textId="77777777" w:rsidR="00F166BD" w:rsidRPr="00B46E79" w:rsidRDefault="00F166BD" w:rsidP="00E40508">
      <w:pPr>
        <w:widowControl/>
        <w:spacing w:after="240"/>
        <w:ind w:left="567" w:hanging="567"/>
        <w:rPr>
          <w:rFonts w:eastAsia="Aptos"/>
          <w:kern w:val="2"/>
          <w:szCs w:val="24"/>
          <w14:ligatures w14:val="standardContextual"/>
        </w:rPr>
      </w:pPr>
      <w:r w:rsidRPr="00B46E79">
        <w:t>ΛΣΤ.</w:t>
      </w:r>
      <w:r w:rsidRPr="00B46E79">
        <w:tab/>
        <w:t>λαμβάνοντας υπόψη ότι η ΕΕ διαθέτει τα πλέον φιλόδοξα πρότυπα καλής διαβίωσης των ζώων στον κόσμο, γεγονός που αντικατοπτρίζει τη δέσμευσή της για πιο δεοντολογική και βιώσιμη παραγωγή· λαμβάνοντας υπόψη ότι η έννοια της καλής διαβίωσης των ζώων θα πρέπει να ερμηνεύεται και να εφαρμόζεται κατά τρόπο προσαρμοσμένο στις πραγματικές συνθήκες των συστημάτων παραγωγής και στις αγροκλιματικές, κοινωνικοοικονομικές και εδαφικές συνθήκες των κρατών μελών και των περιφερειών, οι οποίες μπορεί να διαφέρουν σημαντικά·</w:t>
      </w:r>
    </w:p>
    <w:p w14:paraId="0C5FED24" w14:textId="77777777" w:rsidR="00F166BD" w:rsidRPr="00B46E79" w:rsidRDefault="00F166BD" w:rsidP="00E40508">
      <w:pPr>
        <w:widowControl/>
        <w:spacing w:after="240"/>
        <w:ind w:left="567" w:hanging="567"/>
        <w:rPr>
          <w:rFonts w:eastAsia="Aptos"/>
          <w:kern w:val="2"/>
          <w:szCs w:val="24"/>
          <w14:ligatures w14:val="standardContextual"/>
        </w:rPr>
      </w:pPr>
      <w:r w:rsidRPr="00B46E79">
        <w:t>ΛΖ.</w:t>
      </w:r>
      <w:r w:rsidRPr="00B46E79">
        <w:tab/>
        <w:t>λαμβάνοντας υπόψη ότι οι απαιτήσεις για τον μετριασμό των επιπτώσεων της κτηνοτροφίας στο περιβάλλον, ιδίως των εκπομπών αερίων του θερμοκηπίου, για την ενίσχυση της καλής διαβίωσης των ζώων και τη στροφή προς λιγότερο εντατική παραγωγή δεν θα πρέπει να οδηγούν σε μείωση της παραγωγής τροφίμων και θα πρέπει να διασφαλίζουν σταθερά επίπεδα παραγωγής και καλό εισόδημα για τους γεωργούς, δεδομένου ότι η αναμενόμενη παγκόσμια αύξηση της κατανάλωσης ζωικών πρωτεϊνών αποτελεί ευκαιρία για να καταστεί η ΕΕ παγκόσμιος ηγέτης στη φιλική προς το κλίμα και τα ζώα γεωργία μέσω της εξαγωγής γνώσεων, τεχνολογιών και βέλτιστων πρακτικών σε χώρες εταίρους·</w:t>
      </w:r>
    </w:p>
    <w:p w14:paraId="57192590" w14:textId="77777777" w:rsidR="00F166BD" w:rsidRPr="00B46E79" w:rsidRDefault="00F166BD" w:rsidP="00E40508">
      <w:pPr>
        <w:widowControl/>
        <w:spacing w:after="240"/>
        <w:ind w:left="567" w:hanging="567"/>
        <w:rPr>
          <w:rFonts w:eastAsia="Aptos"/>
          <w:kern w:val="2"/>
          <w:szCs w:val="24"/>
          <w14:ligatures w14:val="standardContextual"/>
        </w:rPr>
      </w:pPr>
      <w:r w:rsidRPr="00B46E79">
        <w:t>ΛΗ.</w:t>
      </w:r>
      <w:r w:rsidRPr="00B46E79">
        <w:tab/>
        <w:t>λαμβάνοντας υπόψη ότι η εκτροφή ζώων, πρωτίστως μηρυκαστικών, είναι ο μόνος βιώσιμος τρόπος αξιοποίησης ορισμένων γεωργικών εκτάσεων, ιδίως μόνιμων λειμώνων, για την παραγωγή τροφίμων και την αύξηση της επισιτιστικής ασφάλειας· λαμβάνοντας υπόψη ότι η μετάβαση της ΕΕ σε βιώσιμα γεωργικά μοντέλα θα προωθήσει την έρευνα, την καινοτομία, τις επενδύσεις και την απασχόληση τόσο εντός όσο και εκτός της ΕΕ·</w:t>
      </w:r>
    </w:p>
    <w:p w14:paraId="7AC2FAF2" w14:textId="77777777" w:rsidR="00F166BD" w:rsidRPr="00B46E79" w:rsidRDefault="00F166BD" w:rsidP="00E40508">
      <w:pPr>
        <w:widowControl/>
        <w:spacing w:after="240"/>
        <w:ind w:left="567" w:hanging="567"/>
        <w:rPr>
          <w:rFonts w:eastAsia="Aptos"/>
          <w:kern w:val="2"/>
          <w:szCs w:val="24"/>
          <w14:ligatures w14:val="standardContextual"/>
        </w:rPr>
      </w:pPr>
      <w:r w:rsidRPr="00B46E79">
        <w:t>ΛΘ.</w:t>
      </w:r>
      <w:r w:rsidRPr="00B46E79">
        <w:tab/>
        <w:t xml:space="preserve">λαμβάνοντας υπόψη ότι είναι πολύ σημαντικό να ενσωματωθεί καλύτερα η κυκλική οικονομία στην αναδυόμενη βιοοικονομία, βελτιστοποιώντας τη χρήση πρώτων υλών και δευτερογενών προϊόντων για την παραγωγή υποπροϊόντων και νέων πηγών ενέργειας, όπως το βιοαέριο, και ενισχύοντας την ενεργειακή αυτονομία της ΕΕ· τονίζει ότι τα μέτρα αυτά, τα οποία δεν θα πρέπει να οδηγήσουν σε αύξηση του διοικητικού φόρτου για τις γεωργικές εκμεταλλεύσεις, θα προσφέρουν νέες πηγές εισοδήματος για τους γεωργούς και θα δημιουργήσουν νέες ευκαιρίες απασχόλησης· </w:t>
      </w:r>
    </w:p>
    <w:p w14:paraId="25221CDD" w14:textId="77777777" w:rsidR="00F166BD" w:rsidRPr="00B46E79" w:rsidRDefault="00F166BD" w:rsidP="00E40508">
      <w:pPr>
        <w:widowControl/>
        <w:spacing w:after="240"/>
        <w:ind w:left="567" w:hanging="567"/>
        <w:rPr>
          <w:rFonts w:eastAsia="Calibri"/>
          <w:szCs w:val="24"/>
        </w:rPr>
      </w:pPr>
      <w:r w:rsidRPr="00B46E79">
        <w:t>M.</w:t>
      </w:r>
      <w:r w:rsidRPr="00B46E79">
        <w:tab/>
        <w:t xml:space="preserve">λαμβάνοντας υπόψη ότι η κτηνοτροφία αποτελεί βασική συνιστώσα της κυκλικής οικονομίας και εξυπηρετεί την επισιτιστική ασφάλεια και την ενεργειακή και οικολογική μετάβαση της Ευρώπης· λαμβάνοντας υπόψη ότι τα ευρωπαϊκά κτηνοτροφικά συστήματα, τα οποία εξαρτώνται σε μεγάλο βαθμό από τις εισαγωγές λιπασμάτων και χορτονομής από τρίτες χώρες, πρέπει να επωφελούνται από κίνητρα που τους επιτρέπουν, χωρίς να θέτουν σε κίνδυνο τον πρωταρχικό στόχο της παραγωγής κρέατος, να παρέχουν συμπληρωματικό φάσμα προϊόντων και υπηρεσιών </w:t>
      </w:r>
      <w:r w:rsidRPr="00B46E79">
        <w:lastRenderedPageBreak/>
        <w:t>που παρέχουν πρόσθετο εισόδημα στους γεωργούς, συμπεριλαμβανομένης της παραγωγής ενέργειας από ανανεώσιμες πηγές, όπως βιοαέριο και βιομεθάνιο, πολύτιμα και οργανικά λιπάσματα, υπηρεσίες ζωικού οικοσυστήματος και εμπορεύματα για την ευρύτερη βιομηχανία, σύμφωνα με τη στρατηγική της ΕΕ για τη βιοοικονομία·</w:t>
      </w:r>
    </w:p>
    <w:p w14:paraId="28BA0302" w14:textId="77777777" w:rsidR="00F166BD" w:rsidRPr="00B46E79" w:rsidRDefault="00F166BD" w:rsidP="00E40508">
      <w:pPr>
        <w:widowControl/>
        <w:spacing w:after="240"/>
        <w:ind w:left="567" w:hanging="567"/>
        <w:rPr>
          <w:szCs w:val="24"/>
        </w:rPr>
      </w:pPr>
      <w:r w:rsidRPr="00B46E79">
        <w:t>ΜΑ.</w:t>
      </w:r>
      <w:r w:rsidRPr="00B46E79">
        <w:tab/>
        <w:t xml:space="preserve">λαμβάνοντας υπόψη ότι η ποικιλομορφία των ευρωπαϊκών γεωργικών συστημάτων αποτελεί στρατηγικό πλεονέκτημα και προσφέρει τεράστιες δυνατότητες για την ενεργειακή και οικολογική μετάβαση της ΕΕ· λαμβάνοντας υπόψη ότι η κτηνοτροφία μπορεί να διαδραματίσει καίριο ρόλο στην επίτευξη των στόχων της ΕΕ για το κλίμα και την απαλλαγή του ευρωπαϊκού ενεργειακού μείγματος από τις ανθρακούχες εκπομπές, ιδίως μέσω της χρήσης των ζωικών λυμάτων· </w:t>
      </w:r>
    </w:p>
    <w:p w14:paraId="03122A77" w14:textId="77777777" w:rsidR="00F166BD" w:rsidRPr="00B46E79" w:rsidRDefault="00F166BD" w:rsidP="00E40508">
      <w:pPr>
        <w:widowControl/>
        <w:spacing w:after="240"/>
        <w:ind w:left="567" w:hanging="567"/>
        <w:rPr>
          <w:szCs w:val="24"/>
        </w:rPr>
      </w:pPr>
      <w:r w:rsidRPr="00B46E79">
        <w:t>ΜΒ.</w:t>
      </w:r>
      <w:r w:rsidRPr="00B46E79">
        <w:tab/>
        <w:t>λαμβάνοντας υπόψη ότι η κοπριά που παράγεται από κτηνοτροφικές εκμεταλλεύσεις συμβάλλει στη γονιμότητα των εδαφών παρέχοντας οργανική ύλη και βασικές θρεπτικές ουσίες και μπορεί επίσης να μετατραπεί σε βιοαέριο μέσω εγκαταστάσεων μεθανιοποίησης, μεταξύ άλλων σε επίπεδο γεωργικών εκμεταλλεύσεων, αντικαθιστώντας και μειώνοντας την εξάρτηση από τις πηγές ενέργειας από ορυκτά καύσιμα και ελαττώνοντας την εξάρτηση από λιπάσματα εισαγόμενα από τρίτες χώρες· λαμβάνοντας υπόψη ότι, πέρα από την παραγωγή ενέργειας από ανανεώσιμες πηγές, η διαδικασία μεθανιοποίησης παράγει επίσης χώνευμα, ένα υποπροϊόν το οποίο εκμεταλλεύονται οι γεωργοί ως φυσικό λίπασμα, και μπορεί να μετατραπεί σε προϊόντα RENURE, αμφότερα δε προωθούν κυκλική οικονομία στον κτηνοτροφικό τομέα·</w:t>
      </w:r>
    </w:p>
    <w:p w14:paraId="6AF3B653" w14:textId="77777777" w:rsidR="00F166BD" w:rsidRPr="00B46E79" w:rsidRDefault="00F166BD" w:rsidP="00E40508">
      <w:pPr>
        <w:widowControl/>
        <w:spacing w:after="240"/>
        <w:ind w:left="567" w:hanging="567"/>
        <w:rPr>
          <w:szCs w:val="24"/>
        </w:rPr>
      </w:pPr>
      <w:r w:rsidRPr="00B46E79">
        <w:t>ΜΓ.</w:t>
      </w:r>
      <w:r w:rsidRPr="00B46E79">
        <w:tab/>
        <w:t>λαμβάνοντας υπόψη ότι οι μεταβαλλόμενες καταναλωτικές συνήθειες, σε ένα πλαίσιο δύσκολης κατάστασης της αγοράς, καθιστούν αναγκαία την ταχεία δράση για την εξασφάλιση προστασίας σε επίπεδο ΕΕ όσον αφορά τις ονομασίες που χρησιμοποιούνται για τον χαρακτηρισμό τροφίμων ζωικής προέλευσης·</w:t>
      </w:r>
    </w:p>
    <w:p w14:paraId="22A6769B" w14:textId="77777777" w:rsidR="00F166BD" w:rsidRPr="00B46E79" w:rsidRDefault="00F166BD" w:rsidP="00E40508">
      <w:pPr>
        <w:widowControl/>
        <w:spacing w:after="240"/>
        <w:ind w:left="567" w:hanging="567"/>
        <w:rPr>
          <w:szCs w:val="24"/>
        </w:rPr>
      </w:pPr>
      <w:r w:rsidRPr="00B46E79">
        <w:t>ΜΔ.</w:t>
      </w:r>
      <w:r w:rsidRPr="00B46E79">
        <w:tab/>
        <w:t xml:space="preserve">λαμβάνοντας υπόψη ότι, σε πολλά μέρη της Ευρώπης, ορισμένοι μεγάλοι θηρευτές, ιδίως λύκοι και αρκούδες, επεκτείνουν το έδαφός τους ή αναδιαμορφώνουν περιοχές, γεγονός που τους φέρνει σε σύγκρουση με ανθρώπινες δραστηριότητες, ιδίως με την εκτεταμένη βόσκηση προβάτων και βοοειδών· λαμβάνοντας υπόψη ότι οι βοσκοί και άλλοι κτηνοτρόφοι επωμίζονται σημαντικό κόστος ως αποτέλεσμα της θήρευσης των κοπαδιών τους, όπως το κόστος των προληπτικών μέτρων, της αντικατάστασης των απολεσθέντων ζώων, της πρόσθετης κτηνιατρικής φροντίδας και των απωλειών που προκύπτουν από αμβλώσεις· λαμβάνοντας υπόψη τις μεγάλες ανισότητες μεταξύ των κρατών μελών και των περιφερειών όσον αφορά τα μέτρα στήριξης των γεωργών – με τα μέτρα αυτά να είναι εντελώς ανύπαρκτα σε ορισμένες περιπτώσεις – και μεταξύ των δημοσίων κονδυλίων που διατίθενται για αποζημίωση και προσαρμογή· </w:t>
      </w:r>
    </w:p>
    <w:p w14:paraId="6720EACD" w14:textId="77777777" w:rsidR="00F166BD" w:rsidRPr="00B46E79" w:rsidRDefault="00F166BD" w:rsidP="00E40508">
      <w:pPr>
        <w:widowControl/>
        <w:spacing w:after="240"/>
        <w:ind w:left="567" w:hanging="567"/>
        <w:rPr>
          <w:szCs w:val="24"/>
        </w:rPr>
      </w:pPr>
      <w:r w:rsidRPr="00B46E79">
        <w:t>ΜΕ.</w:t>
      </w:r>
      <w:r w:rsidRPr="00B46E79">
        <w:tab/>
        <w:t>λαμβάνοντας υπόψη ότι οι νόσοι των ζώων, και ιδίως οι μεταδοτικές νόσοι και εκείνες που μεταδίδονται στον άνθρωπο («ζωονόσοι») μπορούν να προκαλέσουν σοβαρές κοινωνικές, οικονομικές και περιβαλλοντικές ζημίες και, σε ορισμένες περιπτώσεις, να απειλήσουν την ανθρώπινη υγεία·</w:t>
      </w:r>
    </w:p>
    <w:p w14:paraId="74DCBA26" w14:textId="77777777" w:rsidR="00F166BD" w:rsidRPr="00B46E79" w:rsidRDefault="00F166BD" w:rsidP="00E40508">
      <w:pPr>
        <w:widowControl/>
        <w:spacing w:after="240"/>
        <w:ind w:left="567" w:hanging="567"/>
        <w:rPr>
          <w:rFonts w:eastAsia="Calibri"/>
          <w:szCs w:val="24"/>
        </w:rPr>
      </w:pPr>
      <w:r w:rsidRPr="00B46E79">
        <w:t>ΜΣΤ.</w:t>
      </w:r>
      <w:r w:rsidRPr="00B46E79">
        <w:tab/>
        <w:t xml:space="preserve">λαμβάνοντας υπόψη ότι όλα τα στάδια της αλυσίδας παραγωγής συγκεντρώνονται σε ένα σφαγείο και, ως εκ τούτου, οι περιφερειακές δομές σφαγείων μπορούν να συμβάλουν θετικά στην ιχνηλασιμότητα, την πρόληψη των ασθενειών και την καλή διαβίωση των ζώων· λαμβάνοντας υπόψη ότι είναι, συνεπώς, απαραίτητο, μέσω της ΚΓΠ και άλλων κονδυλίων, να στηριχθεί η δημιουργία και η λειτουργία σφαγείων για </w:t>
      </w:r>
      <w:r w:rsidRPr="00B46E79">
        <w:lastRenderedPageBreak/>
        <w:t>την τόνωση της τοπικής οικονομίας, τη δημιουργία θέσεων εργασίας και την ενίσχυση των βραχειών αλυσίδων εφοδιασμού·</w:t>
      </w:r>
    </w:p>
    <w:p w14:paraId="52DE316D" w14:textId="77777777" w:rsidR="00F166BD" w:rsidRPr="00B46E79" w:rsidRDefault="00F166BD" w:rsidP="00E40508">
      <w:pPr>
        <w:widowControl/>
        <w:spacing w:after="240"/>
        <w:ind w:left="567" w:hanging="567"/>
        <w:rPr>
          <w:rFonts w:eastAsia="Calibri"/>
          <w:szCs w:val="24"/>
        </w:rPr>
      </w:pPr>
      <w:r w:rsidRPr="00B46E79">
        <w:t>ΜΖ.</w:t>
      </w:r>
      <w:r w:rsidRPr="00B46E79">
        <w:tab/>
        <w:t>λαμβάνοντας υπόψη ότι η κλιματική αλλαγή είναι πιθανό να επηρεάσει την εμφάνιση νέων ασθενειών των ζώων και τον επιπολασμό υφιστάμενων ασθενειών και τη γεωγραφική κατανομή τους, ιδίως όσον αφορά τις ασθένειες που μεταδίδονται μέσω διαβιβαστών όπως ο καταρροϊκός πυρετός των προβάτων και ο ιός του Δυτικού Νείλου, τονίζοντας την ανάγκη για προληπτικές κτηνιατρικές στρατηγικές· λαμβάνοντας υπόψη ότι η κατάσταση αυτή επιδεινώνεται από την έλλειψη κτηνιάτρων ζωικού κεφαλαίου, η οποία έχει επιπτώσεις στην προληπτική κτηνιατρική περίθαλψη, την έγκαιρη ανίχνευση και τον ταχύ έλεγχο των νόσων·</w:t>
      </w:r>
    </w:p>
    <w:p w14:paraId="311AF28C" w14:textId="77777777" w:rsidR="00F166BD" w:rsidRPr="00B46E79" w:rsidRDefault="00F166BD" w:rsidP="00E40508">
      <w:pPr>
        <w:widowControl/>
        <w:spacing w:after="240"/>
        <w:ind w:left="567" w:hanging="567"/>
        <w:rPr>
          <w:rFonts w:eastAsia="Aptos"/>
          <w:kern w:val="2"/>
          <w:szCs w:val="24"/>
          <w14:ligatures w14:val="standardContextual"/>
        </w:rPr>
      </w:pPr>
      <w:r w:rsidRPr="00B46E79">
        <w:t>ΜΗ.</w:t>
      </w:r>
      <w:r w:rsidRPr="00B46E79">
        <w:tab/>
        <w:t>λαμβάνοντας υπόψη ότι η ευπάθεια των γεωργικών συστημάτων στην ΕΕ έχει αναδειχθεί από τις πρόσφατες επιδημικές εξάρσεις ασθενειών των ζώων και την αυξημένη συχνότητα εμφάνισης νόσων όπως η φυματίωση των βοοειδών, η αφρικανική πανώλη των χοίρων, η οζώδης δερματίτιδα, ο καταρροϊκός πυρετός των προβάτων, η γρίπη των πτηνών, ο αφθώδης πυρετός, η επιζωοτική αιμορραγική νόσος και η λοιμώδης ρινοτραχειίτιδα των βοοειδών, σε συνδυασμό με τη μείωση του αριθμού των κτηνιάτρων που ειδικεύονται στα εκτρεφόμενα ζώα, χωρίς τους οποίους θα είναι αδύνατη η καταπολέμηση των νόσων των ζώων και η διασφάλιση της καλής διαβίωσης των ζώων· λαμβάνοντας υπόψη ότι η ευπάθεια αυτή έχει εκδηλωθεί με καταστροφικές επιπτώσεις στα επίπεδα παραγωγής, με συνέπειες για την ψυχική υγεία των γεωργών λόγω στρες, άγχους και συναισθηματικής πίεσης·</w:t>
      </w:r>
    </w:p>
    <w:p w14:paraId="71D7B76D" w14:textId="77777777" w:rsidR="00F166BD" w:rsidRPr="00B46E79" w:rsidRDefault="00F166BD" w:rsidP="00E40508">
      <w:pPr>
        <w:widowControl/>
        <w:spacing w:after="240"/>
        <w:ind w:left="567" w:hanging="567"/>
        <w:rPr>
          <w:rFonts w:eastAsia="Aptos"/>
          <w:kern w:val="2"/>
          <w:szCs w:val="24"/>
          <w14:ligatures w14:val="standardContextual"/>
        </w:rPr>
      </w:pPr>
      <w:r w:rsidRPr="00B46E79">
        <w:t>ΜΘ.</w:t>
      </w:r>
      <w:r w:rsidRPr="00B46E79">
        <w:tab/>
        <w:t>λαμβάνοντας υπόψη ότι η πρόληψη των νόσων των ζώων μέσω του εμβολιασμού, εφόσον είναι διαθέσιμη, είναι σε ορισμένες περιπτώσεις απαραίτητη για την αποφυγή δραστικών αλλά αναπόφευκτων μέτρων ελέγχου, όπως η μαζική θανάτωση· λαμβάνοντας υπόψη ότι η χρηματοδότηση μέτρων για την πρόληψη, τον έλεγχο και την εξάλειψη ορισμένων νόσων των ζώων μέσω του προγράμματος για την ενιαία αγορά είναι ανεπαρκής ώστε να βοηθήσει τους γεωργούς και τα κράτη μέλη να διαχειριστούν νέες νόσους των ζώων·</w:t>
      </w:r>
    </w:p>
    <w:p w14:paraId="7BA4D73E" w14:textId="77777777" w:rsidR="00F166BD" w:rsidRPr="00B46E79" w:rsidRDefault="00F166BD" w:rsidP="00E40508">
      <w:pPr>
        <w:pStyle w:val="NormalHanging12a"/>
      </w:pPr>
      <w:r w:rsidRPr="00B46E79">
        <w:t>Ν.</w:t>
      </w:r>
      <w:r w:rsidRPr="00B46E79">
        <w:tab/>
        <w:t>λαμβάνοντας υπόψη ότι οι απειλές που θέτουν οι νόσοι των ζώων είναι μείζονος σημασίας για το διεθνές εμπόριο ζώων και ζωικών προϊόντων της ΕΕ και καθιστούν αναγκαίο για τους εμπορικούς εταίρους της ΕΕ να αναγνωρίσουν το σύστημα περιφερειοποίησης της ΕΕ, το οποίο θεσπίστηκε σύμφωνα με τα πρότυπα του WOAH και τις αρχές του Παγκόσμιου Οργανισμού Εμπορίου (ΠΟΕ) για τον έλεγχο των ασθενειών και/ή τη διατήρηση του ασφαλούς εμπορίου περιορίζοντας το εμπόριο από περιοχές που πλήττονται από ασθένειες, αποφεύγοντας παράλληλα τα περιττά εμπόδια και τις διαταραχές του εμπορίου αγαθών από περιοχές που δεν έχουν πληγεί·</w:t>
      </w:r>
    </w:p>
    <w:p w14:paraId="7DE24F18" w14:textId="77777777" w:rsidR="00F166BD" w:rsidRPr="00B46E79" w:rsidRDefault="00F166BD" w:rsidP="00E40508">
      <w:pPr>
        <w:widowControl/>
        <w:spacing w:after="240"/>
        <w:ind w:left="567" w:hanging="567"/>
        <w:rPr>
          <w:rFonts w:eastAsia="Aptos"/>
          <w:kern w:val="2"/>
          <w:szCs w:val="24"/>
          <w14:ligatures w14:val="standardContextual"/>
        </w:rPr>
      </w:pPr>
      <w:r w:rsidRPr="00B46E79">
        <w:t>ΝΑ.</w:t>
      </w:r>
      <w:r w:rsidRPr="00B46E79">
        <w:tab/>
        <w:t>λαμβάνοντας υπόψη ότι, παρά το γεγονός ότι αποτελεί αποτελεσματικό εργαλείο για την πρόληψη της εξάπλωσης ασθενειών των ζώων, ο εμβολιασμός έχει χρησιμοποιηθεί ως μέσο περιορισμού του εμπορίου μεταξύ των κρατών μελών της ΕΕ και τρίτων χωρών αντί διευκόλυνσής του·</w:t>
      </w:r>
    </w:p>
    <w:p w14:paraId="6E01495F" w14:textId="77777777" w:rsidR="00F166BD" w:rsidRPr="00B46E79" w:rsidRDefault="00F166BD" w:rsidP="00E40508">
      <w:pPr>
        <w:widowControl/>
        <w:spacing w:after="240"/>
        <w:ind w:left="567" w:hanging="567"/>
        <w:rPr>
          <w:iCs/>
        </w:rPr>
      </w:pPr>
      <w:r w:rsidRPr="00B46E79">
        <w:t>ΝΒ.</w:t>
      </w:r>
      <w:r w:rsidRPr="00B46E79">
        <w:tab/>
        <w:t>λαμβάνοντας υπόψη ότι η ολιστική προσέγγιση από την ΕΕ του ελέγχου των νόσων των ζώων αποτελείται από διάφορες συνιστώσες, και συγκεκριμένα τα ειδικά μέτρα ελέγχου που εφαρμόζονται για την επιτήρηση κάθε νόσου, τη χρηματοδοτική συνεισφορά της ΕΕ, το σύστημα κοινοποίησης, την ομάδα έκτακτης ανάγκης της ΕΕ, το σύστημα ιχνηλασιμότητας και τα εργαστήρια αναφοράς της ΕΕ για επιλεγμένες νόσους·</w:t>
      </w:r>
    </w:p>
    <w:p w14:paraId="4268B2E1" w14:textId="77777777" w:rsidR="00F166BD" w:rsidRPr="00B46E79" w:rsidRDefault="00F166BD" w:rsidP="00E40508">
      <w:pPr>
        <w:widowControl/>
        <w:spacing w:after="240"/>
        <w:ind w:left="567" w:hanging="567"/>
        <w:rPr>
          <w:rFonts w:eastAsia="Aptos"/>
          <w:kern w:val="2"/>
          <w:szCs w:val="24"/>
          <w14:ligatures w14:val="standardContextual"/>
        </w:rPr>
      </w:pPr>
      <w:r w:rsidRPr="00B46E79">
        <w:lastRenderedPageBreak/>
        <w:t>ΝΓ.</w:t>
      </w:r>
      <w:r w:rsidRPr="00B46E79">
        <w:tab/>
        <w:t>λαμβάνοντας υπόψη ότι η μικροβιακή αντοχή, ένα ζήτημα στο πλαίσιο της προσέγγισης «Μία υγεία» που περιλαμβάνει την ανθρώπινη υγεία, την υγεία των ζώων, την υγεία των φυτών και το περιβάλλον, αποτελεί μία από τις τρεις απειλές πρώτης προτεραιότητας για την υγεία που εντόπισε η Επιτροπή τον Ιούλιο του 2022 και έχει σημαντικό κοινωνικοοικονομικό αντίκτυπο στον γεωργικό τομέα, καθώς οδηγεί σε αυξημένη νοσηρότητα και θνησιμότητα των ζώων και θέτει σε κίνδυνο την υγεία και την καλή διαβίωση των ζώων και, κατ’ επέκταση, την παραγωγικότητα των ζώων· λαμβάνοντας υπόψη ότι η ΚΓΠ και άλλα προγράμματα της ΕΕ θα πρέπει να στηρίζουν τη βελτίωση της βιοασφάλειας στις κτηνοτροφικές εκμεταλλεύσεις, την προώθηση του προληπτικού εμβολιασμού, την κατάρτιση και την τεχνική υποστήριξη των γεωργών, καθώς και την έρευνα και την ανάπτυξη αποτελεσματικών και οικονομικά προσιτών εναλλακτικών λύσεων αντί της χρήσης αντιμικροβιακών σε εκτρεφόμενα ζώα·</w:t>
      </w:r>
    </w:p>
    <w:p w14:paraId="45A334D5" w14:textId="77777777" w:rsidR="00F166BD" w:rsidRPr="00B46E79" w:rsidRDefault="00F166BD" w:rsidP="00E40508">
      <w:pPr>
        <w:widowControl/>
        <w:spacing w:after="240"/>
        <w:ind w:left="567" w:hanging="567"/>
        <w:rPr>
          <w:rFonts w:eastAsia="Aptos"/>
          <w:kern w:val="2"/>
          <w:szCs w:val="24"/>
          <w14:ligatures w14:val="standardContextual"/>
        </w:rPr>
      </w:pPr>
      <w:r w:rsidRPr="00B46E79">
        <w:t>ΝΔ.</w:t>
      </w:r>
      <w:r w:rsidRPr="00B46E79">
        <w:tab/>
        <w:t>λαμβάνοντας υπόψη ότι η πρώτη ετήσια έκθεση επιτήρησης για τις ευρωπαϊκές πωλήσεις και τη χρήση αντιμικροβιακών ουσιών στην κτηνιατρική (ESUAvet 2023)</w:t>
      </w:r>
      <w:r w:rsidRPr="00B46E79">
        <w:rPr>
          <w:rFonts w:eastAsia="Aptos"/>
          <w:kern w:val="2"/>
          <w:szCs w:val="24"/>
          <w:vertAlign w:val="superscript"/>
        </w:rPr>
        <w:footnoteReference w:id="29"/>
      </w:r>
      <w:r w:rsidRPr="00B46E79">
        <w:t xml:space="preserve"> αναφέρει ότι ο στόχος της μείωσης κατά 50 % στις πωλήσεις αντιμικροβιακών έως το 2030 είχε ήδη επιτευχθεί σχεδόν κατά το ήμισυ έως το 2023, αλλά προειδοποιεί ότι αυτές οι θετικές εξελίξεις θα μπορούσαν να υπονομευθούν από μια αύξηση των ασθενειών των ζώων και την απουσία συντονισμένης προσέγγισης της ΕΕ όσον αφορά τον εμβολιασμό, την έγκαιρη παρακολούθηση, τη βιοασφάλεια και τη συνολική πρόληψη και ετοιμότητα των νόσων·</w:t>
      </w:r>
    </w:p>
    <w:p w14:paraId="212EBA14" w14:textId="77777777" w:rsidR="00F166BD" w:rsidRPr="00B46E79" w:rsidRDefault="00F166BD" w:rsidP="00E40508">
      <w:pPr>
        <w:pStyle w:val="NormalHanging12a"/>
        <w:rPr>
          <w:iCs/>
        </w:rPr>
      </w:pPr>
      <w:r w:rsidRPr="00B46E79">
        <w:t>ΝΕ.</w:t>
      </w:r>
      <w:r w:rsidRPr="00B46E79">
        <w:tab/>
        <w:t>λαμβάνοντας υπόψη ότι η νομοθεσία της ΕΕ για την υγεία των ζώων θεσπίζει ένα νομικό πλαίσιο για την εναρμόνιση των κανόνων σε ολόκληρο τον τομέα που ισχύει για το ενδοενωσιακό εμπόριο, την είσοδο ζώων και προϊόντων στην ΕΕ, την εξάλειψη νόσων, τους κτηνιατρικούς ελέγχους, την κοινοποίηση νόσων και τη χρηματοδοτική στήριξη σε σχέση με διάφορα ζωικά είδη·</w:t>
      </w:r>
    </w:p>
    <w:p w14:paraId="18A55DEC" w14:textId="77777777" w:rsidR="00F166BD" w:rsidRPr="00B46E79" w:rsidRDefault="00F166BD" w:rsidP="00E40508">
      <w:pPr>
        <w:pStyle w:val="NormalHanging12a"/>
      </w:pPr>
      <w:r w:rsidRPr="00B46E79">
        <w:t>ΝΣΤ.</w:t>
      </w:r>
      <w:r w:rsidRPr="00B46E79">
        <w:tab/>
        <w:t>λαμβάνοντας υπόψη ότι η ισχύουσα νομοθεσία για τις μεταδοτικές νόσους των ζώων περιλαμβάνει ένα ολοκληρωμένο σύνολο διατάξεων σχετικά με την επιτήρηση, τα προγράμματα εκρίζωσης και το καθεστώς απαλλαγμένου από νόσο, και απαιτεί από τα κράτη μέλη να καταρτίζουν και να διατηρούν επικαιροποιημένο κατάλογο των εδαφών ή των ζωνών τους με καθεστώς απαλλαγμένου από νόσο, καθώς και των περιφερειών τους με καθεστώς απαλλαγμένου από νόσο, σύμφωνα με την ισχύουσα νομοθεσία για τα κτηνιατρικά φάρμακα που επιτρέπει την έγκριση εμβολίων και άλλων προϊόντων για την υγεία των ζώων· λαμβάνοντας υπόψη ότι η νομοθεσία αυτή αποτελεί τον πυρήνα της πρόληψης και της διαχείρισης των νόσων των ζώων στην ΕΕ·</w:t>
      </w:r>
    </w:p>
    <w:p w14:paraId="1B10D33F" w14:textId="77777777" w:rsidR="00F166BD" w:rsidRPr="00B46E79" w:rsidRDefault="00F166BD" w:rsidP="00E40508">
      <w:pPr>
        <w:pStyle w:val="NormalHanging12a"/>
        <w:rPr>
          <w:iCs/>
        </w:rPr>
      </w:pPr>
      <w:r w:rsidRPr="00B46E79">
        <w:t>ΝΖ.</w:t>
      </w:r>
      <w:r w:rsidRPr="00B46E79">
        <w:tab/>
        <w:t>λαμβάνοντας υπόψη ότι τα μέτρα πρόληψης και ελέγχου για κάθε ζωική νόσο θα πρέπει να είναι προσαρμοσμένα στα επιδημιολογικά χαρακτηριστικά της, τις συνέπειές της και τη γεωγραφική κατανομή της εντός της ΕΕ·</w:t>
      </w:r>
    </w:p>
    <w:p w14:paraId="6F84C750" w14:textId="77777777" w:rsidR="00F166BD" w:rsidRPr="00B46E79" w:rsidRDefault="00F166BD" w:rsidP="00E40508">
      <w:pPr>
        <w:pStyle w:val="NormalHanging12a"/>
        <w:rPr>
          <w:iCs/>
        </w:rPr>
      </w:pPr>
      <w:r w:rsidRPr="00B46E79">
        <w:t>ΝΗ.</w:t>
      </w:r>
      <w:r w:rsidRPr="00B46E79">
        <w:tab/>
        <w:t xml:space="preserve">λαμβάνοντας υπόψη ότι η έγκαιρη ανίχνευση και μια σαφής δομή της κοινοποίησης και αναφοράς των νόσων είναι καίριας σημασίας για τον αποτελεσματικό έλεγχο· </w:t>
      </w:r>
      <w:r w:rsidRPr="00B46E79">
        <w:lastRenderedPageBreak/>
        <w:t>λαμβάνοντας υπόψη ότι τα κράτη μέλη θα πρέπει να εξασφαλίζουν ότι η αρμόδια αρχή ενημερώνεται αμέσως για κάθε υπόνοια ή επιβεβαίωση εκδήλωσης εστίας·</w:t>
      </w:r>
    </w:p>
    <w:p w14:paraId="53DF4771" w14:textId="77777777" w:rsidR="00F166BD" w:rsidRPr="00B46E79" w:rsidRDefault="00F166BD" w:rsidP="00E40508">
      <w:pPr>
        <w:pStyle w:val="NormalHanging12a"/>
        <w:rPr>
          <w:iCs/>
        </w:rPr>
      </w:pPr>
      <w:r w:rsidRPr="00B46E79">
        <w:t>ΝΘ.</w:t>
      </w:r>
      <w:r w:rsidRPr="00B46E79">
        <w:tab/>
        <w:t>λαμβάνοντας υπόψη ότι είναι ζωτικής σημασίας να εξασφαλιστούν ενιαίοι όροι για την κοινοποίηση και αναφορά νόσων σε επίπεδο ΕΕ, ώστε να διατηρηθούν ισότιμοι όροι ανταγωνισμού μεταξύ των κρατών μελών και να αποφευχθεί η στρέβλωση του ανταγωνισμού· λαμβάνοντας υπόψη ότι η Επιτροπή εξουσιοδοτείται να καταρτίσει κατάλογο των νόσων που υπόκεινται σε κοινοποίηση και αναφορά σε επίπεδο ΕΕ, καθώς και τις αναγκαίες διαδικασίες και τον μορφότυπο για την κοινοποίηση και την αναφορά μέσω του συστήματος πληροφοριών για τις νόσους των ζώων (ADIS)·</w:t>
      </w:r>
    </w:p>
    <w:p w14:paraId="37C48BCC" w14:textId="77777777" w:rsidR="00F166BD" w:rsidRPr="00B46E79" w:rsidRDefault="00F166BD" w:rsidP="00E40508">
      <w:pPr>
        <w:pStyle w:val="NormalHanging12a"/>
      </w:pPr>
      <w:r w:rsidRPr="00B46E79">
        <w:t>Ξ.</w:t>
      </w:r>
      <w:r w:rsidRPr="00B46E79">
        <w:tab/>
        <w:t>λαμβάνοντας υπόψη ότι ο αριθμός των μεγάλων σαρκοφάγων στην ηπειρωτική Ευρώπη το 2012 εκτιμόταν σε 9 000 ευρασιατικούς λύγκες, 17 000 καφέ αρκούδες, 1 250 αδηφάγους και 12 000 λύκους· λαμβάνοντας υπόψη ότι δεν υπάρχει ενιαία, επικαιροποιημένη εκτίμηση της ΕΕ για τον αριθμό των μεγάλων σαρκοφάγων·</w:t>
      </w:r>
    </w:p>
    <w:p w14:paraId="0A33F179" w14:textId="77777777" w:rsidR="00F166BD" w:rsidRPr="00B46E79" w:rsidRDefault="00F166BD" w:rsidP="00E40508">
      <w:pPr>
        <w:pStyle w:val="Normal12a24b"/>
        <w:widowControl/>
        <w:spacing w:before="0"/>
        <w:ind w:left="567" w:hanging="567"/>
      </w:pPr>
      <w:r w:rsidRPr="00B46E79">
        <w:rPr>
          <w:rStyle w:val="BoldItalic"/>
        </w:rPr>
        <w:t>Γενικές παρατηρήσεις</w:t>
      </w:r>
    </w:p>
    <w:p w14:paraId="05C352B4" w14:textId="05EBFC71" w:rsidR="00F166BD" w:rsidRPr="00B46E79" w:rsidRDefault="00B46E79" w:rsidP="00B46E79">
      <w:pPr>
        <w:widowControl/>
        <w:spacing w:after="240"/>
        <w:ind w:left="570" w:hanging="570"/>
        <w:rPr>
          <w:szCs w:val="24"/>
        </w:rPr>
      </w:pPr>
      <w:r w:rsidRPr="00B46E79">
        <w:rPr>
          <w:szCs w:val="24"/>
        </w:rPr>
        <w:t>1.</w:t>
      </w:r>
      <w:r w:rsidRPr="00B46E79">
        <w:rPr>
          <w:szCs w:val="24"/>
        </w:rPr>
        <w:tab/>
      </w:r>
      <w:r w:rsidR="00F166BD" w:rsidRPr="00B46E79">
        <w:t>χαιρετίζει και υποστηρίζει την πρωτοβουλία της Επιτροπής, στο «Όραμα για τη γεωργία και τα τρόφιμα», να δημιουργήσει έναν άξονα εργασίας για την κτηνοτροφία με σκοπό τον προσδιορισμό και την ανάπτυξη κατάλληλων οδών πολιτικής για τη στήριξη της κτηνοτροφίας και να ενισχύσει την ανταγωνιστικότητά της μέσω στοχευμένων και εδαφικών λύσεων παρά μέσω μιας πολιτικής ενιαίας αντιμετώπισης, λαμβάνοντας παράλληλα υπόψη, πέραν της επισιτιστικής ασφάλειας, της ανθεκτικότητας και της διαχείρισης των νόσων των ζώων, και τις πτυχές που αφορούν την προστασία του κλίματος, της φύσης και της καλής διαβίωσης των ζώων· υπογραμμίζει ότι η ποικιλομορφία της κτηνοτροφικής παραγωγής, οι ανάγκες των ειδών και οι ανισότητες μεταξύ των τοπικών συνθηκών απαιτούν λύσεις προσαρμοσμένες σε εθνική, περιφερειακή ή υποπεριφερειακή κλίμακα· καλεί την Επιτροπή να λάβει ειδικά μέτρα για την εκτροφή ζώων σε ορεινές, απομακρυσμένες και μειονεκτούσες περιοχές·</w:t>
      </w:r>
    </w:p>
    <w:p w14:paraId="31486928" w14:textId="2359C6F0" w:rsidR="00F166BD" w:rsidRPr="00B46E79" w:rsidRDefault="00B46E79" w:rsidP="00B46E79">
      <w:pPr>
        <w:widowControl/>
        <w:spacing w:after="240"/>
        <w:ind w:left="570" w:hanging="570"/>
        <w:rPr>
          <w:szCs w:val="24"/>
        </w:rPr>
      </w:pPr>
      <w:r w:rsidRPr="00B46E79">
        <w:rPr>
          <w:szCs w:val="24"/>
        </w:rPr>
        <w:t>2.</w:t>
      </w:r>
      <w:r w:rsidRPr="00B46E79">
        <w:rPr>
          <w:szCs w:val="24"/>
        </w:rPr>
        <w:tab/>
      </w:r>
      <w:r w:rsidR="00F166BD" w:rsidRPr="00B46E79">
        <w:t>εκφράζει την ανησυχία του για πρωτοβουλίες ή νομοθετικές προτάσεις οι οποίες, μέσω άμεσων ή έμμεσων μέτρων, λειτουργούν ως αντικίνητρο για την κτηνοτροφία· επιμένει ότι ο κτηνοτροφικός τομέας δεν θα πρέπει να υπαχθεί σε ρυθμιστικό καθεστώς σχεδιασμένο για βαριά βιομηχανία·</w:t>
      </w:r>
    </w:p>
    <w:p w14:paraId="41F6EBFD" w14:textId="400A2825" w:rsidR="00F166BD" w:rsidRPr="00B46E79" w:rsidRDefault="00B46E79" w:rsidP="00B46E79">
      <w:pPr>
        <w:widowControl/>
        <w:spacing w:after="240"/>
        <w:ind w:left="570" w:hanging="570"/>
        <w:rPr>
          <w:szCs w:val="24"/>
        </w:rPr>
      </w:pPr>
      <w:r w:rsidRPr="00B46E79">
        <w:rPr>
          <w:szCs w:val="24"/>
        </w:rPr>
        <w:t>3.</w:t>
      </w:r>
      <w:r w:rsidRPr="00B46E79">
        <w:rPr>
          <w:szCs w:val="24"/>
        </w:rPr>
        <w:tab/>
      </w:r>
      <w:r w:rsidR="00F166BD" w:rsidRPr="00B46E79">
        <w:t xml:space="preserve">καλεί την Επιτροπή, με βάση το έργο του άξονα εργασίας της ΕΕ για το ζωικό κεφάλαιο, να συστήσει ομάδα υψηλού επιπέδου για το ζωικό κεφάλαιο, κατά το πρότυπο της ομάδας υψηλού επιπέδου για την αμπελοοινική πολιτική, με τη συμμετοχή όλων των σχετικών ενδιαφερόμενων μερών, συμπεριλαμβανομένων των γεωργών, εκπροσώπων των κρατών μελών από τον κτηνοτροφικό τομέα, της ακαδημαϊκής κοινότητας και του κτηνιατρικού επαγγέλματος, αντιπροσωπευτικών ενώσεων και σχετικών οργανώσεων υγείας των ζώων, εκπροσώπων του κλάδου και εκπροσώπων των τοπικών αρχών· επισημαίνει ότι η σύνθεση αυτής της ομάδας θα πρέπει να αντικατοπτρίζει την πολυμορφία των εδαφών της ΕΕ, παρέχοντας ισόρροπη εκπροσώπηση των διαφορετικών περιφερειακών συνθηκών, συμπεριλαμβανομένων των περιοχών με υψηλή πυκνότητα ζωικού κεφαλαίου· </w:t>
      </w:r>
    </w:p>
    <w:p w14:paraId="38C81530" w14:textId="4A4FAC18" w:rsidR="00F166BD" w:rsidRPr="00B46E79" w:rsidRDefault="00B46E79" w:rsidP="00B46E79">
      <w:pPr>
        <w:widowControl/>
        <w:spacing w:after="240"/>
        <w:ind w:left="570" w:hanging="570"/>
        <w:rPr>
          <w:szCs w:val="24"/>
        </w:rPr>
      </w:pPr>
      <w:r w:rsidRPr="00B46E79">
        <w:rPr>
          <w:szCs w:val="24"/>
        </w:rPr>
        <w:t>4.</w:t>
      </w:r>
      <w:r w:rsidRPr="00B46E79">
        <w:rPr>
          <w:szCs w:val="24"/>
        </w:rPr>
        <w:tab/>
      </w:r>
      <w:r w:rsidR="00F166BD" w:rsidRPr="00B46E79">
        <w:t xml:space="preserve">πιστεύει ότι αυτή η ομάδα υψηλού επιπέδου, φέρνοντας σε επαφή τα κράτη μέλη και τα ενδιαφερόμενα μέρη, θα πρέπει να εξετάσει τις προκλήσεις που αντιμετωπίζει ο </w:t>
      </w:r>
      <w:r w:rsidR="00F166BD" w:rsidRPr="00B46E79">
        <w:lastRenderedPageBreak/>
        <w:t>κτηνοτροφικός τομέας και να παράσχει συγκεκριμένες και κοινωνικές λύσεις, με βάση ιδίως την έρευνα που διεξάγεται στον τομέα αυτό· ζητεί ανοικτό και εποικοδομητικό διάλογο μεταξύ όλων των ενδιαφερόμενων μερών για την ενθάρρυνση της συνεργασίας, την ανάπτυξη πρακτικών λύσεων και τη διασφάλιση τεκμηριωμένης επικοινωνίας σχετικά με την κτηνοτροφία· πιστεύει ότι οι λύσεις αυτές θα πρέπει να αφορούν, ειδικότερα, τη μετεγκατάσταση της παραγωγής εκτός Ευρώπης, την ανανέωση των γενεών και την προώθηση των επενδύσεων για την ενίσχυση της ανταγωνιστικότητας της κτηνοτροφίας·</w:t>
      </w:r>
    </w:p>
    <w:p w14:paraId="6EE1A8D4" w14:textId="74198183" w:rsidR="00F166BD" w:rsidRPr="00B46E79" w:rsidRDefault="00B46E79" w:rsidP="00B46E79">
      <w:pPr>
        <w:widowControl/>
        <w:spacing w:after="240"/>
        <w:ind w:left="570" w:hanging="570"/>
        <w:rPr>
          <w:bCs/>
          <w:iCs/>
        </w:rPr>
      </w:pPr>
      <w:r w:rsidRPr="00B46E79">
        <w:rPr>
          <w:bCs/>
          <w:iCs/>
        </w:rPr>
        <w:t>5.</w:t>
      </w:r>
      <w:r w:rsidRPr="00B46E79">
        <w:rPr>
          <w:bCs/>
          <w:iCs/>
        </w:rPr>
        <w:tab/>
      </w:r>
      <w:r w:rsidR="00F166BD" w:rsidRPr="00B46E79">
        <w:t xml:space="preserve">τονίζει ότι οι ειδικές προκλήσεις που επηρεάζουν τον κτηνοτροφικό τομέα απαιτούν συντονισμένη, πολυδιάστατη πολιτική απάντηση η οποία αντανακλά πλήρως την οικονομική, περιβαλλοντική και κοινωνική σημασία της κτηνοτροφίας στην ΕΕ, και των αγροτικών περιοχών της, αποφεύγοντας τους συμβιβασμούς μεταξύ αυτών των προκλήσεων· πιστεύει, επιπλέον, ότι αυτή η πολιτική απάντηση θα πρέπει επίσης να αντικατοπτρίζει τη συμβολή του τομέα στην αγροτική συνοχή, την επισιτιστική ασφάλεια, τη βιώσιμη διαχείριση της γης, την καλή διαβίωση των ζώων και τον εφοδιασμό της αγοράς της ΕΕ με ζωικές πρωτεΐνες· </w:t>
      </w:r>
    </w:p>
    <w:p w14:paraId="6216B769" w14:textId="3583398A" w:rsidR="00F166BD" w:rsidRPr="00B46E79" w:rsidRDefault="00B46E79" w:rsidP="00B46E79">
      <w:pPr>
        <w:widowControl/>
        <w:spacing w:after="240"/>
        <w:ind w:left="570" w:hanging="570"/>
        <w:rPr>
          <w:szCs w:val="24"/>
        </w:rPr>
      </w:pPr>
      <w:r w:rsidRPr="00B46E79">
        <w:rPr>
          <w:szCs w:val="24"/>
        </w:rPr>
        <w:t>6.</w:t>
      </w:r>
      <w:r w:rsidRPr="00B46E79">
        <w:rPr>
          <w:szCs w:val="24"/>
        </w:rPr>
        <w:tab/>
      </w:r>
      <w:r w:rsidR="00F166BD" w:rsidRPr="00B46E79">
        <w:t>καλεί την Επιτροπή να παράσχει ένα σταθερό και προβλέψιμο πλαίσιο για τους γεωργούς, περιορίζοντας τον περιττό κανονιστικό φόρτο και απλουστεύοντας τους κανόνες για την κτηνοτροφία, ιδίως για τις γεωργικές εκμεταλλεύσεις μικρής κλίμακας και τις οικογενειακές γεωργικές εκμεταλλεύσεις, διευκολύνοντας έτσι τις δραστηριότητες και στηρίζοντας την ανάπτυξη του τομέα· τονίζει την ανάγκη να αξιολογηθεί ο σωρευτικός αντίκτυπος της νομοθεσίας της ΕΕ και να αποτραπεί η ανασφάλεια δικαίου και ο διοικητικός φόρτος που προκαλούνται από το δίκαιο της ΕΕ και τον εθνικό κανονιστικό υπερθεματισμό·</w:t>
      </w:r>
    </w:p>
    <w:p w14:paraId="1C8734A7" w14:textId="03176EBD" w:rsidR="00F166BD" w:rsidRPr="00B46E79" w:rsidRDefault="00B46E79" w:rsidP="00B46E79">
      <w:pPr>
        <w:widowControl/>
        <w:spacing w:after="240"/>
        <w:ind w:left="570" w:hanging="570"/>
        <w:rPr>
          <w:szCs w:val="24"/>
        </w:rPr>
      </w:pPr>
      <w:r w:rsidRPr="00B46E79">
        <w:rPr>
          <w:szCs w:val="24"/>
        </w:rPr>
        <w:t>7.</w:t>
      </w:r>
      <w:r w:rsidRPr="00B46E79">
        <w:rPr>
          <w:szCs w:val="24"/>
        </w:rPr>
        <w:tab/>
      </w:r>
      <w:r w:rsidR="00F166BD" w:rsidRPr="00B46E79">
        <w:t>επισημαίνει ότι η βελτίωση της κοινωνικής, οικονομικής και περιβαλλοντικής βιωσιμότητας της κτηνοτροφίας εξαρτάται από ένα μακροπρόθεσμο όραμα που θα αντιμετωπίζει ένα ευρύ και αλληλένδετο φάσμα παραγόντων, συμπεριλαμβανομένων της ανταγωνιστικότητας ως προς τις τιμές και της μη τιμολογιακής ανταγωνιστικότητας, της ικανότητας προσαρμογής στην κλιματική αλλαγή και στα σχετικά ακραία καιρικά φαινόμενα, καθώς και των ασθενειών των ζώων· πιστεύει ότι άλλοι εξαιρετικά σημαντικοί παράγοντες περιλαμβάνουν τη ρύπανση από θρεπτικές ουσίες, την ανάπτυξη και την παροχή αμειβόμενων υπηρεσιών οικοσυστήματος, τη στοχευμένη επενδυτική στήριξη, την προώθηση της καλής διαβίωσης των ζώων, τα κίνητρα για καινοτομία και ψηφιοποίηση, καθώς και την ανανέωση των γενεών, την πρόσβαση σε υπηρεσίες στήριξης και παροχής συμβουλών και τη βελτίωση των συνθηκών διαβίωσης και εργασίας για τους κτηνοτρόφους·</w:t>
      </w:r>
    </w:p>
    <w:p w14:paraId="09FBA7AA" w14:textId="793ADAB2" w:rsidR="00F166BD" w:rsidRPr="00B46E79" w:rsidRDefault="00B46E79" w:rsidP="00B46E79">
      <w:pPr>
        <w:widowControl/>
        <w:spacing w:after="240"/>
        <w:ind w:left="570" w:hanging="570"/>
        <w:rPr>
          <w:szCs w:val="24"/>
        </w:rPr>
      </w:pPr>
      <w:r w:rsidRPr="00B46E79">
        <w:rPr>
          <w:szCs w:val="24"/>
        </w:rPr>
        <w:t>8.</w:t>
      </w:r>
      <w:r w:rsidRPr="00B46E79">
        <w:rPr>
          <w:szCs w:val="24"/>
        </w:rPr>
        <w:tab/>
      </w:r>
      <w:r w:rsidR="00F166BD" w:rsidRPr="00B46E79">
        <w:t>τονίζει ότι πρωτίστως τους γεωργούς συμφέρει η διασφάλιση της καλής υγείας και διαβίωσης των ζώων τους, καθώς αυτό συνιστά τόσο ηθική όσο και οικονομική επιταγή· υπογραμμίζει ότι η καλή διαβίωση των ζώων στις γεωργικές εκμεταλλεύσεις συνδέεται και με τις ικανότητες του εκάστοτε κτηνοτρόφου· τονίζει τη σημασία της κατάρτισης και της τακτικής επιμόρφωσης για αυτό το θέμα·</w:t>
      </w:r>
    </w:p>
    <w:p w14:paraId="165BD2B1" w14:textId="4B377D71" w:rsidR="00F166BD" w:rsidRPr="00B46E79" w:rsidRDefault="00B46E79" w:rsidP="00B46E79">
      <w:pPr>
        <w:widowControl/>
        <w:spacing w:after="240"/>
        <w:ind w:left="570" w:hanging="570"/>
        <w:rPr>
          <w:szCs w:val="24"/>
        </w:rPr>
      </w:pPr>
      <w:r w:rsidRPr="00B46E79">
        <w:rPr>
          <w:szCs w:val="24"/>
        </w:rPr>
        <w:t>9.</w:t>
      </w:r>
      <w:r w:rsidRPr="00B46E79">
        <w:rPr>
          <w:szCs w:val="24"/>
        </w:rPr>
        <w:tab/>
      </w:r>
      <w:r w:rsidR="00F166BD" w:rsidRPr="00B46E79">
        <w:t xml:space="preserve">επισημαίνει ότι η ποικιλομορφία των ευρωπαϊκών συστημάτων κτηνοτροφίας που κυμαίνονται από την ελεύθερη εκτροφή στις ορεινές περιοχές η οποία συχνά αφορά βοσκοτόπους υψηλής περιβαλλοντικής αξίας και απειλούμενα εκτρεφόμενα είδη και φυλές, έως τις εξειδικευμένες και άκρως αποδοτικές εκμεταλλεύσεις μεγάλης κλίμακας, τα γεωργοκτηνοτροφικά συστήματα, την αναγεννητική και βιολογική γεωργία και την </w:t>
      </w:r>
      <w:r w:rsidR="00F166BD" w:rsidRPr="00B46E79">
        <w:lastRenderedPageBreak/>
        <w:t>ποιμενική κτηνοτροφία, την εποχιακή μετακίνηση, τη δασική βόσκηση και τη μικρής κλίμακας εκτροφή ζώων για προσωπική χρήση, και η ποικιλία των φυλών ζωικού κεφαλαίου επιτρέπουν στις εκμεταλλεύσεις να παρέχουν ένα φάσμα συμπληρωματικών αγαθών και υπηρεσιών και, έτσι, βελτιώνουν την ανθεκτικότητα ολόκληρου του κτηνοτροφικού τομέα, ικανοποιώντας παράλληλα ένα ευρύ φάσμα καταναλωτικών απαιτήσεων· καλεί την Ευρωπαϊκή Επιτροπή να προωθήσει και να διευκολύνει την ποικιλομορφία των συστημάτων παραγωγής·</w:t>
      </w:r>
    </w:p>
    <w:p w14:paraId="5BAE910A" w14:textId="5C636E5A" w:rsidR="00F166BD" w:rsidRPr="00B46E79" w:rsidRDefault="00B46E79" w:rsidP="00B46E79">
      <w:pPr>
        <w:widowControl/>
        <w:spacing w:after="240"/>
        <w:ind w:left="570" w:hanging="570"/>
        <w:rPr>
          <w:szCs w:val="24"/>
        </w:rPr>
      </w:pPr>
      <w:r w:rsidRPr="00B46E79">
        <w:rPr>
          <w:szCs w:val="24"/>
        </w:rPr>
        <w:t>10.</w:t>
      </w:r>
      <w:r w:rsidRPr="00B46E79">
        <w:rPr>
          <w:szCs w:val="24"/>
        </w:rPr>
        <w:tab/>
      </w:r>
      <w:r w:rsidR="00F166BD" w:rsidRPr="00B46E79">
        <w:t>τονίζει την ανάγκη για αυξημένη διαφάνεια όσον αφορά την κατανομή και τη χρήση των κονδυλίων της ΕΕ που διατίθενται στις μη κυβερνητικές οργανώσεις (ΜΚΟ), προκειμένου να αποφευχθεί οποιαδήποτε πιθανότητα κατάχρησης ή αθέμιτης επιρροής στις πολιτικές της ΕΕ· καλεί την Επιτροπή να δημιουργήσει ένα δημόσιο μητρώο στο οποίο διευκρινίζονται τα ποσά και οι σκοποί της χρηματοδότησης που λαμβάνουν οι ΜΚΟ· εκφράζει την ανησυχία του για την κατανομή κονδυλίων, μεταξύ άλλων μέσω του προγράμματος για το Περιβάλλον και τη Δράση για το Κλίμα (LIFE), σε ΜΚΟ που ασκούν δραστηριότητες άσκησης πίεσης από ομάδες συμφερόντων, ιδίως όσον αφορά την καλή μεταχείριση των ζώων, στα θεσμικά όργανα της ΕΕ, παραβιάζοντας ενδεχομένως τις αρχές της διάκρισης των εξουσιών και της καλόπιστης συνεργασίας· καλεί την Επιτροπή να σταματήσει να χρηματοδοτεί τις ΜΚΟ που διεξάγουν στοχευμένες δραστηριότητες άσκησης πίεσης από ομάδες συμφερόντων και προβάλλουν μια παραπλανητική, επιθετική και ιδεολογική εικόνα της κτηνοτροφίας στην Ευρώπη· καλεί επίσης την Επιτροπή να διασφαλίσει ότι όλοι οι δικαιούχοι κονδυλίων δημοσιεύουν τις συναντήσεις τους με εκπροσώπους των θεσμικών οργάνων της ΕΕ όταν επιδιώκουν να επηρεάσουν τις πολιτικές της ΕΕ·</w:t>
      </w:r>
    </w:p>
    <w:p w14:paraId="52FF0413" w14:textId="77777777" w:rsidR="00F166BD" w:rsidRPr="00B46E79" w:rsidRDefault="00F166BD" w:rsidP="00E40508">
      <w:pPr>
        <w:pStyle w:val="NormalHanging12a"/>
        <w:rPr>
          <w:b/>
          <w:i/>
        </w:rPr>
      </w:pPr>
      <w:r w:rsidRPr="00B46E79">
        <w:rPr>
          <w:b/>
          <w:i/>
        </w:rPr>
        <w:t>Οικονομική βιωσιμότητα και επισιτιστική ασφάλεια</w:t>
      </w:r>
    </w:p>
    <w:p w14:paraId="1C4C25C5" w14:textId="61C541B3" w:rsidR="00F166BD" w:rsidRPr="00B46E79" w:rsidRDefault="00B46E79" w:rsidP="00B46E79">
      <w:pPr>
        <w:widowControl/>
        <w:spacing w:after="240"/>
        <w:ind w:left="570" w:hanging="570"/>
        <w:rPr>
          <w:szCs w:val="24"/>
        </w:rPr>
      </w:pPr>
      <w:r w:rsidRPr="00B46E79">
        <w:rPr>
          <w:szCs w:val="24"/>
        </w:rPr>
        <w:t>11.</w:t>
      </w:r>
      <w:r w:rsidRPr="00B46E79">
        <w:rPr>
          <w:szCs w:val="24"/>
        </w:rPr>
        <w:tab/>
      </w:r>
      <w:r w:rsidR="00F166BD" w:rsidRPr="00B46E79">
        <w:t>σημειώνει ότι η διατήρηση ενός ακμάζοντος, βιώσιμου και ανθεκτικού κτηνοτροφικού τομέα στην ΕΕ θα ωφελήσει την παγκόσμια επισιτιστική ασφάλεια, θα ενισχύσει την επισιτιστική κυριαρχία και οικονομική ανάπτυξη της ΕΕ και θα συμβάλει σε ισορροπημένη και ποικιλόμορφη ευρωπαϊκή διατροφή μέσω της κατανάλωσης προϊόντων κρέατος υψηλής διατροφικής ποιότητας που αποτελούν μοναδική πηγή πολλών μικροθρεπτικών στοιχείων και βιοενεργών ενώσεων, η διατροφική αξία των οποίων δεν μπορεί να αντικατασταθεί επαρκώς από φυτικές ή τεχνητές εναλλακτικές και θα πρέπει να αναγνωρίζεται κατά τη σύνταξη τεκμηριωμένων κατευθυντήριων γραμμών για τη διατροφή·</w:t>
      </w:r>
    </w:p>
    <w:p w14:paraId="3051BA61" w14:textId="67A987A3" w:rsidR="00F166BD" w:rsidRPr="00B46E79" w:rsidRDefault="00B46E79" w:rsidP="00B46E79">
      <w:pPr>
        <w:widowControl/>
        <w:spacing w:after="240"/>
        <w:ind w:left="570" w:hanging="570"/>
        <w:rPr>
          <w:szCs w:val="24"/>
        </w:rPr>
      </w:pPr>
      <w:r w:rsidRPr="00B46E79">
        <w:rPr>
          <w:szCs w:val="24"/>
        </w:rPr>
        <w:t>12.</w:t>
      </w:r>
      <w:r w:rsidRPr="00B46E79">
        <w:rPr>
          <w:szCs w:val="24"/>
        </w:rPr>
        <w:tab/>
      </w:r>
      <w:r w:rsidR="00F166BD" w:rsidRPr="00B46E79">
        <w:t>Σημειώνει ότι η έκθεση του FAO του 2023 με τίτλο «Contribution of terrestrial animal source foods to healthy diets for improved nutrition and health outcomes» (Συμβολή των τροφίμων χερσαίας ζωικής προέλευσης στην υγιεινή διατροφή για βελτιωμένα αποτελέσματα όσον αφορά τη διατροφή και την υγεία) επισημαίνει τον ρόλο των τροφίμων ζωικής προέλευσης στην παροχή πρωτεϊνών υψηλής ποιότητας και βασικών μικροθρεπτικών στοιχείων που ενδέχεται να μην υπάρχουν στη διατροφή φυτικής προέλευσης· τονίζει ότι τα τρόφιμα αυτά είναι ζωτικής σημασίας για τα παιδιά, τους εφήβους, τις εγκύους και τις θηλάζουσες γυναίκες, τις γυναίκες σε αναπαραγωγική ηλικία, τους ηλικιωμένους και τα άτομα που ζουν με χρόνιες παθήσεις, και ότι θα ήταν δύσκολο να αντικατασταθούν με εναλλακτικές λύσεις φυτικής προέλευσης·</w:t>
      </w:r>
    </w:p>
    <w:p w14:paraId="4A67DD79" w14:textId="4D22084D" w:rsidR="00F166BD" w:rsidRPr="00B46E79" w:rsidRDefault="00B46E79" w:rsidP="00B46E79">
      <w:pPr>
        <w:widowControl/>
        <w:spacing w:after="240"/>
        <w:ind w:left="570" w:hanging="570"/>
        <w:rPr>
          <w:szCs w:val="24"/>
        </w:rPr>
      </w:pPr>
      <w:r w:rsidRPr="00B46E79">
        <w:rPr>
          <w:szCs w:val="24"/>
        </w:rPr>
        <w:t>13.</w:t>
      </w:r>
      <w:r w:rsidRPr="00B46E79">
        <w:rPr>
          <w:szCs w:val="24"/>
        </w:rPr>
        <w:tab/>
      </w:r>
      <w:r w:rsidR="00F166BD" w:rsidRPr="00B46E79">
        <w:t xml:space="preserve">τονίζει με έμφαση τη σημασία της κτηνοτροφίας για τις περιφερειακές αξιακές αλυσίδες και τις τοπικές αγορές· καλεί την Επιτροπή να διενεργήσει εκτίμηση </w:t>
      </w:r>
      <w:r w:rsidR="00F166BD" w:rsidRPr="00B46E79">
        <w:lastRenderedPageBreak/>
        <w:t>επιπτώσεων των κοινωνικών και οικονομικών συνεπειών που θα είχε η περαιτέρω αποδυνάμωση του δικτύου των περιφερειακών σφαγείων·</w:t>
      </w:r>
    </w:p>
    <w:p w14:paraId="0DA85AAE" w14:textId="7F7D4D02" w:rsidR="00F166BD" w:rsidRPr="00B46E79" w:rsidRDefault="00B46E79" w:rsidP="00B46E79">
      <w:pPr>
        <w:widowControl/>
        <w:spacing w:after="240"/>
        <w:ind w:left="570" w:hanging="570"/>
        <w:rPr>
          <w:szCs w:val="24"/>
        </w:rPr>
      </w:pPr>
      <w:r w:rsidRPr="00B46E79">
        <w:rPr>
          <w:szCs w:val="24"/>
        </w:rPr>
        <w:t>14.</w:t>
      </w:r>
      <w:r w:rsidRPr="00B46E79">
        <w:rPr>
          <w:szCs w:val="24"/>
        </w:rPr>
        <w:tab/>
      </w:r>
      <w:r w:rsidR="00F166BD" w:rsidRPr="00B46E79">
        <w:t xml:space="preserve">ζητεί μια ισορροπημένη προσέγγιση που αναγνωρίζει τον ουσιαστικό ρόλο των ζωικών προϊόντων στην παγκόσμια διατροφή, ενώ ταυτόχρονα θα λαμβάνει υπόψη τη σημασία της εν λόγω παραγωγής για τα γεωργικά εισοδήματα και την οικονομική σταθερότητα· υπενθυμίζει ότι το ζωικό κεφάλαιο διαδραματίζει σημαντικό ρόλο στην κυκλική οικονομία και στην αναβαθμιστική ανακύκλωση των ροών αποβλήτων από τη βιομηχανία τροφίμων, καθώς και σε πολλούς τομείς, όπως τα κλωστοϋφαντουργικά προϊόντα, τα είδη ένδυσης, τα υποδήματα, τα δερμάτινα είδη, οι κατασκευές, τα καλλυντικά και τα φαρμακευτικά προϊόντα· επισημαίνει την ανάγκη να αντιμετωπιστούν, ταυτόχρονα, οι διαφορετικές επιπτώσεις των συστημάτων παραγωγής στο περιβάλλον, το κλίμα και την καλή διαβίωση των ζώων· </w:t>
      </w:r>
    </w:p>
    <w:p w14:paraId="0EAB7205" w14:textId="2F567C1E" w:rsidR="00F166BD" w:rsidRPr="00B46E79" w:rsidRDefault="00B46E79" w:rsidP="00B46E79">
      <w:pPr>
        <w:widowControl/>
        <w:spacing w:after="240"/>
        <w:ind w:left="570" w:hanging="570"/>
        <w:rPr>
          <w:szCs w:val="24"/>
        </w:rPr>
      </w:pPr>
      <w:r w:rsidRPr="00B46E79">
        <w:rPr>
          <w:szCs w:val="24"/>
        </w:rPr>
        <w:t>15.</w:t>
      </w:r>
      <w:r w:rsidRPr="00B46E79">
        <w:rPr>
          <w:szCs w:val="24"/>
        </w:rPr>
        <w:tab/>
      </w:r>
      <w:r w:rsidR="00F166BD" w:rsidRPr="00B46E79">
        <w:t>υπογραμμίζει την ανάγκη να συνεχιστεί η διασφάλιση της επισιτιστικής ασφάλειας στην Ευρώπη, με παράλληλη ελαχιστοποίηση των περιβαλλοντικών επιπτώσεων, μια πρόκληση που πρέπει να αντιμετωπιστεί μέσω διαφανών, επιστημονικά τεκμηριωμένων προσεγγίσεων και καινοτομίας·</w:t>
      </w:r>
    </w:p>
    <w:p w14:paraId="6241F51E" w14:textId="006ED192" w:rsidR="00F166BD" w:rsidRPr="00B46E79" w:rsidRDefault="00B46E79" w:rsidP="00B46E79">
      <w:pPr>
        <w:widowControl/>
        <w:spacing w:after="240"/>
        <w:ind w:left="570" w:hanging="570"/>
        <w:rPr>
          <w:szCs w:val="24"/>
        </w:rPr>
      </w:pPr>
      <w:r w:rsidRPr="00B46E79">
        <w:rPr>
          <w:szCs w:val="24"/>
        </w:rPr>
        <w:t>16.</w:t>
      </w:r>
      <w:r w:rsidRPr="00B46E79">
        <w:rPr>
          <w:szCs w:val="24"/>
        </w:rPr>
        <w:tab/>
      </w:r>
      <w:r w:rsidR="00F166BD" w:rsidRPr="00B46E79">
        <w:t>υπογραμμίζει ότι η βελτίωση της παραγωγικότητας, της ανθεκτικότητας, της αποδοτικότητας και της βιωσιμότητας στον κτηνοτροφικό τομέα της ΕΕ είναι απαραίτητη για την αύξηση της εγχώριας προσφοράς πρωτεϊνών υψηλής ποιότητας που ανταποκρίνεται στις ανάγκες των Ευρωπαίων καταναλωτών και την ενίσχυση της επισιτιστικής ασφάλειας, ιδίως στο πλαίσιο της αστάθειας των παγκόσμιων αγορών, των γεωπολιτικών εντάσεων και της αναμενόμενης αύξησης της παγκόσμιας ζήτησης για ζωικές πρωτεΐνες κατά τα επόμενα 30 έτη· υπογραμμίζει ότι η ΕΕ παραμένει εξαρτώμενη σε μεγάλο βαθμό από τις εισαγωγές πρωτεϊνών φυτικής προέλευσης για ζωοτροφές από περιορισμένο αριθμό εταίρων, γεγονός που υπονομεύει την πρωτεϊνική αυτάρκεια και καθιστά το σύστημα τροφίμων ευάλωτο στις διακυμάνσεις της παγκόσμιας αγοράς·</w:t>
      </w:r>
    </w:p>
    <w:p w14:paraId="17656ECC" w14:textId="5CD8CECA" w:rsidR="00F166BD" w:rsidRPr="00B46E79" w:rsidRDefault="00B46E79" w:rsidP="00B46E79">
      <w:pPr>
        <w:widowControl/>
        <w:spacing w:after="240"/>
        <w:ind w:left="570" w:hanging="570"/>
        <w:rPr>
          <w:szCs w:val="24"/>
        </w:rPr>
      </w:pPr>
      <w:r w:rsidRPr="00B46E79">
        <w:rPr>
          <w:szCs w:val="24"/>
        </w:rPr>
        <w:t>17.</w:t>
      </w:r>
      <w:r w:rsidRPr="00B46E79">
        <w:rPr>
          <w:szCs w:val="24"/>
        </w:rPr>
        <w:tab/>
      </w:r>
      <w:r w:rsidR="00F166BD" w:rsidRPr="00B46E79">
        <w:t>τονίζει ότι η βιώσιμη, διαφοροποιημένη και εγχώρια παραγωγή πρωτεϊνών είναι απαραίτητη για τη διασφάλιση επαρκών, ασφαλών και υψηλής ποιότητας τροφίμων και ζωοτροφών· επισημαίνει ότι ο τομέας των ζωικών πρωτεϊνών μπορεί να στηρίξει την εν λόγω παραγωγή χρησιμοποιώντας τα ζωικά λύματα ως φυσικά λιπάσματα και ανακτώντας φυτικά υποπροϊόντα για ζωοτροφές και ροές αποβλήτων από τρόφιμα για την προώθηση ενός πιο ολοκληρωμένου, κυκλικού και βιώσιμου συστήματος· εκφράζει την ικανοποίησή του για την ανακοίνωση της Επιτροπής, στο όραμά της για τη γεωργία και τα τρόφιμα, ότι θα αναπτύξει ένα ολοκληρωμένο σχέδιο για ένα πιο αυτάρκες και βιώσιμο σύστημα πρωτεϊνών της ΕΕ, το οποίο θα καλύπτει την παραγωγή, την εισαγωγή και την κατανάλωση πρωτεϊνών στην ΕΕ, ώστε να διασφαλιστεί η μακροπρόθεσμη ανθεκτικότητα του αγροδιατροφικού συστήματος·</w:t>
      </w:r>
    </w:p>
    <w:p w14:paraId="295834FE" w14:textId="11640692" w:rsidR="00F166BD" w:rsidRPr="00B46E79" w:rsidRDefault="00B46E79" w:rsidP="00B46E79">
      <w:pPr>
        <w:widowControl/>
        <w:spacing w:after="240"/>
        <w:ind w:left="570" w:hanging="570"/>
        <w:rPr>
          <w:szCs w:val="24"/>
        </w:rPr>
      </w:pPr>
      <w:r w:rsidRPr="00B46E79">
        <w:rPr>
          <w:szCs w:val="24"/>
        </w:rPr>
        <w:t>18.</w:t>
      </w:r>
      <w:r w:rsidRPr="00B46E79">
        <w:rPr>
          <w:szCs w:val="24"/>
        </w:rPr>
        <w:tab/>
      </w:r>
      <w:r w:rsidR="00F166BD" w:rsidRPr="00B46E79">
        <w:t xml:space="preserve">τονίζει την ανάγκη να ενισχυθεί η θέση των γεωργών στην αλυσίδα αξίας των αγροδιατροφικών προϊόντων, μεταξύ άλλων μέσω συνεταιρισμών, οργανώσεων και ενώσεων παραγωγών, και καλεί την Επιτροπή και τα κράτη μέλη να διερευνήσουν μηχανισμούς που θα διασφαλίζουν ότι οι γεωργοί λαμβάνουν τιμές που καλύπτουν τουλάχιστον το κόστος παραγωγής τους· υπενθυμίζει ότι η παροχή στους κτηνοτρόφους αξιοπρεπών, δίκαιων και σταθερότερων εισοδημάτων, καλύτερων συνθηκών εργασίας, κοινωνικής αναγνώρισης, βελτιωμένης πρόσβασης σε πιστώσεις και βιώσιμης χρηματοδότησης για την έρευνα και τις επενδύσεις στην ποιότητα του ζωικού </w:t>
      </w:r>
      <w:r w:rsidR="00F166BD" w:rsidRPr="00B46E79">
        <w:lastRenderedPageBreak/>
        <w:t>κεφαλαίου είναι καίριας σημασίας για τη διασφάλιση της οικονομικής βιωσιμότητας του τομέα, την κατάλληλη αποτίμηση του ρόλου των γεωργών στη διασφάλιση του εφοδιασμού τροφίμων της ΕΕ και την προσέλκυση των νεότερων γενεών·</w:t>
      </w:r>
    </w:p>
    <w:p w14:paraId="37F5C68C" w14:textId="04E02833" w:rsidR="00F166BD" w:rsidRPr="00B46E79" w:rsidRDefault="00B46E79" w:rsidP="00B46E79">
      <w:pPr>
        <w:widowControl/>
        <w:spacing w:after="240"/>
        <w:ind w:left="570" w:hanging="570"/>
        <w:rPr>
          <w:szCs w:val="24"/>
        </w:rPr>
      </w:pPr>
      <w:r w:rsidRPr="00B46E79">
        <w:rPr>
          <w:szCs w:val="24"/>
        </w:rPr>
        <w:t>19.</w:t>
      </w:r>
      <w:r w:rsidRPr="00B46E79">
        <w:rPr>
          <w:szCs w:val="24"/>
        </w:rPr>
        <w:tab/>
      </w:r>
      <w:r w:rsidR="00F166BD" w:rsidRPr="00B46E79">
        <w:t>τονίζει ότι η αστάθεια των τιμών, το υψηλό κόστος παραγωγής, η υπερβολική γραφειοκρατία και η έλλειψη αναγνώρισης του επαγγέλματος από την κοινωνία έχουν συμβάλει στην εγκατάλειψη της γεωργίας και στη γήρανση του τομέα· επισημαίνει ότι οι εκμεταλλεύσεις μικρού και μεσαίου μεγέθους πρέπει ήδη να συμμορφώνονται με έναν αριθμό απαιτήσεων των οποίων τα αποτελέσματα δεν αντανακλούν εύλογη αναλογία κόστους-ωφέλειας· επαναλαμβάνει, ως εκ τούτου, την ανάγκη για αποτελεσματικά μέσα στήριξης του εισοδήματος, μείωσης της γραφειοκρατίας, απλοποίησης της υπάρχουσας νομοθεσίας και βελτίωσης της αναγνώρισης της γεωργικής εργασίας από την κοινωνία, ως βασικών στοιχείων για τη διασφάλιση της μακροπρόθεσμης βιωσιμότητας της κτηνοτροφίας στην Ευρωπαϊκή Ένωση· καλεί την Επιτροπή να στηρίξει τον κτηνοτροφικό τομέα και να προχωρήσει στην έγκριση της στρατηγικής της για την κτηνοτροφία·</w:t>
      </w:r>
    </w:p>
    <w:p w14:paraId="6ACEAD44" w14:textId="3DE90C32" w:rsidR="00F166BD" w:rsidRPr="00B46E79" w:rsidRDefault="00B46E79" w:rsidP="00B46E79">
      <w:pPr>
        <w:widowControl/>
        <w:spacing w:after="240"/>
        <w:ind w:left="570" w:hanging="570"/>
        <w:rPr>
          <w:szCs w:val="24"/>
        </w:rPr>
      </w:pPr>
      <w:r w:rsidRPr="00B46E79">
        <w:rPr>
          <w:szCs w:val="24"/>
        </w:rPr>
        <w:t>20.</w:t>
      </w:r>
      <w:r w:rsidRPr="00B46E79">
        <w:rPr>
          <w:szCs w:val="24"/>
        </w:rPr>
        <w:tab/>
      </w:r>
      <w:r w:rsidR="00F166BD" w:rsidRPr="00B46E79">
        <w:t>επισημαίνει ότι οι επενδύσεις σε νέες κτηνοτροφικές εγκαταστάσεις και η ανακαίνιση των υφισταμένων συνεπάγονται σημαντικό κόστος και πρέπει να προγραμματιστούν και να ολοκληρωθούν σε μακροπρόθεσμη βάση· προειδοποιεί ότι αναθεωρήσεις της νομοθεσίας για την καλή διαβίωση των ζώων θα μπορούσαν να οδηγήσουν σε απώλεια των αδειών κτηνοτροφικών εγκαταστάσεων, με αποτέλεσμα να απαιτούνται δαπανηρές μετατροπές πολλά έτη πριν από το τέλος της προγραμματισμένης ωφέλιμης διάρκειας ζωής τους· καλεί την Επιτροπή, στο μέτρο των δυνατοτήτων της, να προωθήσει και να παράσχει κίνητρα για ορθές πρακτικές αδειοδότησης στα κράτη μέλη·</w:t>
      </w:r>
    </w:p>
    <w:p w14:paraId="15DA03B0" w14:textId="3EA46C88" w:rsidR="00F166BD" w:rsidRPr="00B46E79" w:rsidRDefault="00B46E79" w:rsidP="00B46E79">
      <w:pPr>
        <w:widowControl/>
        <w:spacing w:after="240"/>
        <w:ind w:left="570" w:hanging="570"/>
        <w:rPr>
          <w:szCs w:val="24"/>
        </w:rPr>
      </w:pPr>
      <w:r w:rsidRPr="00B46E79">
        <w:rPr>
          <w:szCs w:val="24"/>
        </w:rPr>
        <w:t>21.</w:t>
      </w:r>
      <w:r w:rsidRPr="00B46E79">
        <w:rPr>
          <w:szCs w:val="24"/>
        </w:rPr>
        <w:tab/>
      </w:r>
      <w:r w:rsidR="00F166BD" w:rsidRPr="00B46E79">
        <w:t>υπογραμμίζει ότι η βιώσιμη κτηνοτροφία, ιδίως σε μικρές και μεσαίες γεωργικές εκμεταλλεύσεις, είναι θεμελιώδους σημασίας για την κοινωνικοοικονομική ζωτικότητα των αγροτικών περιοχών, ιδίως των ορεινών περιοχών, των περιοχών με πυκνότητα ζωικού κεφαλαίου και των μειονεκτουσών περιοχών, όπως οι μόνιμες χορτολιβαδικές εκτάσεις, οι τυρφώνες και οι λειμώνες, όπου συχνά αποτελεί την κύρια ή ακόμη και τη μοναδική βιώσιμη οικονομική δραστηριότητα και διατηρεί την παραγωγή, την οικονομική ανάπτυξη και τη διατήρηση του τοπίου· τονίζει ότι η κτηνοτροφική εκμετάλλευση δεν παρέχει μόνο αγροτική απασχόληση και βοηθά στην αποτροπή του αποπληθυσμού, αλλά συμβάλλει επίσης στην ενεργό διαχείριση της γης, την πρόληψη των πυρκαγιών, τη διατήρηση της βιοποικιλότητας και της πολιτιστικής κληρονομιάς και της κληρονομιάς του τοπίου· επισημαίνει ότι σε πολλές περιοχές διαδραματίζει αναντικατάστατο ρόλο στην εδαφική συνοχή και στη διατήρηση της ζωτικότητας των κοινοτήτων· υπογραμμίζει ότι η εκτατική ποιμενική κτηνοτροφία αποτελεί αποτελεσματικό τρόπο επιβράβευσης των γεωργών για τις οικοσυστημικές υπηρεσίες που παρέχουν·</w:t>
      </w:r>
      <w:bookmarkStart w:id="13" w:name="_Hlk211233517"/>
    </w:p>
    <w:p w14:paraId="67CC45AF" w14:textId="309DD19E" w:rsidR="00F166BD" w:rsidRPr="00B46E79" w:rsidRDefault="00B46E79" w:rsidP="00B46E79">
      <w:pPr>
        <w:widowControl/>
        <w:spacing w:after="240"/>
        <w:ind w:left="570" w:hanging="570"/>
        <w:rPr>
          <w:szCs w:val="24"/>
        </w:rPr>
      </w:pPr>
      <w:r w:rsidRPr="00B46E79">
        <w:rPr>
          <w:szCs w:val="24"/>
        </w:rPr>
        <w:t>22.</w:t>
      </w:r>
      <w:r w:rsidRPr="00B46E79">
        <w:rPr>
          <w:szCs w:val="24"/>
        </w:rPr>
        <w:tab/>
      </w:r>
      <w:r w:rsidR="00F166BD" w:rsidRPr="00B46E79">
        <w:t xml:space="preserve">καλεί την Επιτροπή να δρομολογήσει ένα σχέδιο </w:t>
      </w:r>
      <w:r w:rsidR="00F166BD" w:rsidRPr="00B46E79">
        <w:rPr>
          <w:rFonts w:asciiTheme="minorHAnsi" w:hAnsiTheme="minorHAnsi"/>
          <w:sz w:val="22"/>
        </w:rPr>
        <w:t xml:space="preserve"> </w:t>
      </w:r>
      <w:r w:rsidR="00F166BD" w:rsidRPr="00B46E79">
        <w:t xml:space="preserve">που θα προωθεί τις νέες τεχνολογίες, την καινοτομία στον τομέα των ζωοτροφών και τη γενετική βελτίωση των κοπαδιών, να ενισχύσει τις επενδύσεις στη δημόσια και ιδιωτική έρευνα σχετικά με την εκτροφή ζώων και τη γενετική, να διευκολύνει τη διάδοση ορθών πρακτικών αντί να επιβάλλει μεγάλης κλίμακας μέτρα αριθμητικής αναδιάρθρωσης των κοπαδιών που μπορεί να μειώσουν και να θέσουν σε κίνδυνο την ευρωπαϊκή επισιτιστική κυριαρχία και ασφάλεια, και να βελτιστοποιήσει την παραγωγή και την αποτελεσματικότητα· υπογραμμίζει ότι η εκτροφή ζώων αποτελεί σημαντικό εργαλείο για τη βελτίωση της παραγωγικότητας, της αποδοτικότητας και της υγείας των ζώων· τονίζει ότι η ΕΕ </w:t>
      </w:r>
      <w:r w:rsidR="00F166BD" w:rsidRPr="00B46E79">
        <w:lastRenderedPageBreak/>
        <w:t xml:space="preserve">κατέχει ηγετική θέση στην έρευνα και την καινοτομία στον τομέα της αναπαραγωγής και της γενετικής ζώων· </w:t>
      </w:r>
    </w:p>
    <w:p w14:paraId="229A471B" w14:textId="5842F2ED" w:rsidR="00F166BD" w:rsidRPr="00B46E79" w:rsidRDefault="00B46E79" w:rsidP="00B46E79">
      <w:pPr>
        <w:widowControl/>
        <w:spacing w:after="240"/>
        <w:ind w:left="570" w:hanging="570"/>
        <w:rPr>
          <w:szCs w:val="24"/>
        </w:rPr>
      </w:pPr>
      <w:r w:rsidRPr="00B46E79">
        <w:rPr>
          <w:szCs w:val="24"/>
        </w:rPr>
        <w:t>23.</w:t>
      </w:r>
      <w:r w:rsidRPr="00B46E79">
        <w:rPr>
          <w:szCs w:val="24"/>
        </w:rPr>
        <w:tab/>
      </w:r>
      <w:r w:rsidR="00F166BD" w:rsidRPr="00B46E79">
        <w:t>ζητεί τη δρομολόγηση ενός σχεδίου για τη διασφάλιση της γονιδιακής δεξαμενής διαφόρων απειλούμενων παραδοσιακών φυλών, για την προώθηση των τοπικών ειδών και των αγροτικών φυλών κρεοπαραγωγής που είναι καλύτερα προσαρμοσμένες στις κλιματικές συνθήκες της κάθε περιοχής, καθώς και για τη διάδοση ορθών πρακτικών με παράλληλη διατήρηση της γενετικής ποικιλομορφίας· τονίζει την ανάγκη να διατηρηθούν οι ενισχύσεις δυνάμει του άρθρου 27 του κανονισμού (ΕΕ) 2022/2472</w:t>
      </w:r>
      <w:r w:rsidR="00E40508" w:rsidRPr="00B46E79">
        <w:t xml:space="preserve"> της Επιτροπής</w:t>
      </w:r>
      <w:r w:rsidR="00F166BD" w:rsidRPr="00B46E79">
        <w:rPr>
          <w:rStyle w:val="FootnoteReference"/>
        </w:rPr>
        <w:footnoteReference w:id="30"/>
      </w:r>
      <w:r w:rsidR="00F166BD" w:rsidRPr="00B46E79">
        <w:t xml:space="preserve"> για τη στήριξη της γενετικής προόδου στη ζωική παραγωγή· υπογραμμίζει την επείγουσα ανάγκη προώθησης της έρευνας, της καινοτομίας και της υιοθέτησης τεκμηριωμένων πρακτικών που βελτιώνουν τη βιωσιμότητα του ζωικού κεφαλαίου σε όλες τις περιβαλλοντικές, κοινωνικές και οικονομικές διαστάσεις, μεταξύ άλλων μέσω στοχευμένων επενδύσεων στη γενετική έρευνα, τη διατροφική αποδοτικότητα και την επιλογή των μακροχρόνιων χαρακτηριστικών παραγωγής, και την ανάγκη τόνωσης και χρηματοδότησης της έρευνας και καινοτομίας σε περιοχές με πυκνή κτηνοτροφική δραστηριότητα για να μειωθεί ο περιβαλλοντικός αντίκτυπος, προωθώντας παράλληλα υψηλά πρότυπα καλής διαβίωσης των ζώων και προάγοντας ολοκληρωμένες και ανθεκτικές αλυσίδες εφοδιασμού ζωικού κεφαλαίου· σημειώνει ότι η γενετική βελτίωση με ορθή διαχείριση και καινοτομία μπορεί να μειώσει τις εκπομπές και να παράσχει μια βιώσιμη εναλλακτική λύση στην απότομη αναδιάρθρωση που απειλεί τη βιωσιμότητα των γεωργικών εκμεταλλεύσεων και την επισιτιστική κυριαρχία της ΕΕ·</w:t>
      </w:r>
      <w:bookmarkStart w:id="14" w:name="_Hlk219039639"/>
      <w:r w:rsidR="00F166BD" w:rsidRPr="00B46E79">
        <w:t xml:space="preserve"> </w:t>
      </w:r>
    </w:p>
    <w:p w14:paraId="13A6AC4E" w14:textId="6700D781" w:rsidR="00F166BD" w:rsidRPr="00B46E79" w:rsidRDefault="00B46E79" w:rsidP="00B46E79">
      <w:pPr>
        <w:widowControl/>
        <w:spacing w:after="240"/>
        <w:ind w:left="570" w:hanging="570"/>
        <w:rPr>
          <w:szCs w:val="24"/>
        </w:rPr>
      </w:pPr>
      <w:r w:rsidRPr="00B46E79">
        <w:rPr>
          <w:szCs w:val="24"/>
        </w:rPr>
        <w:t>24.</w:t>
      </w:r>
      <w:r w:rsidRPr="00B46E79">
        <w:rPr>
          <w:szCs w:val="24"/>
        </w:rPr>
        <w:tab/>
      </w:r>
      <w:r w:rsidR="00F166BD" w:rsidRPr="00B46E79">
        <w:t>αναγνωρίζει ότι το όραμα της Επιτροπής για τη γεωργία και τα τρόφιμα επισημαίνει ότι η ΚΓΠ παραμένει απαραίτητη για τη στήριξη του εισοδήματος των γεωργών και ότι οι άμεσες ενισχύσεις της ΚΓΠ εξακολουθούν να διαδραματίζουν καίριο ρόλο στη στήριξη και τη σταθεροποίηση του γεωργικού εισοδήματος σε επίπεδο γεωργικής εκμετάλλευσης· υπογραμμίζει τη σημασία της διασφάλισης άμεσης στήριξης του εισοδήματος και όλων των προγραμμάτων που χρηματοδοτούνται επί του παρόντος από την ΚΓΠ καθώς οι τομείς της κτηνοτροφίας και της μικτής γεωργίας είναι σημαντικοί δικαιούχοι της τρέχουσας ΚΓΠ στο πλαίσιο του πρώτου πυλώνα (άμεσες ενισχύσεις, συνδεδεμένες ενισχύσεις για το βόειο, το μοσχαρίσιο και το αιγοπρόβειο κρέας) και του δεύτερου πυλώνα, ιδίως μέσω της στήριξης των επενδύσεων, των ενισχύσεων για φυσικούς ή άλλους ειδικούς ανά περιοχή περιορισμούς και των γεωργο-περιβαλλοντικο-κλιματικών δεσμεύσεων·</w:t>
      </w:r>
      <w:bookmarkEnd w:id="14"/>
      <w:r w:rsidR="00F166BD" w:rsidRPr="00B46E79">
        <w:t xml:space="preserve"> σημειώνει ότι η οικονομική βιωσιμότητα και η ανεπαρκής ανανέωση των γενεών αποτελούν πρόκληση για πολλές εκμεταλλεύσεις, απαιτώντας ιδιαίτερη προσοχή και </w:t>
      </w:r>
      <w:bookmarkStart w:id="15" w:name="_Hlk216446031"/>
      <w:r w:rsidR="00F166BD" w:rsidRPr="00B46E79">
        <w:t>επιδοτήσεις που σχετίζονται με την παραγωγή</w:t>
      </w:r>
      <w:bookmarkEnd w:id="15"/>
      <w:r w:rsidR="00F166BD" w:rsidRPr="00B46E79">
        <w:t xml:space="preserve">, και τονίζει τη σημασία των συνδεδεμένων ενισχύσεων για τους ενεργούς γεωργούς· ζητεί έναν ειδικό και ισχυρό προϋπολογισμό για την ΚΓΠ στο επόμενο πολυετές δημοσιονομικό πλαίσιο και σημειώνει ότι αυτός πρέπει να οριοθετηθεί και να διατηρηθεί τουλάχιστον στο επίπεδο του τρέχοντος προϋπολογισμού της ΚΓΠ σε πραγματικούς όρους, λαμβανομένου παράλληλα υπόψη του πληθωρισμού· </w:t>
      </w:r>
    </w:p>
    <w:p w14:paraId="7C2CE979" w14:textId="06E2C83C" w:rsidR="00F166BD" w:rsidRPr="00B46E79" w:rsidRDefault="00B46E79" w:rsidP="00B46E79">
      <w:pPr>
        <w:widowControl/>
        <w:spacing w:after="240"/>
        <w:ind w:left="570" w:hanging="570"/>
        <w:rPr>
          <w:szCs w:val="24"/>
        </w:rPr>
      </w:pPr>
      <w:r w:rsidRPr="00B46E79">
        <w:rPr>
          <w:szCs w:val="24"/>
        </w:rPr>
        <w:t>25.</w:t>
      </w:r>
      <w:r w:rsidRPr="00B46E79">
        <w:rPr>
          <w:szCs w:val="24"/>
        </w:rPr>
        <w:tab/>
      </w:r>
      <w:r w:rsidR="00F166BD" w:rsidRPr="00B46E79">
        <w:t xml:space="preserve">υπογραμμίζει τον καίριο ρόλο των συνεταιρισμών, δεδομένου του ευαλλοίωτου χαρακτήρα των ζωικών προϊόντων και του υψηλού κόστους συναλλαγών, και καλεί την </w:t>
      </w:r>
      <w:r w:rsidR="00F166BD" w:rsidRPr="00B46E79">
        <w:lastRenderedPageBreak/>
        <w:t xml:space="preserve">Επιτροπή να τους στηρίξει ώστε να ενισχύσουν την ανθεκτικότητα, την ενδυνάμωση των παραγωγών, την αξιοποίηση των παραπροϊόντων και την ανανέωση των γενεών και να προωθήσουν κυκλικές προσεγγίσεις· ζητεί η στήριξη της ΚΓΠ να είναι προσαρμοσμένη στις συνθήκες των γεωργικών εκμεταλλεύσεων, ιδίως των γεωργικών εκμεταλλεύσεων μικρής κλίμακας και των οικογενειακών γεωργικών εκμεταλλεύσεων, και να υπάρχει η δυνατότητα ενισχύσεων ανά ζώο στον κτηνοτροφικό τομέα· τονίζει την ανάγκη να ενισχυθεί η οικονομική βιωσιμότητα των γεωργών μέσω της διαφοροποίησης και των εργαλείων διαχείρισης κινδύνων για τη βελτίωση της ανταγωνιστικότητας, της κερδοφορίας και της μακροπρόθεσμης ανθεκτικότητας· </w:t>
      </w:r>
    </w:p>
    <w:p w14:paraId="6205CF8D" w14:textId="70DE6F06" w:rsidR="00F166BD" w:rsidRPr="00B46E79" w:rsidRDefault="00B46E79" w:rsidP="00B46E79">
      <w:pPr>
        <w:widowControl/>
        <w:spacing w:after="240"/>
        <w:ind w:left="570" w:hanging="570"/>
        <w:rPr>
          <w:szCs w:val="24"/>
        </w:rPr>
      </w:pPr>
      <w:r w:rsidRPr="00B46E79">
        <w:rPr>
          <w:szCs w:val="24"/>
        </w:rPr>
        <w:t>26.</w:t>
      </w:r>
      <w:r w:rsidRPr="00B46E79">
        <w:rPr>
          <w:szCs w:val="24"/>
        </w:rPr>
        <w:tab/>
      </w:r>
      <w:r w:rsidR="00F166BD" w:rsidRPr="00B46E79">
        <w:t>σημειώνει ότι οι γεωργοί αντιμετωπίζουν αυξανόμενους και ποικίλους κινδύνους, όπως απρόβλεπτες αγορές, κλιματική αλλαγή και συναφή ακραία καιρικά φαινόμενα, ασθένειες των ζώων, γεωπολιτικές εντάσεις και αβέβαιες επιπτώσεις των εμπορικών συμφωνιών· καλεί, στο πλαίσιο αυτό, την Επιτροπή να ενισχύσει τα εργαλεία διαχείρισης κρίσεων και να αυξήσει το αποθεματικό για τις κρίσεις στον γεωργικό τομέα της ΚΓΠ μετά το 2027 και να το συνδυάσει με τη δημιουργία νέων ειδικών χρηματοδοτικών μέσων που χρηματοδοτούνται εκτός της ΚΓΠ, καθώς τα μέτρα αυτά είναι απαραίτητα για την καλύτερη αντιμετώπιση της οικονομικής απώλειας και του πρόσθετου κόστους που αντιμετωπίζουν οι γεωργοί της ΕΕ και για την παροχή μεγαλύτερης σταθερότητας σε αυτούς·</w:t>
      </w:r>
    </w:p>
    <w:p w14:paraId="13F83329" w14:textId="0014B6E3" w:rsidR="00F166BD" w:rsidRPr="00B46E79" w:rsidRDefault="00B46E79" w:rsidP="00B46E79">
      <w:pPr>
        <w:widowControl/>
        <w:spacing w:after="240"/>
        <w:ind w:left="570" w:hanging="570"/>
        <w:rPr>
          <w:szCs w:val="24"/>
        </w:rPr>
      </w:pPr>
      <w:r w:rsidRPr="00B46E79">
        <w:rPr>
          <w:szCs w:val="24"/>
        </w:rPr>
        <w:t>27.</w:t>
      </w:r>
      <w:r w:rsidRPr="00B46E79">
        <w:rPr>
          <w:szCs w:val="24"/>
        </w:rPr>
        <w:tab/>
      </w:r>
      <w:r w:rsidR="00F166BD" w:rsidRPr="00B46E79">
        <w:t xml:space="preserve">καλεί την Επιτροπή να αξιοποιήσει την υφιστάμενη στήριξη της ΚΓΠ για την ενίσχυση των χρηματοδοτικών και κοινωνικοοικονομικών μηχανισμών· επιμένει ότι οι ενισχύσεις της ΚΓΠ εξακολουθούν να είναι απαραίτητες για τη συνέχεια του εισοδήματος των ζώων, ιδίως για τις εκμεταλλεύσεις που ειδικεύονται στην παραγωγή βοείου και αιγοπρόβειου κρέατος και γαλακτοκομικών προϊόντων, καθώς και για εκείνες που παρέχουν περιβαλλοντικές υπηρεσίες μέσω εκτατικής βόσκησης· υπογραμμίζει την ανάγκη για μια μεταβατική περίοδο μετά το 2027, ώστε να καταστεί δυνατή η προσαρμογή στους νέους κανόνες· </w:t>
      </w:r>
      <w:bookmarkStart w:id="16" w:name="_Hlk219036154"/>
      <w:r w:rsidR="00F166BD" w:rsidRPr="00B46E79">
        <w:t xml:space="preserve">εκφράζει την ικανοποίησή του για τη συμπερίληψη στη δέσμη μέτρων «Omnibus» της ΚΓΠ της απόκτησης βοοειδών και αιγοπροβάτων υψηλής γενετικής αξίας μεταξύ των επιλέξιμων δαπανών στο πλαίσιο του Ευρωπαϊκού Γεωργικού Ταμείου Αγροτικής Ανάπτυξης· καλεί την Επιτροπή να επεκτείνει τη διάταξη αυτή στους χοίρους υψηλής γενετικής αξίας για σκοπούς αναπαραγωγής, δεδομένης της σημασίας τους για την ανταγωνιστικότητα και την ανθεκτικότητα του ευρωπαϊκού κτηνοτροφικού τομέα· υπογραμμίζει την ανάγκη να διατηρηθεί τουλάχιστον το ίδιο επίπεδο φιλοδοξίας στην ΚΓΠ μετά το 2027· </w:t>
      </w:r>
      <w:bookmarkEnd w:id="16"/>
      <w:r w:rsidR="00F166BD" w:rsidRPr="00B46E79">
        <w:t>τέλος, καλεί την Επιτροπή να αναγνωρίσει τις ειδικές ανάγκες των κτηνοτρόφων σε πυκνοκατοικημένες περιοχές και να παράσχει επαρκή στήριξη στην ΚΓΠ, επισημαίνοντας ότι η ισόρροπη περιφερειακή ανάπτυξη μπορεί να ενισχυθεί με τη διατήρηση του αριθμού των εκμεταλλεύσεων και των τοπικών υποδομών, όπως τα σφαγεία, τα εργοστάσια ζωοτροφών και οι εγκαταστάσεις μεταποίησης·</w:t>
      </w:r>
      <w:bookmarkEnd w:id="13"/>
    </w:p>
    <w:p w14:paraId="66572B7E" w14:textId="68E978E0" w:rsidR="0046645E" w:rsidRPr="00B46E79" w:rsidRDefault="00B46E79" w:rsidP="00B46E79">
      <w:pPr>
        <w:widowControl/>
        <w:spacing w:after="240"/>
        <w:ind w:left="570" w:hanging="570"/>
        <w:rPr>
          <w:szCs w:val="24"/>
        </w:rPr>
      </w:pPr>
      <w:r w:rsidRPr="00B46E79">
        <w:rPr>
          <w:szCs w:val="24"/>
        </w:rPr>
        <w:t>28.</w:t>
      </w:r>
      <w:r w:rsidRPr="00B46E79">
        <w:rPr>
          <w:szCs w:val="24"/>
        </w:rPr>
        <w:tab/>
      </w:r>
      <w:r w:rsidR="0046645E" w:rsidRPr="00B46E79">
        <w:rPr>
          <w:szCs w:val="24"/>
        </w:rPr>
        <w:t>ζητεί την παροχή κινήτρων για εκτατική και χορτολιβαδική κτηνοτροφία, ιδίως στο πλαίσιο της ΚΓΠ·</w:t>
      </w:r>
    </w:p>
    <w:p w14:paraId="33CF64B1" w14:textId="7F34159B" w:rsidR="00F166BD" w:rsidRPr="00B46E79" w:rsidRDefault="00B46E79" w:rsidP="00B46E79">
      <w:pPr>
        <w:widowControl/>
        <w:spacing w:after="240"/>
        <w:ind w:left="570" w:hanging="570"/>
        <w:rPr>
          <w:szCs w:val="24"/>
        </w:rPr>
      </w:pPr>
      <w:r w:rsidRPr="00B46E79">
        <w:rPr>
          <w:szCs w:val="24"/>
        </w:rPr>
        <w:t>29.</w:t>
      </w:r>
      <w:r w:rsidRPr="00B46E79">
        <w:rPr>
          <w:szCs w:val="24"/>
        </w:rPr>
        <w:tab/>
      </w:r>
      <w:r w:rsidR="00F166BD" w:rsidRPr="00B46E79">
        <w:t xml:space="preserve">υπογραμμίζει την ανάγκη να σταματήσει και να αντιστραφεί η αποκεφαλαιοποίηση του κτηνοτροφικού τομέα και να διασφαλιστεί η πλήρης αμοιβαιότητα των προτύπων της ΕΕ για όλα τα εισαγόμενα προϊόντα· καλεί την Επιτροπή να αναπτύξει συγκεκριμένες στρατηγικές ώστε να διασφαλιστούν ισότιμοι όροι ανταγωνισμού και μεγαλύτερη συνοχή μεταξύ των πολιτικών της για το εμπόριο και τη βιωσιμότητα· καλεί την Επιτροπή και τα κράτη μέλη να λαμβάνουν καλύτερα υπόψη τις ιδιαιτερότητες του </w:t>
      </w:r>
      <w:r w:rsidR="00F166BD" w:rsidRPr="00B46E79">
        <w:lastRenderedPageBreak/>
        <w:t xml:space="preserve">γεωργικού τομέα, να διασφαλίζουν την πλήρη αμοιβαιότητα των προτύπων της ΕΕ ενσωματώνοντας κατοπτρικές ρήτρες κατά τη σύναψη εμπορικών συμφωνιών και να διασφαλίζουν την ευρωπαϊκή γεωργία, την παραγωγή τροφίμων και τη δημόσια υγεία σε όλες τις εμπορικές συμφωνίες· επιμένει, στο πλαίσιο αυτό, ότι οι διεθνείς εμπορικές συμφωνίες δεν θα πρέπει να επηρεάζουν αρνητικά την ευρωπαϊκή γεωργία και θα πρέπει να εγγυώνται την αμοιβαιότητα και να μην ενέχουν κινδύνους για τη δημόσια υγεία· τονίζει την επείγουσα ανάγκη προσαρμογής των παρεμβάσεων στην αγορά με την επικαιροποίηση των τιμών αναφοράς για τις ρήτρες διασφάλισης σύμφωνα με τις νέες συνθήκες της αγοράς και τα εργαλεία διαχείρισης· </w:t>
      </w:r>
      <w:bookmarkStart w:id="17" w:name="_Hlk211234131"/>
    </w:p>
    <w:p w14:paraId="3656A801" w14:textId="3A774C33" w:rsidR="00F166BD" w:rsidRPr="00B46E79" w:rsidRDefault="00B46E79" w:rsidP="00B46E79">
      <w:pPr>
        <w:widowControl/>
        <w:spacing w:after="240"/>
        <w:ind w:left="570" w:hanging="570"/>
        <w:rPr>
          <w:szCs w:val="24"/>
        </w:rPr>
      </w:pPr>
      <w:r w:rsidRPr="00B46E79">
        <w:rPr>
          <w:szCs w:val="24"/>
        </w:rPr>
        <w:t>30.</w:t>
      </w:r>
      <w:r w:rsidRPr="00B46E79">
        <w:rPr>
          <w:szCs w:val="24"/>
        </w:rPr>
        <w:tab/>
      </w:r>
      <w:r w:rsidR="00F166BD" w:rsidRPr="00B46E79">
        <w:t>επισημαίνει ότι οι κτηνοτρόφοι θα πρέπει επίσης να μπορούν να επωφελούνται από την πρόσθετη ροή εσόδων που παρέχεται από την ανθρακοδεσμευτική γεωργία· ζητεί, στο πλαίσιο αυτό, τη σταδιακή μετάβαση από το ισχύον σύστημα που επικεντρώνεται σε καθορισμένες πρακτικές και εκ των προτέρων διοικητική έγκριση προς ένα πλαίσιο διαχείρισης των εκπομπών με γνώμονα τα αποτελέσματα, επιτρέποντας παράλληλα στους κτηνοτρόφους να αποφασίζουν ποιες μεθόδους και τεχνολογίες θα χρησιμοποιούν, διατηρώντας έτσι την επιχειρηματική ελευθερία και διασφαλίζοντας τη λογοδοσία για την επίτευξη αυτών των στόχων·</w:t>
      </w:r>
      <w:bookmarkEnd w:id="17"/>
    </w:p>
    <w:p w14:paraId="3577EFB4" w14:textId="6516CD32" w:rsidR="00F166BD" w:rsidRPr="00B46E79" w:rsidRDefault="00B46E79" w:rsidP="00B46E79">
      <w:pPr>
        <w:widowControl/>
        <w:spacing w:after="240"/>
        <w:ind w:left="570" w:hanging="570"/>
        <w:rPr>
          <w:szCs w:val="24"/>
        </w:rPr>
      </w:pPr>
      <w:r w:rsidRPr="00B46E79">
        <w:rPr>
          <w:szCs w:val="24"/>
        </w:rPr>
        <w:t>31.</w:t>
      </w:r>
      <w:r w:rsidRPr="00B46E79">
        <w:rPr>
          <w:szCs w:val="24"/>
        </w:rPr>
        <w:tab/>
      </w:r>
      <w:r w:rsidR="00F166BD" w:rsidRPr="00B46E79">
        <w:t>παροτρύνει την Επιτροπή να αναθεωρήσει τους κανονισμούς για την επεξεργασία του κρέατος, όπως η τεχνολογία που χρησιμοποιείται για την επιθεώρηση του κρέατος, και την εναρμόνιση των ελάχιστων κατευθυντήριων γραμμών για την αξιολόγηση της περιεκτικότητας σε κρέας, οι οποίες περιορίζουν επί του παρόντος την πλήρη αξιοποίηση των σφαγίων, να αυξήσει τη διαφάνεια της αλυσίδας εφοδιασμού και να διασφαλίσει μεγαλύτερο εισόδημα για τους αγρότες·</w:t>
      </w:r>
    </w:p>
    <w:p w14:paraId="55338EDA" w14:textId="13FF8895" w:rsidR="00F166BD" w:rsidRPr="00B46E79" w:rsidRDefault="00B46E79" w:rsidP="00B46E79">
      <w:pPr>
        <w:widowControl/>
        <w:spacing w:after="240"/>
        <w:ind w:left="570" w:hanging="570"/>
        <w:rPr>
          <w:szCs w:val="24"/>
        </w:rPr>
      </w:pPr>
      <w:r w:rsidRPr="00B46E79">
        <w:rPr>
          <w:szCs w:val="24"/>
        </w:rPr>
        <w:t>32.</w:t>
      </w:r>
      <w:r w:rsidRPr="00B46E79">
        <w:rPr>
          <w:szCs w:val="24"/>
        </w:rPr>
        <w:tab/>
      </w:r>
      <w:r w:rsidR="00F166BD" w:rsidRPr="00B46E79">
        <w:t xml:space="preserve">σημειώνει ότι τα συστήματα κτηνοτροφίας θα μπορούσαν, ειδικότερα, να αξιοποιήσουν πρακτικές και τεχνολογίες που μπορούν να χρησιμοποιηθούν για τη βελτίωση της υγείας και της καλής διαβίωσης των ζώων και την επίτευξη βελτίωσης της αποτελεσματικότητας, συμπεριλαμβανομένων, για παράδειγμα, των συστημάτων χαμηλού κόστους, των διπλών συστημάτων και της κτηνοτροφίας ακριβείας, και να κάνουν χρήση νέων ψηφιακών τεχνολογιών που βελτιώνουν τη διαχείριση των ζώων και των συστημάτων, την επεξεργασία δεδομένων και την ιχνηλασιμότητα· ζητεί από την Επιτροπή να υποβάλει έκθεση σχετικά με τις βέλτιστες πρακτικές όσον αφορά τη βιωσιμότητα του ζωικού κεφαλαίου και να προτείνει συγκεκριμένα μέτρα για τη στήριξη της καινοτομίας, της αποδοτικότητας και της ανθεκτικότητας του τομέα, συμπεριλαμβανομένης της καλύτερης χρήσης των υφιστάμενων κοινών βάσεων δεδομένων και τραπεζών γονιδίων βασικών επιλογών φυλών, ώστε να δοθεί η δυνατότητα στους εκτροφείς που το επιθυμούν να συνεχίσουν να αναπαράγουν ορισμένα παλαιά είδη· επισημαίνει το χάσμα ψηφιακών δεξιοτήτων μεταξύ αγροτικών και αστικών περιοχών· καλεί την Επιτροπή και τα κράτη μέλη να διασφαλίσουν ότι ο ψηφιακός μετασχηματισμός ωφελεί τους γεωργούς· </w:t>
      </w:r>
    </w:p>
    <w:p w14:paraId="35FC1F75" w14:textId="077E238F" w:rsidR="00F166BD" w:rsidRPr="00B46E79" w:rsidRDefault="00B46E79" w:rsidP="00B46E79">
      <w:pPr>
        <w:widowControl/>
        <w:spacing w:after="240"/>
        <w:ind w:left="570" w:hanging="570"/>
        <w:rPr>
          <w:szCs w:val="24"/>
        </w:rPr>
      </w:pPr>
      <w:r w:rsidRPr="00B46E79">
        <w:rPr>
          <w:szCs w:val="24"/>
        </w:rPr>
        <w:t>33.</w:t>
      </w:r>
      <w:r w:rsidRPr="00B46E79">
        <w:rPr>
          <w:szCs w:val="24"/>
        </w:rPr>
        <w:tab/>
      </w:r>
      <w:r w:rsidR="00F166BD" w:rsidRPr="00B46E79">
        <w:t>υπογραμμίζει ότι η επιδίωξη βελτιωμένης παραγωγικότητας των ζώων ή των στόχων για το κλίμα δεν πρέπει να αποβαίνει εις βάρος της υγείας και της καλής διαβίωσης των ζώων·</w:t>
      </w:r>
      <w:bookmarkStart w:id="18" w:name="_Hlk219044080"/>
    </w:p>
    <w:p w14:paraId="244F9250" w14:textId="360E4981" w:rsidR="00F166BD" w:rsidRPr="00B46E79" w:rsidRDefault="00B46E79" w:rsidP="00B46E79">
      <w:pPr>
        <w:widowControl/>
        <w:spacing w:after="240"/>
        <w:ind w:left="570" w:hanging="570"/>
        <w:rPr>
          <w:szCs w:val="24"/>
        </w:rPr>
      </w:pPr>
      <w:r w:rsidRPr="00B46E79">
        <w:rPr>
          <w:szCs w:val="24"/>
        </w:rPr>
        <w:t>34.</w:t>
      </w:r>
      <w:r w:rsidRPr="00B46E79">
        <w:rPr>
          <w:szCs w:val="24"/>
        </w:rPr>
        <w:tab/>
      </w:r>
      <w:r w:rsidR="00F166BD" w:rsidRPr="00B46E79">
        <w:t xml:space="preserve">ενθαρρύνει την ανάπτυξη πολιτικών που στηρίζουν τις οικογενειακές γεωργικές εκμεταλλεύσεις και τους νέους και τους καινούργιους αγρότες στη διατήρηση και βελτίωση </w:t>
      </w:r>
      <w:bookmarkEnd w:id="18"/>
      <w:r w:rsidR="00F166BD" w:rsidRPr="00B46E79">
        <w:t xml:space="preserve">της βιώσιμης ζωικής παραγωγής και της ζωικής παραγωγής μικρής κλίμακας ως μέσου διαβίωσης και επισιτιστικής ασφάλειας· επισημαίνει ότι, ως εκ τούτου, είναι </w:t>
      </w:r>
      <w:r w:rsidR="00F166BD" w:rsidRPr="00B46E79">
        <w:lastRenderedPageBreak/>
        <w:t>αναγκαίο να στηριχθούν οι γεωργοί ώστε να εδραιωθούν μέσω ισχυρών, ειδικών χρηματοδοτικών εργαλείων, προκειμένου να είναι σε θέση να αντιμετωπίζουν καλύτερα τις οικονομικές πιέσεις· επιμένει στη σημασία των συλλογικών δομών, όπως οι συνεταιρισμοί ιδιοκτησίας και διαχείρισης γεωργικών εκμεταλλεύσεων και οι οργανώσεις παραγωγών·</w:t>
      </w:r>
    </w:p>
    <w:p w14:paraId="1BACD37E" w14:textId="0C6A4579" w:rsidR="00F166BD" w:rsidRPr="00B46E79" w:rsidRDefault="00B46E79" w:rsidP="00B46E79">
      <w:pPr>
        <w:widowControl/>
        <w:spacing w:after="240"/>
        <w:ind w:left="570" w:hanging="570"/>
        <w:rPr>
          <w:szCs w:val="24"/>
        </w:rPr>
      </w:pPr>
      <w:r w:rsidRPr="00B46E79">
        <w:rPr>
          <w:szCs w:val="24"/>
        </w:rPr>
        <w:t>35.</w:t>
      </w:r>
      <w:r w:rsidRPr="00B46E79">
        <w:rPr>
          <w:szCs w:val="24"/>
        </w:rPr>
        <w:tab/>
      </w:r>
      <w:r w:rsidR="00F166BD" w:rsidRPr="00B46E79">
        <w:t xml:space="preserve">τονίζει την ανάγκη να ενισχυθεί η στήριξη προς τις εξόχως απόκεντρες περιοχές, όπου οι διαρθρωτικές και γεωγραφικές συνθήκες οδηγούν σε πολύ υψηλότερο γεωργικό κόστος· καλεί την Επιτροπή να επικαιροποιήσει τη χρηματοδότηση του POSEI στο επόμενο πολυετές δημοσιονομικό πλαίσιο, ώστε να αντικατοπτρίζει τον πληθωρισμό από το 2007· σημειώνει ότι η τιμαριθμική αναπροσαρμογή από μόνη της δεν επαρκεί για την αντιμετώπιση του αυξανόμενου κόστους παραγωγής, μεταφοράς και εφοδιασμού· τονίζει ότι η επαρκής χρηματοδότηση του POSEI είναι απαραίτητη για τη διατήρηση της γεωργίας, τη διασφάλιση της βιωσιμότητας των γεωργικών εκμεταλλεύσεων και τη διατήρηση της οικονομικής, κοινωνικής και εδαφικής συνοχής της ΕΕ, σύμφωνα με το άρθρο 349 ΣΛΕΕ· </w:t>
      </w:r>
    </w:p>
    <w:p w14:paraId="503A46BD" w14:textId="33186931" w:rsidR="00F166BD" w:rsidRPr="00B46E79" w:rsidRDefault="00B46E79" w:rsidP="00B46E79">
      <w:pPr>
        <w:widowControl/>
        <w:spacing w:after="240"/>
        <w:ind w:left="570" w:hanging="570"/>
        <w:rPr>
          <w:szCs w:val="24"/>
        </w:rPr>
      </w:pPr>
      <w:r w:rsidRPr="00B46E79">
        <w:rPr>
          <w:szCs w:val="24"/>
        </w:rPr>
        <w:t>36.</w:t>
      </w:r>
      <w:r w:rsidRPr="00B46E79">
        <w:rPr>
          <w:szCs w:val="24"/>
        </w:rPr>
        <w:tab/>
      </w:r>
      <w:r w:rsidR="00F166BD" w:rsidRPr="00B46E79">
        <w:t>καλεί την Επιτροπή να αναγνωρίσει τις ειδικές ανάγκες και προκλήσεις που αντιμετωπίζουν οι κτηνοτρόφοι σε ορεινές και μειονεκτούσες περιοχές, συμπεριλαμβανομένων των νησιωτικών, ηπειρωτικών, απομακρυσμένων και εξόχως απόκεντρων περιοχών, και να διασφαλίσει επαρκή στήριξη μέσω της ΚΓΠ, ιδίως μέσω της συνδεδεμένης στήριξης, των ειδικών ανά τομέα παρεμβάσεων και των στοχευμένων μέτρων αγροτικής ανάπτυξης· υπογραμμίζει ότι η διατήρηση της κτηνοτροφίας σε απομακρυσμένες, νησιωτικές και λιγότερο ευνοημένες περιοχές συμβάλλει στην περιβαλλοντική βιωσιμότητα μέσω της πρόληψης της εγκατάλειψης της γης, της στήριξης της βιοποικιλότητας, της διατήρησης των παραδοσιακών τοπίων, στηρίζει τα εισοδήματα των αγροτών και τα αγροτικά μέσα διαβίωσης και βοηθά την επανάκαμψη του πληθυσμού των αγροτικών περιοχών· τονίζει ότι είναι σημαντικό να διασφαλιστεί η ενεργή συμμετοχή εκπροσώπων των εξόχως απόκεντρων περιοχών στην ομάδα υψηλού επιπέδου, καθώς τα ιδιαίτερα γεωγραφικά, κοινωνικοοικονομικά και παραγωγικά χαρακτηριστικά αυτών των περιοχών παρουσιάζουν τις δικές τους προκλήσεις που απαιτούν ιδιαίτερη προσοχή στη διαδικασία χάραξης των πολιτικών της ΕΕ·</w:t>
      </w:r>
    </w:p>
    <w:p w14:paraId="66B8A2D0" w14:textId="43AE76BA" w:rsidR="00F166BD" w:rsidRPr="00B46E79" w:rsidRDefault="00B46E79" w:rsidP="00B46E79">
      <w:pPr>
        <w:widowControl/>
        <w:spacing w:after="240"/>
        <w:ind w:left="570" w:hanging="570"/>
        <w:rPr>
          <w:szCs w:val="24"/>
        </w:rPr>
      </w:pPr>
      <w:r w:rsidRPr="00B46E79">
        <w:rPr>
          <w:szCs w:val="24"/>
        </w:rPr>
        <w:t>37.</w:t>
      </w:r>
      <w:r w:rsidRPr="00B46E79">
        <w:rPr>
          <w:szCs w:val="24"/>
        </w:rPr>
        <w:tab/>
      </w:r>
      <w:r w:rsidR="00F166BD" w:rsidRPr="00B46E79">
        <w:t>τονίζει την ανάγκη παγκόσμιας συνεργασίας και μεταφοράς καινοτόμων γνώσεων για τη στήριξη βιώσιμων κτηνοτροφικών συστημάτων, ιδίως από περιοχές της Ευρώπης με ιδιαιτέρως αποδοτικά συστήματα εκτροφής, που επέρχονται από την ταχεία αύξηση του πληθυσμού και την αστικοποίηση·</w:t>
      </w:r>
    </w:p>
    <w:p w14:paraId="544B03D1" w14:textId="5E154DE0" w:rsidR="00F166BD" w:rsidRPr="00B46E79" w:rsidRDefault="00B46E79" w:rsidP="00B46E79">
      <w:pPr>
        <w:widowControl/>
        <w:spacing w:after="240"/>
        <w:ind w:left="570" w:hanging="570"/>
        <w:rPr>
          <w:szCs w:val="24"/>
        </w:rPr>
      </w:pPr>
      <w:r w:rsidRPr="00B46E79">
        <w:rPr>
          <w:szCs w:val="24"/>
        </w:rPr>
        <w:t>38.</w:t>
      </w:r>
      <w:r w:rsidRPr="00B46E79">
        <w:rPr>
          <w:szCs w:val="24"/>
        </w:rPr>
        <w:tab/>
      </w:r>
      <w:r w:rsidR="00F166BD" w:rsidRPr="00B46E79">
        <w:t>παροτρύνει τα κράτη μέλη και την Επιτροπή να επενδύσουν στην εκπαίδευση, την κατάρτιση και τις υποδομές που επιτρέπουν στους γεωργούς να εφαρμόζουν πρακτικές κτηνοτροφικής παραγωγής που είναι βιωσιμότερες, αποτελεσματικότερες και φιλικότερες για την υγεία και την καλή διαβίωση των ζώων, συμπεριλαμβανομένης της ψηφιοποίησης, της εφαρμοσμένης έρευνας, της μεταφοράς γνώσεων και της κατάρτισης σε καινοτόμα εργαλεία και τεχνολογίες για την έγκαιρη ανίχνευση και πρόληψη επιζωοτικών νόσων, όπως τα συστήματα παρακολούθησης της υγείας των ζώων· τονίζει τη σημασία των ανεξάρτητων συμβουλευτικών υπηρεσιών στο πλαίσιο αυτό, και καλεί τα κράτη μέλη να αξιοποιήσουν πλήρως την ΚΓΠ για την κατάλληλη χρηματοδότηση των εν λόγω υπηρεσιών·</w:t>
      </w:r>
    </w:p>
    <w:p w14:paraId="5CDE453C" w14:textId="01D3937F" w:rsidR="00F166BD" w:rsidRPr="00B46E79" w:rsidRDefault="00B46E79" w:rsidP="00B46E79">
      <w:pPr>
        <w:widowControl/>
        <w:spacing w:after="240"/>
        <w:ind w:left="570" w:hanging="570"/>
        <w:rPr>
          <w:szCs w:val="24"/>
        </w:rPr>
      </w:pPr>
      <w:r w:rsidRPr="00B46E79">
        <w:rPr>
          <w:szCs w:val="24"/>
        </w:rPr>
        <w:lastRenderedPageBreak/>
        <w:t>39.</w:t>
      </w:r>
      <w:r w:rsidRPr="00B46E79">
        <w:rPr>
          <w:szCs w:val="24"/>
        </w:rPr>
        <w:tab/>
      </w:r>
      <w:r w:rsidR="00F166BD" w:rsidRPr="00B46E79">
        <w:t>ζητεί να εφαρμοστούν απλούστεροι κανόνες για την καλή διαβίωση των ζώων, οι οποίοι επικεντρώνονται στην παροχή βοήθειας στους γεωργούς μέσω της εκπαίδευσης και της στήριξης, και όχι μέσω μεθόδων που επικεντρώνονται στην επιβολή κανόνων·</w:t>
      </w:r>
    </w:p>
    <w:p w14:paraId="5613069B" w14:textId="5464A3BD" w:rsidR="00F166BD" w:rsidRPr="00B46E79" w:rsidRDefault="00B46E79" w:rsidP="00B46E79">
      <w:pPr>
        <w:widowControl/>
        <w:spacing w:after="240"/>
        <w:ind w:left="570" w:hanging="570"/>
        <w:rPr>
          <w:szCs w:val="24"/>
        </w:rPr>
      </w:pPr>
      <w:r w:rsidRPr="00B46E79">
        <w:rPr>
          <w:szCs w:val="24"/>
        </w:rPr>
        <w:t>40.</w:t>
      </w:r>
      <w:r w:rsidRPr="00B46E79">
        <w:rPr>
          <w:szCs w:val="24"/>
        </w:rPr>
        <w:tab/>
      </w:r>
      <w:r w:rsidR="00F166BD" w:rsidRPr="00B46E79">
        <w:t>παροτρύνει την Ευρωπαϊκή Επιτροπή να παρουσιάσει τα συμπεράσματά της σχετικά με την ανάπτυξη ενός συστήματος επισήμανσης για την καλή διαβίωση των ζώων που θα εγγυάται την επαρκή και ομοιόμορφη ενημέρωση των καταναλωτών, αποφεύγοντας έτσι τους κινδύνους για την εσωτερική αγορά που προκύπτουν από τη διάδοση των τοπικών συστημάτων για την καλή διαβίωση των ζώων·</w:t>
      </w:r>
    </w:p>
    <w:p w14:paraId="32F15328" w14:textId="0D18598D" w:rsidR="00F166BD" w:rsidRPr="00B46E79" w:rsidRDefault="00B46E79" w:rsidP="00B46E79">
      <w:pPr>
        <w:widowControl/>
        <w:spacing w:after="240"/>
        <w:ind w:left="570" w:hanging="570"/>
        <w:rPr>
          <w:szCs w:val="24"/>
        </w:rPr>
      </w:pPr>
      <w:r w:rsidRPr="00B46E79">
        <w:rPr>
          <w:szCs w:val="24"/>
        </w:rPr>
        <w:t>41.</w:t>
      </w:r>
      <w:r w:rsidRPr="00B46E79">
        <w:rPr>
          <w:szCs w:val="24"/>
        </w:rPr>
        <w:tab/>
      </w:r>
      <w:r w:rsidR="00F166BD" w:rsidRPr="00B46E79">
        <w:t xml:space="preserve">επισημαίνει ότι, δεδομένου ότι μόνο το 12 % των γεωργικών εκμεταλλεύσεων στην ΕΕ διοικούνται από άτομα ηλικίας κάτω των 40 ετών, η έλλειψη νέων γεωργών απειλεί την οικονομική βιωσιμότητα, τη συνέχεια των γενεών και τη μελλοντική βιωσιμότητα του ευρωπαϊκού κτηνοτροφικού τομέα· παροτρύνει, ως εκ τούτου, την Επιτροπή να βελτιώσει την αποτελεσματικότητα της στήριξης των νεοφυών επιχειρήσεων για την υπέρβαση των φραγμών εισόδου στον κτηνοτροφικό τομέα, συμπεριλαμβανομένου του υψηλού κόστους εκκίνησης· υπογραμμίζει τον αγώνα για την προσέλκυση νέων γεωργών στον κτηνοτροφικό τομέα, ο οποίος πάσχει από έλλειψη ελκυστικότητας λόγω του απαιτητικού χαρακτήρα της εργασίας, όπως οι πολλές ώρες εργασίας, οι περιορισμένες ευκαιρίες άδειας απουσίας και η έλλειψη υπηρεσιών αντικατάστασης, καθώς και την ανάγκη να ληφθεί υπόψη ο αυξανόμενος αριθμός γυναικών που εργάζονται σε κτηνοτροφικές εκμεταλλεύσεις με την προώθηση μέτρων και ευκαιριών χωρίς αποκλεισμούς ως προς το φύλο· </w:t>
      </w:r>
    </w:p>
    <w:p w14:paraId="6F10001E" w14:textId="63D5B420" w:rsidR="00F166BD" w:rsidRPr="00B46E79" w:rsidRDefault="00B46E79" w:rsidP="00B46E79">
      <w:pPr>
        <w:widowControl/>
        <w:spacing w:after="240"/>
        <w:ind w:left="570" w:hanging="570"/>
        <w:rPr>
          <w:szCs w:val="24"/>
        </w:rPr>
      </w:pPr>
      <w:r w:rsidRPr="00B46E79">
        <w:rPr>
          <w:szCs w:val="24"/>
        </w:rPr>
        <w:t>42.</w:t>
      </w:r>
      <w:r w:rsidRPr="00B46E79">
        <w:rPr>
          <w:szCs w:val="24"/>
        </w:rPr>
        <w:tab/>
      </w:r>
      <w:r w:rsidR="00F166BD" w:rsidRPr="00B46E79">
        <w:t xml:space="preserve">επικροτεί τη στρατηγική της Επιτροπής για την ανανέωση των γενεών· καλεί την Επιτροπή να παράσχει συστάσεις και να διερευνήσει λύσεις για την αντιμετώπιση των βασικών φραγμών στην εγκατάσταση νέων κτηνοτρόφων, ιδίως των υψηλών αρχικών επενδύσεων σε υποδομές, των δυσκολιών πρόσβασης σε γη, ιδίως λόγω των διαφορών μεταξύ των κρατών μελών, της περιορισμένης πρόσβασης σε πιστώσεις, των ελλείψεων εργατικού δυναμικού, των ζητημάτων που σχετίζονται με τη διαχείριση κινδύνων, την πρόληψη και τον έλεγχο των νόσων των ζώων και των γραφειοκρατικών επιβαρύνσεων· </w:t>
      </w:r>
    </w:p>
    <w:p w14:paraId="53E16FE4" w14:textId="60B921B7" w:rsidR="00F166BD" w:rsidRPr="00B46E79" w:rsidRDefault="00B46E79" w:rsidP="00B46E79">
      <w:pPr>
        <w:widowControl/>
        <w:spacing w:after="240"/>
        <w:ind w:left="570" w:hanging="570"/>
        <w:rPr>
          <w:szCs w:val="24"/>
        </w:rPr>
      </w:pPr>
      <w:r w:rsidRPr="00B46E79">
        <w:rPr>
          <w:szCs w:val="24"/>
        </w:rPr>
        <w:t>43.</w:t>
      </w:r>
      <w:r w:rsidRPr="00B46E79">
        <w:rPr>
          <w:szCs w:val="24"/>
        </w:rPr>
        <w:tab/>
      </w:r>
      <w:r w:rsidR="00F166BD" w:rsidRPr="00B46E79">
        <w:t>καλεί την Επιτροπή να εξετάσει τη δυνατότητα χορήγησης περισσότερων άμεσων ενισχύσεων σε νέους γεωργούς· τονίζει, επιπλέον, την ανάγκη δημιουργίας κατάλληλων συνθηκών για αξιοπρεπή συνταξιοδότηση· τονίζει, τέλος, ότι η διευκόλυνση της πρόσβασης σε πιστώσεις και γη, ιδίως σε κράτη μέλη με υψηλές τιμές γης, η αύξηση των επενδύσεων στην ποιότητα του ζωικού κεφαλαίου και η βελτίωση των υπηρεσιών στις αγροτικές περιοχές αποτελούν βασικές προϋποθέσεις για την προσέλκυση και τη συγκράτηση μιας νέας γενιάς γεωργών· τονίζει ότι οι συμβουλές προς τα κράτη μέλη να διαθέσουν το 6 % του προϋπολογισμού της ΚΓΠ για την ανανέωση των γενεών δεν είναι αρκετά δεσμευτικές ώστε να εγγυώνται επαρκή στήριξη για τους νέους γεωργούς·</w:t>
      </w:r>
      <w:bookmarkStart w:id="19" w:name="_Hlk219047460"/>
    </w:p>
    <w:p w14:paraId="0A8E5460" w14:textId="36D55A0D" w:rsidR="00F166BD" w:rsidRPr="00B46E79" w:rsidRDefault="00B46E79" w:rsidP="00B46E79">
      <w:pPr>
        <w:widowControl/>
        <w:spacing w:after="240"/>
        <w:ind w:left="570" w:hanging="570"/>
        <w:rPr>
          <w:szCs w:val="24"/>
        </w:rPr>
      </w:pPr>
      <w:r w:rsidRPr="00B46E79">
        <w:rPr>
          <w:szCs w:val="24"/>
        </w:rPr>
        <w:t>44.</w:t>
      </w:r>
      <w:r w:rsidRPr="00B46E79">
        <w:rPr>
          <w:szCs w:val="24"/>
        </w:rPr>
        <w:tab/>
      </w:r>
      <w:r w:rsidR="00F166BD" w:rsidRPr="00B46E79">
        <w:t xml:space="preserve">επικροτεί την παρουσίαση από την Επιτροπή της στρατηγικής της ΕΕ για τη βιοοικονομία· καλεί την Επιτροπή να αναγνωρίσει </w:t>
      </w:r>
      <w:bookmarkEnd w:id="19"/>
      <w:r w:rsidR="00F166BD" w:rsidRPr="00B46E79">
        <w:t xml:space="preserve">τον ρόλο της καινοτόμου κτηνοτροφίας στην προώθηση της κυκλικότητας και να απελευθερώσει πλήρως το δυναμικό της παραγωγής ενέργειας, ιδίως του βιοαερίου και του βιομεθανίου, της χρήσης χωνεύματος ως λιπάσματος βιολογικής προέλευσης και της αξιοποίησης των ζωικών υποπροϊόντων μέσω του τομέα της αξιοποίησης για την παροχή πρόσθετων πηγών εισοδήματος στους κτηνοτρόφους· υπογραμμίζει ότι ιδίως οι περιοχές με πυκνή κτηνοτροφική δραστηριότητα διαδραματίζουν σημαντικό ρόλο στη βιοοικονομία, </w:t>
      </w:r>
      <w:r w:rsidR="00F166BD" w:rsidRPr="00B46E79">
        <w:lastRenderedPageBreak/>
        <w:t>καθώς η εγγύτητά τους με αστικές περιοχές και οι μικρές αποστάσεις καθιστούν δυνατή την κυκλική συνεργασία για την αναβάθμιση των ροών ανθρώπινων αποβλήτων και την επεξεργασία των ροών γεωργικών αποβλήτων·</w:t>
      </w:r>
    </w:p>
    <w:p w14:paraId="1147927D" w14:textId="060F092C" w:rsidR="00F166BD" w:rsidRPr="00B46E79" w:rsidRDefault="00B46E79" w:rsidP="00B46E79">
      <w:pPr>
        <w:widowControl/>
        <w:spacing w:after="240"/>
        <w:ind w:left="570" w:hanging="570"/>
        <w:rPr>
          <w:szCs w:val="24"/>
        </w:rPr>
      </w:pPr>
      <w:r w:rsidRPr="00B46E79">
        <w:rPr>
          <w:szCs w:val="24"/>
        </w:rPr>
        <w:t>45.</w:t>
      </w:r>
      <w:r w:rsidRPr="00B46E79">
        <w:rPr>
          <w:szCs w:val="24"/>
        </w:rPr>
        <w:tab/>
      </w:r>
      <w:r w:rsidR="00F166BD" w:rsidRPr="00B46E79">
        <w:t>καλεί την Επιτροπή και τα κράτη μέλη να εντοπίσουν επαρκείς και μακροπρόθεσμες ευκαιρίες χρηματοδότησης για προληπτικά μέτρα και αποζημίωση των γεωργών, οι οποίες μπορούν να περιλαμβάνουν, μεταξύ άλλων, την ΚΓΠ, όχι μόνο για τις απώλειες που υπέστησαν και το κόστος που προέκυψε λόγω επιθέσεων μεγάλων σαρκοφάγων, αλλά και για μέτρα μετριασμού, συμπεριλαμβανομένων συμβουλευτικών υπηρεσιών, ανταλλαγής γνώσεων και κατάρτισης των γεωργών σχετικά με τη συνύπαρξη μεταξύ ζώων βοσκής και μεγάλων σαρκοφάγων·</w:t>
      </w:r>
    </w:p>
    <w:p w14:paraId="01CB6DF3" w14:textId="27C05A66" w:rsidR="00F166BD" w:rsidRPr="00B46E79" w:rsidRDefault="00B46E79" w:rsidP="00B46E79">
      <w:pPr>
        <w:widowControl/>
        <w:spacing w:after="240"/>
        <w:ind w:left="570" w:hanging="570"/>
        <w:rPr>
          <w:szCs w:val="24"/>
        </w:rPr>
      </w:pPr>
      <w:r w:rsidRPr="00B46E79">
        <w:rPr>
          <w:szCs w:val="24"/>
        </w:rPr>
        <w:t>46.</w:t>
      </w:r>
      <w:r w:rsidRPr="00B46E79">
        <w:rPr>
          <w:szCs w:val="24"/>
        </w:rPr>
        <w:tab/>
      </w:r>
      <w:r w:rsidR="00F166BD" w:rsidRPr="00B46E79">
        <w:t>επισημαίνει ότι η στοχευμένη τροποποίηση της οδηγίας για τους οικοτόπους</w:t>
      </w:r>
      <w:r w:rsidR="00F166BD" w:rsidRPr="00B46E79">
        <w:rPr>
          <w:rStyle w:val="FootnoteReference"/>
        </w:rPr>
        <w:footnoteReference w:id="31"/>
      </w:r>
      <w:r w:rsidR="00F166BD" w:rsidRPr="00B46E79">
        <w:t xml:space="preserve"> με σκοπό την ευθυγράμμιση της νομοθεσίας της ΕΕ με το επικαιροποιημένο επίπεδο προστασίας του λύκου που προβλέπεται στη σύμβαση της Βέρνης αποσκοπεί στην παροχή μεγαλύτερης ευελιξίας στη διαχείριση των πληθυσμών λύκων σε ολόκληρη την ΕΕ και στην ελαχιστοποίηση των κοινωνικοοικονομικών επιπτώσεων· </w:t>
      </w:r>
      <w:bookmarkStart w:id="20" w:name="_Hlk220682906"/>
      <w:r w:rsidR="00F166BD" w:rsidRPr="00B46E79">
        <w:t>τονίζει την ανάγκη να ληφθεί υπόψη η υψηλή διασυνοριακή κινητικότητα των ειδών και το γεγονός ότι η κατάσταση διατήρησης διαφορετικών πληθυσμών του ίδιου είδους μπορεί να διαφέρει μεταξύ των περιφερειών· καλεί την Επιτροπή και τα κράτη μέλη να εντατικοποιήσουν περαιτέρω τη διασυνοριακή συνεργασία επί αυτών των θεμάτων</w:t>
      </w:r>
      <w:bookmarkEnd w:id="20"/>
      <w:r w:rsidR="00F166BD" w:rsidRPr="00B46E79">
        <w:t>·</w:t>
      </w:r>
    </w:p>
    <w:p w14:paraId="7445C104" w14:textId="77777777" w:rsidR="00F166BD" w:rsidRPr="00B46E79" w:rsidRDefault="00F166BD" w:rsidP="00E40508">
      <w:pPr>
        <w:pStyle w:val="NormalHanging12a"/>
        <w:rPr>
          <w:b/>
          <w:i/>
        </w:rPr>
      </w:pPr>
      <w:r w:rsidRPr="00B46E79">
        <w:rPr>
          <w:b/>
          <w:i/>
        </w:rPr>
        <w:t>Περιβαλλοντική βιωσιμότητα</w:t>
      </w:r>
    </w:p>
    <w:p w14:paraId="330AAA12" w14:textId="4619D6B2" w:rsidR="00F166BD" w:rsidRPr="00B46E79" w:rsidRDefault="00B46E79" w:rsidP="00B46E79">
      <w:pPr>
        <w:widowControl/>
        <w:spacing w:after="240"/>
        <w:ind w:left="570" w:hanging="570"/>
        <w:rPr>
          <w:szCs w:val="24"/>
        </w:rPr>
      </w:pPr>
      <w:r w:rsidRPr="00B46E79">
        <w:rPr>
          <w:szCs w:val="24"/>
        </w:rPr>
        <w:t>47.</w:t>
      </w:r>
      <w:r w:rsidRPr="00B46E79">
        <w:rPr>
          <w:szCs w:val="24"/>
        </w:rPr>
        <w:tab/>
      </w:r>
      <w:r w:rsidR="00F166BD" w:rsidRPr="00B46E79">
        <w:t>αναγνωρίζει τον ουσιαστικό ρόλο της κτηνοτροφίας, ιδίως των συστημάτων που βασίζονται σε χορτολιβαδικές εκτάσεις, στη διατήρηση κυκλικών γεωργικών συστημάτων, στην ενίσχυση των οικοσυστημικών υπηρεσιών και στην παροχή κλιματικών και περιβαλλοντικών υπηρεσιών με τη δέσμευση του άνθρακα, τη βελτίωση της ποιότητας των υδάτων και της υγείας του εδάφους, την προστασία της βιοποικιλότητας, την παροχή οικοτόπων για χλωρίδα και πανίδα, τη διατήρηση διαφοροποιημένων και ανοικτών τοπίων, ιδίως σε ορεινές περιοχές και τη χρησιμοποίηση εδαφών οριακής απόδοσης που δεν μπορούν να παράγουν τρόφιμα για ανθρώπους· επισημαίνει ότι τα μονογαστρικά είδη, όπως τα πουλερικά και οι χοίροι, μπορούν να ενισχύσουν περαιτέρω την κυκλικότητα μέσω της ενσωμάτωσης προϊόντων ροής αποβλήτων στις ζωοτροφές τους και της ανακύκλωσης της βιομάζας, ενώ η κοπριά τους αποτελεί πολύτιμη πηγή φυσικού λιπάσματος για τη φυτική παραγωγή· τονίζει ότι η σημαντική μείωση των κοπαδιών μπορεί να θέσει σε κίνδυνο αυτές τις λειτουργίες του οικοσυστήματος·</w:t>
      </w:r>
    </w:p>
    <w:p w14:paraId="3B2B496F" w14:textId="739C510A" w:rsidR="00F166BD" w:rsidRPr="00B46E79" w:rsidRDefault="00B46E79" w:rsidP="00B46E79">
      <w:pPr>
        <w:widowControl/>
        <w:spacing w:after="240"/>
        <w:ind w:left="570" w:hanging="570"/>
        <w:rPr>
          <w:szCs w:val="24"/>
        </w:rPr>
      </w:pPr>
      <w:r w:rsidRPr="00B46E79">
        <w:rPr>
          <w:szCs w:val="24"/>
        </w:rPr>
        <w:t>48.</w:t>
      </w:r>
      <w:r w:rsidRPr="00B46E79">
        <w:rPr>
          <w:szCs w:val="24"/>
        </w:rPr>
        <w:tab/>
      </w:r>
      <w:r w:rsidR="00F166BD" w:rsidRPr="00B46E79">
        <w:t>καλεί την Επιτροπή να προτείνει εργαλεία για την ενίσχυση του ρόλου της ζωικής παραγωγής στη διατήρηση χορτολιβαδικών εκτάσεων που είναι σημαντικές για το περιβάλλον και την κλιματική σταθερότητα μέσω αποτελεσματικότερων γεωργικών συστημάτων, για τη βελτίωση της βιωσιμότητας των κτηνοτροφικών συστημάτων με την αύξηση της αποδοτικότητάς τους, και για τη διασφάλιση υψηλότερων εισοδημάτων για τους εργαζομένους του κτηνοτροφικού τομέα·</w:t>
      </w:r>
    </w:p>
    <w:p w14:paraId="06ACF973" w14:textId="2D34378C" w:rsidR="00F166BD" w:rsidRPr="00B46E79" w:rsidRDefault="00B46E79" w:rsidP="00B46E79">
      <w:pPr>
        <w:widowControl/>
        <w:spacing w:after="240"/>
        <w:ind w:left="570" w:hanging="570"/>
        <w:rPr>
          <w:szCs w:val="24"/>
        </w:rPr>
      </w:pPr>
      <w:r w:rsidRPr="00B46E79">
        <w:rPr>
          <w:szCs w:val="24"/>
        </w:rPr>
        <w:lastRenderedPageBreak/>
        <w:t>49.</w:t>
      </w:r>
      <w:r w:rsidRPr="00B46E79">
        <w:rPr>
          <w:szCs w:val="24"/>
        </w:rPr>
        <w:tab/>
      </w:r>
      <w:r w:rsidR="00F166BD" w:rsidRPr="00B46E79">
        <w:t>τονίζει τη σημασία της ενσωμάτωσης του ζωικού κεφαλαίου σε βιώσιμα γεωργικά μοντέλα, συμπεριλαμβανομένων των μικτών γεωργικών συστημάτων, της διασφάλισης ισορροπημένων ροών θρεπτικών ουσιών και της ελαχιστοποίησης του ανταγωνισμού για τους πόρους· τονίζει τη σημασία της αποδοτικής χρήσης του ζωικού κεφαλαίου για την εξισορρόπηση της βιωσιμότητας και των επισιτιστικών αναγκών, και επισημαίνει τα οφέλη της περιτροπικής βόσκησης και της ταχείας εντατικής περιτροπικής βόσκησης για την παραγωγικότητα των χορτονομών, τη δέσμευση του άνθρακα, την ποιότητα του εδάφους, τη βιοποικιλότητα και την ανθεκτικότητα στην ξηρασία· υπογραμμίζει την ανάγκη να αυξηθεί η ενημέρωση σχετικά με τα περιβαλλοντικά οφέλη της ορθής διαχείρισης των ζώων·</w:t>
      </w:r>
    </w:p>
    <w:p w14:paraId="34EA6740" w14:textId="62931797" w:rsidR="00F166BD" w:rsidRPr="00B46E79" w:rsidRDefault="00B46E79" w:rsidP="00B46E79">
      <w:pPr>
        <w:widowControl/>
        <w:spacing w:after="240"/>
        <w:ind w:left="570" w:hanging="570"/>
        <w:rPr>
          <w:szCs w:val="24"/>
        </w:rPr>
      </w:pPr>
      <w:r w:rsidRPr="00B46E79">
        <w:rPr>
          <w:szCs w:val="24"/>
        </w:rPr>
        <w:t>50.</w:t>
      </w:r>
      <w:r w:rsidRPr="00B46E79">
        <w:rPr>
          <w:szCs w:val="24"/>
        </w:rPr>
        <w:tab/>
      </w:r>
      <w:r w:rsidR="00F166BD" w:rsidRPr="00B46E79">
        <w:t>καλεί την Επιτροπή να αυξήσει τις δυνατότητες των κρατών μελών να στηρίζουν τους γεωργούς στη διατήρηση του τοπίου μέσω της ΚΓΠ, μειώνοντας παράλληλα τα κανονιστικά εμπόδια στην πλήρη χρήση των βοσκοτόπων και διασφαλίζοντας ισχυρότερη προστασία της γεωργικής γης της ΕΕ από τη δέσμευση, την υποβάθμιση και τις ανταγωνιστικές μη γεωργικές χρήσεις·</w:t>
      </w:r>
    </w:p>
    <w:p w14:paraId="1F87DE1D" w14:textId="02009C01" w:rsidR="00F166BD" w:rsidRPr="00B46E79" w:rsidRDefault="00B46E79" w:rsidP="00B46E79">
      <w:pPr>
        <w:widowControl/>
        <w:spacing w:after="240"/>
        <w:ind w:left="570" w:hanging="570"/>
        <w:rPr>
          <w:szCs w:val="24"/>
        </w:rPr>
      </w:pPr>
      <w:r w:rsidRPr="00B46E79">
        <w:rPr>
          <w:szCs w:val="24"/>
        </w:rPr>
        <w:t>51.</w:t>
      </w:r>
      <w:r w:rsidRPr="00B46E79">
        <w:rPr>
          <w:szCs w:val="24"/>
        </w:rPr>
        <w:tab/>
      </w:r>
      <w:r w:rsidR="00F166BD" w:rsidRPr="00B46E79">
        <w:t>τονίζει τη σημασία που έχει για τα γεωργικά συστήματα η ενσωμάτωση της φυτικής παραγωγής στην κτηνοτροφία, προκειμένου να διευκολυνθεί η ανακύκλωση των θρεπτικών ουσιών ευνοώντας τα οργανικά λιπάσματα έναντι των συνθετικών λιπασμάτων, να μειωθεί η κατανάλωση χημικών ουσιών και να ενισχυθεί η γονιμότητα του εδάφους και η βιοποικιλότητα·</w:t>
      </w:r>
    </w:p>
    <w:p w14:paraId="3A60CC89" w14:textId="1FD7CCF1" w:rsidR="00F166BD" w:rsidRPr="00B46E79" w:rsidRDefault="00B46E79" w:rsidP="00B46E79">
      <w:pPr>
        <w:widowControl/>
        <w:spacing w:after="240"/>
        <w:ind w:left="570" w:hanging="570"/>
        <w:rPr>
          <w:szCs w:val="24"/>
        </w:rPr>
      </w:pPr>
      <w:r w:rsidRPr="00B46E79">
        <w:rPr>
          <w:szCs w:val="24"/>
        </w:rPr>
        <w:t>52.</w:t>
      </w:r>
      <w:r w:rsidRPr="00B46E79">
        <w:rPr>
          <w:szCs w:val="24"/>
        </w:rPr>
        <w:tab/>
      </w:r>
      <w:r w:rsidR="00F166BD" w:rsidRPr="00B46E79">
        <w:t>καλεί την Επιτροπή, αναγνωρίζοντας συνάμα τη στρατηγική σημασία της παραγωγής συμβατικών λιπασμάτων στην ΕΕ για την ευρωπαϊκή ανταγωνιστικότητα, να στηρίξει τη χρήση κοπριάς ζωικής προέλευσης σε ορισμένες καλλιέργειες και να επιταχύνει την έγκριση και τη χρήση εναλλακτικών προϊόντων λίπανσης, όπως τα χωνεύματα και τα υλικά ανακτηθέντος αζώτου από κοπριά (RENURE), για την ενίσχυση της ανακύκλωσης θρεπτικών ουσιών, τη μείωση της εξάρτησης από συνθετικά λιπάσματα που εισάγονται από τρίτες χώρες και την προώθηση της κυκλικότητας εντός των κτηνοτροφικών συστημάτων· αναγνωρίζει τον στρατηγικό ρόλο του κτηνοτροφικού τομέα στη μείωση της εξάρτησης από συνθετικές εισροές και σημειώνει ότι η ενίσχυση της χρήσης τόσο του χωνεύματος όσο και του RENURE συμβάλλει όχι μόνο στην κυκλική οικονομία, αλλά και στην απαλλαγή της οικονομίας της ΕΕ από τις ανθρακούχες εκπομπές μέσω της μείωσης των εκπομπών αερίων του θερμοκηπίου, της στήριξης της παραγωγής ενέργειας από ανανεώσιμες πηγές και της μείωσης της εξάρτησης της ΕΕ από εισαγόμενα ορυκτά καύσιμα·</w:t>
      </w:r>
    </w:p>
    <w:p w14:paraId="2E9380FB" w14:textId="76DC7567" w:rsidR="00F166BD" w:rsidRPr="00B46E79" w:rsidRDefault="00B46E79" w:rsidP="00B46E79">
      <w:pPr>
        <w:widowControl/>
        <w:spacing w:after="240"/>
        <w:ind w:left="570" w:hanging="570"/>
        <w:rPr>
          <w:szCs w:val="24"/>
        </w:rPr>
      </w:pPr>
      <w:r w:rsidRPr="00B46E79">
        <w:rPr>
          <w:szCs w:val="24"/>
        </w:rPr>
        <w:t>53.</w:t>
      </w:r>
      <w:r w:rsidRPr="00B46E79">
        <w:rPr>
          <w:szCs w:val="24"/>
        </w:rPr>
        <w:tab/>
      </w:r>
      <w:r w:rsidR="00F166BD" w:rsidRPr="00B46E79">
        <w:t>εκφράζει την ικανοποίησή του για την πρόταση της Επιτροπής για στοχευμένη αναθεώρηση της οδηγίας για τη νιτρορύπανση</w:t>
      </w:r>
      <w:r w:rsidR="00F166BD" w:rsidRPr="00B46E79">
        <w:rPr>
          <w:rStyle w:val="FootnoteReference"/>
        </w:rPr>
        <w:footnoteReference w:id="32"/>
      </w:r>
      <w:r w:rsidR="00F166BD" w:rsidRPr="00B46E79">
        <w:t xml:space="preserve">, ώστε να καταστεί δυνατή η χρήση λιπασμάτων RENURE πάνω από το όριο που έχει καθοριστεί για τη διασπορά κοπριάς και να ευθυγραμμιστεί με τα πλέον πρόσφατα επιστημονικά στοιχεία και τις καινοτόμες πρακτικές λίπανσης, συμπεριλαμβανομένης της χρήσης κοπριάς, ώστε να προωθηθεί η κυκλική διαχείριση των θρεπτικών ουσιών, ενώ παράλληλα συνεχίζει να προστατεύεται η ποιότητα των υδάτων· παραπέμπει σε πρόσφατες μελέτες σχετικά με τα οφέλη και </w:t>
      </w:r>
      <w:r w:rsidR="00F166BD" w:rsidRPr="00B46E79">
        <w:lastRenderedPageBreak/>
        <w:t>τον ουδέτερο αντίκτυπο στην ποιότητα των υδάτων από τις παρεκκλίσεις που δόθηκαν στα κράτη μέλη·</w:t>
      </w:r>
    </w:p>
    <w:p w14:paraId="6BC7F586" w14:textId="5CB05C5A" w:rsidR="00F166BD" w:rsidRPr="00B46E79" w:rsidRDefault="00B46E79" w:rsidP="00B46E79">
      <w:pPr>
        <w:widowControl/>
        <w:spacing w:after="240"/>
        <w:ind w:left="570" w:hanging="570"/>
        <w:rPr>
          <w:szCs w:val="24"/>
        </w:rPr>
      </w:pPr>
      <w:r w:rsidRPr="00B46E79">
        <w:rPr>
          <w:szCs w:val="24"/>
        </w:rPr>
        <w:t>54.</w:t>
      </w:r>
      <w:r w:rsidRPr="00B46E79">
        <w:rPr>
          <w:szCs w:val="24"/>
        </w:rPr>
        <w:tab/>
      </w:r>
      <w:r w:rsidR="00F166BD" w:rsidRPr="00B46E79">
        <w:t>καλεί την Επιτροπή να διασφαλίσει δίκαιες τιμές ή δέουσα αποζημίωση για τους εκτροφείς, δεδομένου του αυξανόμενου κόστους των λιπασμάτων·</w:t>
      </w:r>
    </w:p>
    <w:p w14:paraId="7122F56F" w14:textId="483AE7B5" w:rsidR="00F166BD" w:rsidRPr="00B46E79" w:rsidRDefault="00B46E79" w:rsidP="00B46E79">
      <w:pPr>
        <w:widowControl/>
        <w:spacing w:after="240"/>
        <w:ind w:left="570" w:hanging="570"/>
        <w:rPr>
          <w:szCs w:val="24"/>
        </w:rPr>
      </w:pPr>
      <w:r w:rsidRPr="00B46E79">
        <w:rPr>
          <w:szCs w:val="24"/>
        </w:rPr>
        <w:t>55.</w:t>
      </w:r>
      <w:r w:rsidRPr="00B46E79">
        <w:rPr>
          <w:szCs w:val="24"/>
        </w:rPr>
        <w:tab/>
      </w:r>
      <w:r w:rsidR="00F166BD" w:rsidRPr="00B46E79">
        <w:t>καλεί την Επιτροπή να επενδύσει στην καινοτομία και τις υποδομές που επιτρέπουν την ευρύτερη χρήση λιπασμάτων και βιοαερίου που προέρχονται από την κτηνοτροφία, σύμφωνα με τους στόχους της ΕΕ για το κλίμα και την ενέργεια·</w:t>
      </w:r>
    </w:p>
    <w:p w14:paraId="652EA8EB" w14:textId="502D90AA" w:rsidR="00F166BD" w:rsidRPr="00B46E79" w:rsidRDefault="00B46E79" w:rsidP="00B46E79">
      <w:pPr>
        <w:widowControl/>
        <w:spacing w:after="240"/>
        <w:ind w:left="570" w:hanging="570"/>
        <w:rPr>
          <w:szCs w:val="24"/>
        </w:rPr>
      </w:pPr>
      <w:r w:rsidRPr="00B46E79">
        <w:rPr>
          <w:szCs w:val="24"/>
        </w:rPr>
        <w:t>56.</w:t>
      </w:r>
      <w:r w:rsidRPr="00B46E79">
        <w:rPr>
          <w:szCs w:val="24"/>
        </w:rPr>
        <w:tab/>
      </w:r>
      <w:r w:rsidR="00F166BD" w:rsidRPr="00B46E79">
        <w:t>καλεί την Επιτροπή να επανεξετάσει τον τρόπο με τον οποίο τα γεωργικά προϊόντα, τα υποπροϊόντα και τα κατάλοιπα κατηγοριοποιούνται ως απόβλητα, ώστε να διευκολυνθεί η χρήση τους ως βασικών προϊόντων· επισημαίνει ότι τα εκτρεφόμενα ζώα είναι αναπόσπαστα στοιχεία της κυκλικής οικονομίας που συνδέεται με τον τομέα της γεωργίας, και υπογραμμίζει την ανάγκη για καλύτερη αναγνώριση της συμβολής της κτηνοτροφίας στη βιοοικονομία μέσω μιας πιο ολοκληρωμένης προσέγγισης των κύκλων θρεπτικών ουσιών και άνθρακα σε όλους τους τομείς της διατροφικής και μη διατροφικής παραγωγής· καλεί την Επιτροπή να αξιοποιήσει τα πορίσματα της έρευνας στην προσέγγισή της για τον κτηνοτροφικό τομέα και να διευκολύνει την έρευνα για την ανάπτυξη κυκλικών ζωοτροφών· καλεί την Επιτροπή να αναθεωρήσει τους κανονισμούς σχετικά με τα ζωικά υποπροϊόντα που δεν προορίζονται για κατανάλωση από τον άνθρωπο, ώστε να απλοποιηθεί η χρήση προϊόντων χαμηλού κινδύνου, όπως το μαλλί·</w:t>
      </w:r>
    </w:p>
    <w:p w14:paraId="4A133A7A" w14:textId="78F7C98C" w:rsidR="00F166BD" w:rsidRPr="00B46E79" w:rsidRDefault="00B46E79" w:rsidP="00B46E79">
      <w:pPr>
        <w:widowControl/>
        <w:spacing w:after="240"/>
        <w:ind w:left="570" w:hanging="570"/>
        <w:rPr>
          <w:szCs w:val="24"/>
        </w:rPr>
      </w:pPr>
      <w:r w:rsidRPr="00B46E79">
        <w:rPr>
          <w:szCs w:val="24"/>
        </w:rPr>
        <w:t>57.</w:t>
      </w:r>
      <w:r w:rsidRPr="00B46E79">
        <w:rPr>
          <w:szCs w:val="24"/>
        </w:rPr>
        <w:tab/>
      </w:r>
      <w:r w:rsidR="00F166BD" w:rsidRPr="00B46E79">
        <w:t>προειδοποιεί για τις πολιτικές «ενιαίας αντιμετώπισης» που αποσκοπούν σε μεγάλης κλίμακας μειώσεις του ζωικού πληθυσμού, οι οποίες θα μπορούσαν να επιδεινώσουν την υποβάθμιση του περιβάλλοντος και να απειλήσουν την ανθεκτικότητα του συστήματος τροφίμων· σημειώνει, ειδικότερα, ότι η μείωση του αριθμού των μηρυκαστικών θα μπορούσε να οδηγήσει σε αλλαγή της χρήσης γης με αρνητικές επιπτώσεις, συμπεριλαμβανομένης της εγκατάλειψης της γης, της δασικής ανάπτυξης, της απώλειας βιοποικιλότητας και του αυξημένου κινδύνου πυρκαγιάς·</w:t>
      </w:r>
    </w:p>
    <w:p w14:paraId="5EB744DE" w14:textId="02BE319A" w:rsidR="00F166BD" w:rsidRPr="00B46E79" w:rsidRDefault="00B46E79" w:rsidP="00B46E79">
      <w:pPr>
        <w:widowControl/>
        <w:spacing w:after="240"/>
        <w:ind w:left="570" w:hanging="570"/>
        <w:rPr>
          <w:szCs w:val="24"/>
        </w:rPr>
      </w:pPr>
      <w:r w:rsidRPr="00B46E79">
        <w:rPr>
          <w:szCs w:val="24"/>
        </w:rPr>
        <w:t>58.</w:t>
      </w:r>
      <w:r w:rsidRPr="00B46E79">
        <w:rPr>
          <w:szCs w:val="24"/>
        </w:rPr>
        <w:tab/>
      </w:r>
      <w:r w:rsidR="00F166BD" w:rsidRPr="00B46E79">
        <w:t>ζητεί να αυξηθούν οι επενδύσεις στην έρευνα και την καινοτομία για τη βελτιστοποίηση της φυτικής παραγωγής και των πρακτικών διαχείρισης του ζωικού κεφαλαίου και να μειωθεί το οικολογικό αποτύπωμα του ζωικού κεφαλαίου, συμπεριλαμβανομένων των τεχνικών εκτροφής, διατροφής, βόσκησης και διαχείρισης της κοπριάς και των αγρών που ενισχύουν τα αποτελέσματα βιωσιμότητας·</w:t>
      </w:r>
    </w:p>
    <w:p w14:paraId="37D9DDBA" w14:textId="3BC5E74D" w:rsidR="00F166BD" w:rsidRPr="00B46E79" w:rsidRDefault="00B46E79" w:rsidP="00B46E79">
      <w:pPr>
        <w:widowControl/>
        <w:spacing w:after="240"/>
        <w:ind w:left="570" w:hanging="570"/>
        <w:rPr>
          <w:szCs w:val="24"/>
        </w:rPr>
      </w:pPr>
      <w:r w:rsidRPr="00B46E79">
        <w:rPr>
          <w:szCs w:val="24"/>
        </w:rPr>
        <w:t>59.</w:t>
      </w:r>
      <w:r w:rsidRPr="00B46E79">
        <w:rPr>
          <w:szCs w:val="24"/>
        </w:rPr>
        <w:tab/>
      </w:r>
      <w:r w:rsidR="00F166BD" w:rsidRPr="00B46E79">
        <w:t>τονίζει τη σημασία μιας στρατηγικής που λαμβάνει υπόψη ολόκληρο τον γεωργικό κύκλο, υποστηρίζει τον βέλτιστο σχεδιασμό αμειψισποράς, μεγιστοποιεί τη χρήση αρόσιμης γης και ενισχύει και προσαρμόζει τη σύνθεση των ζωοτροφών που καλλιεργούνται από τους γεωργούς, ξεκινώντας από φυτικές ποικιλίες που επιτρέπουν τη μείωση των εκπομπών· τονίζει τη σημασία της αποκατάστασης της επιχειρηματικής ελευθερίας στη γεωργία, επιτρέποντας στους γεωργούς να αναπτύσσουν και να επιλέγουν συστήματα εξαερισμού, στέγασης και σίτισης που είναι προσαρμοσμένα στις ιδιαίτερες συνθήκες τους και ταιριάζουν καλύτερα στα συστήματα παραγωγής τους·</w:t>
      </w:r>
    </w:p>
    <w:p w14:paraId="3C1C03AF" w14:textId="5E18ACA1" w:rsidR="00F166BD" w:rsidRPr="00B46E79" w:rsidRDefault="00B46E79" w:rsidP="00B46E79">
      <w:pPr>
        <w:widowControl/>
        <w:spacing w:after="240"/>
        <w:ind w:left="570" w:hanging="570"/>
        <w:rPr>
          <w:szCs w:val="24"/>
        </w:rPr>
      </w:pPr>
      <w:r w:rsidRPr="00B46E79">
        <w:rPr>
          <w:szCs w:val="24"/>
        </w:rPr>
        <w:t>60.</w:t>
      </w:r>
      <w:r w:rsidRPr="00B46E79">
        <w:rPr>
          <w:szCs w:val="24"/>
        </w:rPr>
        <w:tab/>
      </w:r>
      <w:r w:rsidR="00F166BD" w:rsidRPr="00B46E79">
        <w:t xml:space="preserve">παροτρύνει την Επιτροπή και τα κράτη μέλη να διασφαλίσουν ότι τα ρυθμιστικά πλαίσια που σχετίζονται με το ζωικό κεφάλαιο αναπτύσσονται με διαφάνεια, βασιζόμενα σε άρτια επιστημονικά στοιχεία, με πλήρη συμμετοχή των ενδιαφερόμενων μερών, ειδικά από οργανισμούς αγροτών και κτηνοτρόφων, και με μακροπρόθεσμα </w:t>
      </w:r>
      <w:r w:rsidR="00F166BD" w:rsidRPr="00B46E79">
        <w:lastRenderedPageBreak/>
        <w:t>σενάρια που επιτρέπουν προοδευτική προσαρμογή· συνιστά η διαδικασία λήψης αποφάσεων να υποστηρίζεται από πραγματικές δημόσιες διαβουλεύσεις, λεπτομερείς μελέτες αντίκτυπου και μηχανισμούς συνεχούς ανατροφοδότησης για τη διασφάλιση αποτελεσματικής και τοπικά αποδεκτής εφαρμογής·</w:t>
      </w:r>
    </w:p>
    <w:p w14:paraId="19C6259F" w14:textId="442E5DE2" w:rsidR="00F166BD" w:rsidRPr="00B46E79" w:rsidRDefault="00B46E79" w:rsidP="00B46E79">
      <w:pPr>
        <w:widowControl/>
        <w:spacing w:after="240"/>
        <w:ind w:left="570" w:hanging="570"/>
        <w:rPr>
          <w:szCs w:val="24"/>
        </w:rPr>
      </w:pPr>
      <w:r w:rsidRPr="00B46E79">
        <w:rPr>
          <w:szCs w:val="24"/>
        </w:rPr>
        <w:t>61.</w:t>
      </w:r>
      <w:r w:rsidRPr="00B46E79">
        <w:rPr>
          <w:szCs w:val="24"/>
        </w:rPr>
        <w:tab/>
      </w:r>
      <w:r w:rsidR="00F166BD" w:rsidRPr="00B46E79">
        <w:t>ζητεί να δοθεί περισσότερος χώρος πολιτικής για τη διευκόλυνση μιας προσέγγισης βάσει στόχων, μέσω συγκριτικής αξιολόγησης με βάση τις γεωργικές εκμεταλλεύσεις αντί μέτρων από την κορυφή προς τη βάση, πράγμα που σημαίνει ότι οι γεωργοί θα πρέπει να είναι ελεύθεροι να επιλέγουν ποια μέτρα θα πάρουν, εφόσον συμβάλλουν στην επίτευξη των καθορισμένων στόχων·</w:t>
      </w:r>
    </w:p>
    <w:p w14:paraId="619DFE74" w14:textId="6102496E" w:rsidR="00F166BD" w:rsidRPr="00B46E79" w:rsidRDefault="00B46E79" w:rsidP="00B46E79">
      <w:pPr>
        <w:widowControl/>
        <w:spacing w:after="240"/>
        <w:ind w:left="570" w:hanging="570"/>
        <w:rPr>
          <w:szCs w:val="24"/>
        </w:rPr>
      </w:pPr>
      <w:r w:rsidRPr="00B46E79">
        <w:rPr>
          <w:szCs w:val="24"/>
        </w:rPr>
        <w:t>62.</w:t>
      </w:r>
      <w:r w:rsidRPr="00B46E79">
        <w:rPr>
          <w:szCs w:val="24"/>
        </w:rPr>
        <w:tab/>
      </w:r>
      <w:r w:rsidR="00F166BD" w:rsidRPr="00B46E79">
        <w:t>καλεί την Επιτροπή να προτείνει εργαλεία για την ενίσχυση του ρόλου της ζωικής παραγωγής στη διατήρηση λειμώνων περιβαλλοντικής και κλιματικής αξίας μέσω πιο εκτατικών γεωργικών συστημάτων, καθώς και για τη βελτίωση της βιωσιμότητας των εντατικών συστημάτων·</w:t>
      </w:r>
    </w:p>
    <w:p w14:paraId="0537A31A" w14:textId="77777777" w:rsidR="00F166BD" w:rsidRPr="00B46E79" w:rsidRDefault="00F166BD" w:rsidP="00E40508">
      <w:pPr>
        <w:pStyle w:val="NormalHanging12a"/>
        <w:rPr>
          <w:b/>
          <w:i/>
        </w:rPr>
      </w:pPr>
      <w:r w:rsidRPr="00B46E79">
        <w:rPr>
          <w:b/>
          <w:i/>
        </w:rPr>
        <w:t>Κοινωνική διάσταση της κτηνοτροφίας και ειδικές ανά τομέα προκλήσεις</w:t>
      </w:r>
    </w:p>
    <w:p w14:paraId="4278D2B2" w14:textId="67E09B6C" w:rsidR="00F166BD" w:rsidRPr="00B46E79" w:rsidRDefault="00B46E79" w:rsidP="00B46E79">
      <w:pPr>
        <w:widowControl/>
        <w:spacing w:after="240"/>
        <w:ind w:left="570" w:hanging="570"/>
        <w:rPr>
          <w:szCs w:val="24"/>
        </w:rPr>
      </w:pPr>
      <w:r w:rsidRPr="00B46E79">
        <w:rPr>
          <w:szCs w:val="24"/>
        </w:rPr>
        <w:t>63.</w:t>
      </w:r>
      <w:r w:rsidRPr="00B46E79">
        <w:rPr>
          <w:szCs w:val="24"/>
        </w:rPr>
        <w:tab/>
      </w:r>
      <w:r w:rsidR="00F166BD" w:rsidRPr="00B46E79">
        <w:t>τονίζει ότι η ανάπτυξη πολιτικών για την κτηνοτροφία πρέπει να βασίζεται σταθερά στα υψηλότερα επιστημονικά πρότυπα, διασφαλίζοντας ισορροπημένη και ολοκληρωμένη κατανόηση της συμβολής και των προκλήσεων που συνδέονται με την κτηνοτροφία·</w:t>
      </w:r>
    </w:p>
    <w:p w14:paraId="3037BD9F" w14:textId="4B32C67B" w:rsidR="00F166BD" w:rsidRPr="00B46E79" w:rsidRDefault="00B46E79" w:rsidP="00B46E79">
      <w:pPr>
        <w:widowControl/>
        <w:spacing w:after="240"/>
        <w:ind w:left="570" w:hanging="570"/>
        <w:rPr>
          <w:szCs w:val="24"/>
        </w:rPr>
      </w:pPr>
      <w:r w:rsidRPr="00B46E79">
        <w:rPr>
          <w:szCs w:val="24"/>
        </w:rPr>
        <w:t>64.</w:t>
      </w:r>
      <w:r w:rsidRPr="00B46E79">
        <w:rPr>
          <w:szCs w:val="24"/>
        </w:rPr>
        <w:tab/>
      </w:r>
      <w:r w:rsidR="00F166BD" w:rsidRPr="00B46E79">
        <w:t xml:space="preserve">υπογραμμίζει τη σημασία της διαφανούς, προσβάσιμης και τεκμηριωμένης επιστημονικής επικοινωνίας για την αντιμετώπιση της παραπληροφόρησης και των ιδεολογικών προκαταλήψεων στις δημόσιες συζητήσεις σχετικά με το ζωικό κεφάλαιο και την παραγωγή και κατανάλωση κρέατος· επισημαίνει, στο πλαίσιο αυτό, ότι ο Παγκόσμιος Οργανισμός Υγείας ενθαρρύνει την κατανάλωση ζωικών πρωτεϊνών στο πλαίσιο μιας πλήρους και ισορροπημένης διατροφής· </w:t>
      </w:r>
    </w:p>
    <w:p w14:paraId="65725720" w14:textId="7F45CC9B" w:rsidR="00F166BD" w:rsidRPr="00B46E79" w:rsidRDefault="00B46E79" w:rsidP="00B46E79">
      <w:pPr>
        <w:widowControl/>
        <w:spacing w:after="240"/>
        <w:ind w:left="570" w:hanging="570"/>
        <w:rPr>
          <w:szCs w:val="24"/>
        </w:rPr>
      </w:pPr>
      <w:r w:rsidRPr="00B46E79">
        <w:rPr>
          <w:szCs w:val="24"/>
        </w:rPr>
        <w:t>65.</w:t>
      </w:r>
      <w:r w:rsidRPr="00B46E79">
        <w:rPr>
          <w:szCs w:val="24"/>
        </w:rPr>
        <w:tab/>
      </w:r>
      <w:r w:rsidR="00F166BD" w:rsidRPr="00B46E79">
        <w:t>τονίζει ότι οι πολιτικές αποφάσεις και οι κοινωνικές αντιλήψεις θα πρέπει να βασίζονται σε αξιόπιστα επιστημονικά στοιχεία που αντικατοπτρίζουν την ποικιλομορφία των συστημάτων παραγωγής, τη συμβολή τους στην ανθρώπινη διατροφή, την αγροτική οικονομία και την περιβαλλοντική βιωσιμότητα, προωθώντας έτσι μια θετικότερη εικόνα του κτηνοτροφικού τομέα, και ότι, για τον σκοπό αυτό, είναι σημαντικό να ενισχυθεί ο διάλογος μεταξύ της επιστήμης, των υπευθύνων χάραξης πολιτικής, των παραγωγών και των καταναλωτών μέσω της ενθάρρυνσης μιας τεκμηριωμένης, ισορροπημένης και μη πολωμένης προσέγγισης όσον αφορά τον ρόλο της κτηνοτροφίας στην ευρωπαϊκή κοινωνία· τονίζει τη σημασία της ενημέρωσης των καταναλωτών σχετικά με τα οφέλη της κατανάλωσης ζωικών πρωτεϊνών στο πλαίσιο μιας πλήρους και ισορροπημένης διατροφής·</w:t>
      </w:r>
    </w:p>
    <w:p w14:paraId="6E8542B6" w14:textId="42F6B937" w:rsidR="00F166BD" w:rsidRPr="00B46E79" w:rsidRDefault="00B46E79" w:rsidP="00B46E79">
      <w:pPr>
        <w:widowControl/>
        <w:spacing w:after="240"/>
        <w:ind w:left="570" w:hanging="570"/>
        <w:rPr>
          <w:szCs w:val="24"/>
        </w:rPr>
      </w:pPr>
      <w:r w:rsidRPr="00B46E79">
        <w:rPr>
          <w:szCs w:val="24"/>
        </w:rPr>
        <w:t>66.</w:t>
      </w:r>
      <w:r w:rsidRPr="00B46E79">
        <w:rPr>
          <w:szCs w:val="24"/>
        </w:rPr>
        <w:tab/>
      </w:r>
      <w:r w:rsidR="00F166BD" w:rsidRPr="00B46E79">
        <w:t xml:space="preserve">εκφράζει την ικανοποίησή του για την πρόταση της Επιτροπής να ανοίξει εκ νέου το ζήτημα των ονομασιών κρέατος που χρησιμοποιούνται για τον χαρακτηρισμό του κρέατος και των τεμαχίων κρέατος, προκειμένου να προστατευθούν τα προϊόντα ζωικής προέλευσης, και να απαγορευθεί η χρήση τους για την επισήμανση προϊόντων μη ζωικής προέλευσης, και πιστεύει ότι η διάταξη αυτή θα πρέπει να ισχύει για τα προϊόντα κυτταροκαλλιέργειας και τα υβριδικά προϊόντα που αποτελούνται από μείγμα ζωικών και φυτικών πρωτεϊνών· υπενθυμίζει ότι η προστασία αυτή υφίσταται για τα γαλακτοκομικά προϊόντα· τονίζει ότι η σαφής, σωστή και διαφανής επισήμανση είναι ουσιώδους σημασίας για την παροχή και την ενίσχυση της πραγματικής διαφάνειας στους καταναλωτές και την προώθηση της ποιότητας των ζωικών προϊόντων της ΕΕ, </w:t>
      </w:r>
      <w:r w:rsidR="00F166BD" w:rsidRPr="00B46E79">
        <w:lastRenderedPageBreak/>
        <w:t xml:space="preserve">μεταξύ άλλων με την επισήμανση των αναγνωρισμένων σημάτων τους και των βραχειών αλυσίδων εφοδιασμού τους· </w:t>
      </w:r>
    </w:p>
    <w:p w14:paraId="095D2307" w14:textId="1DA23ED2" w:rsidR="00F166BD" w:rsidRPr="00B46E79" w:rsidRDefault="00B46E79" w:rsidP="00B46E79">
      <w:pPr>
        <w:widowControl/>
        <w:spacing w:after="240"/>
        <w:ind w:left="570" w:hanging="570"/>
        <w:rPr>
          <w:szCs w:val="24"/>
        </w:rPr>
      </w:pPr>
      <w:r w:rsidRPr="00B46E79">
        <w:rPr>
          <w:szCs w:val="24"/>
        </w:rPr>
        <w:t>67.</w:t>
      </w:r>
      <w:r w:rsidRPr="00B46E79">
        <w:rPr>
          <w:szCs w:val="24"/>
        </w:rPr>
        <w:tab/>
      </w:r>
      <w:r w:rsidR="00F166BD" w:rsidRPr="00B46E79">
        <w:t xml:space="preserve">παροτρύνει τους υπεύθυνους χάραξης πολιτικής σε όλα τα επίπεδα να τηρούν τεκμηριωμένα πρότυπα κατά την ανάπτυξη διατροφικών κατευθυντήριων γραμμών, αναγνωρίζοντας πλήρως τη διατροφική, πολιτιστική και οικονομική σημασία του κρέατος, των γαλακτοκομικών προϊόντων και των αυγών, λαμβάνοντας υπόψη, συνάμα, την οικονομική προσιτότητα και την πραγματική πρόσληψη πρωτεϊνών που παρέχονται από ζωικά προϊόντα σε διάφορες περιοχές· </w:t>
      </w:r>
    </w:p>
    <w:p w14:paraId="55156E07" w14:textId="76C0EC71" w:rsidR="00F166BD" w:rsidRPr="00B46E79" w:rsidRDefault="00B46E79" w:rsidP="00B46E79">
      <w:pPr>
        <w:widowControl/>
        <w:spacing w:after="240"/>
        <w:ind w:left="570" w:hanging="570"/>
        <w:rPr>
          <w:szCs w:val="24"/>
        </w:rPr>
      </w:pPr>
      <w:r w:rsidRPr="00B46E79">
        <w:rPr>
          <w:szCs w:val="24"/>
        </w:rPr>
        <w:t>68.</w:t>
      </w:r>
      <w:r w:rsidRPr="00B46E79">
        <w:rPr>
          <w:szCs w:val="24"/>
        </w:rPr>
        <w:tab/>
      </w:r>
      <w:r w:rsidR="00F166BD" w:rsidRPr="00B46E79">
        <w:t>καλεί την Επιτροπή να αναθεωρήσει τον κανονισμό (ΕΕ) αριθ. 1169/2011</w:t>
      </w:r>
      <w:r w:rsidR="00F166BD" w:rsidRPr="00B46E79">
        <w:rPr>
          <w:rStyle w:val="FootnoteReference"/>
          <w:szCs w:val="24"/>
        </w:rPr>
        <w:footnoteReference w:id="33"/>
      </w:r>
      <w:r w:rsidR="00F166BD" w:rsidRPr="00B46E79">
        <w:t xml:space="preserve"> για τη θέσπιση υποχρεωτικής επισήμανσης της προέλευσης όλων των προϊόντων που περιέχουν κρέας και διατίθενται στην αγορά της ΕΕ, ακόμη και όσων το κρέας δεν συνιστά το κύριο συστατικό με σαφή ένδειξη προέλευσης ΕΕ/εκτός ΕΕ· καλεί την Επιτροπή να αξιολογήσει τη σκοπιμότητα της θέσπισης υποχρεωτικής ένδειξης της χώρας προέλευσης του κρέατος όταν χρησιμοποιείται ως συστατικό σε μεταποιημένα προϊόντα·</w:t>
      </w:r>
    </w:p>
    <w:p w14:paraId="322ADC02" w14:textId="738332A9" w:rsidR="00F166BD" w:rsidRPr="00B46E79" w:rsidRDefault="00B46E79" w:rsidP="00B46E79">
      <w:pPr>
        <w:widowControl/>
        <w:spacing w:after="240"/>
        <w:ind w:left="570" w:hanging="570"/>
        <w:rPr>
          <w:szCs w:val="24"/>
        </w:rPr>
      </w:pPr>
      <w:r w:rsidRPr="00B46E79">
        <w:rPr>
          <w:szCs w:val="24"/>
        </w:rPr>
        <w:t>69.</w:t>
      </w:r>
      <w:r w:rsidRPr="00B46E79">
        <w:rPr>
          <w:szCs w:val="24"/>
        </w:rPr>
        <w:tab/>
      </w:r>
      <w:r w:rsidR="00F166BD" w:rsidRPr="00B46E79">
        <w:t>καλεί την Επιτροπή να συνεργαστεί με επιστήμονες για την παρουσίαση μελετών σχετικά με τις επιπτώσεις των υποκατάστατων τροφίμων· προειδοποιεί για την άκριτη προώθηση διατροφικά και περιβαλλοντικά ακατάλληλων υποκατάστατων τροφίμων ως υποκατάστατων παραδοσιακών τροφίμων ζωικής προέλευσης, συμπεριλαμβανομένων εκείνων που δεν παρέχουν τις ίδιες βιοενεργές ενώσεις ή βασικά μικροθρεπτικά στοιχεία που βρίσκονται στο φυσικό κρέας από υγιή ζώα που εκτρέφονται σε συστήματα υψηλής ποιότητας, και προειδοποιεί ιδίως για την ένταξή τους σε καλάθια τροφίμων για παιδιά και νέους στα σχολεία· σημειώνει ότι τα παραδοσιακά τρόφιμα ζωικής προέλευσης, σε συνδυασμό με τα τρόφιμα φυτικής προέλευσης, μπορούν να συμβάλουν σε μια ισορροπημένη και θρεπτική διατροφή·</w:t>
      </w:r>
    </w:p>
    <w:p w14:paraId="31470DEC" w14:textId="5C1CE1E8" w:rsidR="00F166BD" w:rsidRPr="00B46E79" w:rsidRDefault="00B46E79" w:rsidP="00B46E79">
      <w:pPr>
        <w:widowControl/>
        <w:spacing w:after="240"/>
        <w:ind w:left="570" w:hanging="570"/>
        <w:rPr>
          <w:szCs w:val="24"/>
        </w:rPr>
      </w:pPr>
      <w:r w:rsidRPr="00B46E79">
        <w:rPr>
          <w:szCs w:val="24"/>
        </w:rPr>
        <w:t>70.</w:t>
      </w:r>
      <w:r w:rsidRPr="00B46E79">
        <w:rPr>
          <w:szCs w:val="24"/>
        </w:rPr>
        <w:tab/>
      </w:r>
      <w:r w:rsidR="00F166BD" w:rsidRPr="00B46E79">
        <w:t>ζητεί από την Επιτροπή να διενεργήσει ολοκληρωμένη εκτίμηση επιπτώσεων με βάση τα τελευταία επιστημονικά αποδεικτικά στοιχεία και τη δέουσα διαβούλευση με όλα τα σχετικά ενδιαφερόμενα μέρη πριν από την υποβολή νέων νομοθετικών προτάσεων που επηρεάζουν τον γεωργικό τομέα·</w:t>
      </w:r>
    </w:p>
    <w:p w14:paraId="0DEDDE5F" w14:textId="728FF47A" w:rsidR="00F166BD" w:rsidRPr="00B46E79" w:rsidRDefault="00B46E79" w:rsidP="00B46E79">
      <w:pPr>
        <w:widowControl/>
        <w:spacing w:after="240"/>
        <w:ind w:left="570" w:hanging="570"/>
        <w:rPr>
          <w:szCs w:val="24"/>
        </w:rPr>
      </w:pPr>
      <w:r w:rsidRPr="00B46E79">
        <w:rPr>
          <w:szCs w:val="24"/>
        </w:rPr>
        <w:t>71.</w:t>
      </w:r>
      <w:r w:rsidRPr="00B46E79">
        <w:rPr>
          <w:szCs w:val="24"/>
        </w:rPr>
        <w:tab/>
      </w:r>
      <w:r w:rsidR="00F166BD" w:rsidRPr="00B46E79">
        <w:t xml:space="preserve">εκφράζει τη βαθιά του ανησυχία για την αυξανόμενη δυναμική προώθησης συνθετικών τροφίμων, όπως των πρωτεϊνών εργαστηρίου, χωρίς να υφίστανται επιστημονικά τεκμηριωμένα στοιχεία σχετικά με την ασφάλεια, τη βιομηχανική βιωσιμότητα και τα περιβαλλοντικά οφέλη τους· υπογραμμίζει την ανάγκη να διενεργούνται κατάλληλες εκτιμήσεις επιπτώσεων βάσει επιστημονικών στοιχείων, λαμβανομένων υπόψη όλων των πτυχών που σχετίζονται με την ασφάλεια, τον περιβαλλοντικό αντίκτυπο, τις επιπτώσεις στην αγορά και την προστασία των καταναλωτών πριν από την πρόταση </w:t>
      </w:r>
      <w:r w:rsidR="00F166BD" w:rsidRPr="00B46E79">
        <w:lastRenderedPageBreak/>
        <w:t xml:space="preserve">οποιουδήποτε νέου κανονιστικού πλαισίου για τις αναδυόμενες τεχνολογίες τροφίμων, ιδίως μέσω της σαφούς και κατάλληλης επισήμανσης· </w:t>
      </w:r>
    </w:p>
    <w:p w14:paraId="7978887F" w14:textId="11326FD1" w:rsidR="00F166BD" w:rsidRPr="00B46E79" w:rsidRDefault="00B46E79" w:rsidP="00B46E79">
      <w:pPr>
        <w:widowControl/>
        <w:spacing w:after="240"/>
        <w:ind w:left="570" w:hanging="570"/>
        <w:rPr>
          <w:szCs w:val="24"/>
        </w:rPr>
      </w:pPr>
      <w:r w:rsidRPr="00B46E79">
        <w:rPr>
          <w:szCs w:val="24"/>
        </w:rPr>
        <w:t>72.</w:t>
      </w:r>
      <w:r w:rsidRPr="00B46E79">
        <w:rPr>
          <w:szCs w:val="24"/>
        </w:rPr>
        <w:tab/>
      </w:r>
      <w:r w:rsidR="00F166BD" w:rsidRPr="00B46E79">
        <w:t>τονίζει τον οικολογικό ρόλο των μηρυκαστικών και τη διατροφική αξία του φυσικού κρέατος, και τονίζει ότι η παραγωγή συνθετικών τροφίμων εξαρτάται σε μεγάλο βαθμό από άκρως βιομηχανοποιημένες, ενεργοβόρες διαδικασίες που απαιτούν σημαντικά επίπεδα χημικών εισροών, γεγονός που αντιβαίνει στις αρχές της βιωσιμότητας που υποστηρίζει η ΕΕ· επισημαίνει ότι τα συνθετικά τρόφιμα δεν αποτελούν επί του παρόντος ούτε βιώσιμη λύση ούτε ασφαλή εναλλακτική λύση έναντι της παραδοσιακής αγροκτηνοτροφικής παραγωγής, και ότι η προώθησή τους θα μπορούσε να θέσει σε κίνδυνο χιλιάδες οικογενειακές εκμεταλλεύσεις· καλεί την Επιτροπή να προβεί σε αυστηρές και ανεξάρτητες αξιολογήσεις των συνθετικών προϊόντων διατροφής όσον αφορά τις επιπτώσεις στην υγεία, το περιβάλλον και την κοινωνικοοικονομική κατάσταση, καθώς και τις ανησυχίες για την προστασία των καταναλωτών και τις επιπτώσεις στην παραδοσιακή γεωργία και κτηνοτροφία· ζητεί τα υφιστάμενα ρυθμιστικά πλαίσια να επικεντρωθούν σαφώς στην προστασία των καταναλωτών, των Ευρωπαίων παραγωγών και των αγροτικών περιοχών·</w:t>
      </w:r>
    </w:p>
    <w:p w14:paraId="201973DD" w14:textId="713E43FF" w:rsidR="00F166BD" w:rsidRPr="00B46E79" w:rsidRDefault="00B46E79" w:rsidP="00B46E79">
      <w:pPr>
        <w:widowControl/>
        <w:spacing w:after="240"/>
        <w:ind w:left="570" w:hanging="570"/>
        <w:rPr>
          <w:szCs w:val="24"/>
        </w:rPr>
      </w:pPr>
      <w:r w:rsidRPr="00B46E79">
        <w:rPr>
          <w:szCs w:val="24"/>
        </w:rPr>
        <w:t>73.</w:t>
      </w:r>
      <w:r w:rsidRPr="00B46E79">
        <w:rPr>
          <w:szCs w:val="24"/>
        </w:rPr>
        <w:tab/>
      </w:r>
      <w:r w:rsidR="00F166BD" w:rsidRPr="00B46E79">
        <w:t>τονίζει τον ουσιαστικό ρόλο του κτηνοτροφικού τομέα στη συμβολή στην επισιτιστική ασφάλεια, τη δημιουργία θέσεων εργασίας, τη διατήρηση και την προώθηση του τοπικισμού και την οικονομική σταθερότητα σε ολόκληρη την ΕΕ· αναγνωρίζει την κτηνοτροφία ευρύτερα όχι μόνο ως πάροχο τροφίμων και περιβαλλοντικών υπηρεσιών, αλλά και ως κινητήρια δύναμη κοινωνικής ευθύνης, αξιοπρεπών συνθηκών εργασίας και αγροτικής ανάπτυξης· υπογραμμίζει τη σημασία του δείκτη αποτελεσμάτων της ΚΓΠ (I.24) σχετικά με τη «Συμβολή στη δημιουργία θέσεων απασχόλησης στις αγροτικές περιοχές» για την εστίαση της προσοχής στον ρόλο της κτηνοτροφίας, ιδίως των οικογενειακών εκμεταλλεύσεων και των εκμεταλλεύσεων μικρής κλίμακας·</w:t>
      </w:r>
    </w:p>
    <w:p w14:paraId="0B7EA55A" w14:textId="142AACB1" w:rsidR="00F166BD" w:rsidRPr="00B46E79" w:rsidRDefault="00B46E79" w:rsidP="00B46E79">
      <w:pPr>
        <w:widowControl/>
        <w:spacing w:after="240"/>
        <w:ind w:left="570" w:hanging="570"/>
        <w:rPr>
          <w:szCs w:val="24"/>
        </w:rPr>
      </w:pPr>
      <w:r w:rsidRPr="00B46E79">
        <w:rPr>
          <w:szCs w:val="24"/>
        </w:rPr>
        <w:t>74.</w:t>
      </w:r>
      <w:r w:rsidRPr="00B46E79">
        <w:rPr>
          <w:szCs w:val="24"/>
        </w:rPr>
        <w:tab/>
      </w:r>
      <w:r w:rsidR="00F166BD" w:rsidRPr="00B46E79">
        <w:t xml:space="preserve">τονίζει ότι, χωρίς επαρκή χρηματοδότηση, ο τομέας θα καθίσταται ολοένα και λιγότερο ελκυστικός για τους νέους, γεγονός που δημιουργεί κίνδυνο όχι μόνο απώλειας θέσεων εργασίας αλλά και μείωσης της διατροφικής και κοινωνικής ανταγωνιστικότητας της ΕΕ· </w:t>
      </w:r>
    </w:p>
    <w:p w14:paraId="149A2CCA" w14:textId="3D0B4A34" w:rsidR="00F166BD" w:rsidRPr="00B46E79" w:rsidRDefault="00B46E79" w:rsidP="00B46E79">
      <w:pPr>
        <w:widowControl/>
        <w:spacing w:after="240"/>
        <w:ind w:left="570" w:hanging="570"/>
        <w:rPr>
          <w:szCs w:val="24"/>
        </w:rPr>
      </w:pPr>
      <w:r w:rsidRPr="00B46E79">
        <w:rPr>
          <w:szCs w:val="24"/>
        </w:rPr>
        <w:t>75.</w:t>
      </w:r>
      <w:r w:rsidRPr="00B46E79">
        <w:rPr>
          <w:szCs w:val="24"/>
        </w:rPr>
        <w:tab/>
      </w:r>
      <w:r w:rsidR="00F166BD" w:rsidRPr="00B46E79">
        <w:t xml:space="preserve">επισημαίνει ότι είναι σημαντικό να αναγνωριστεί και να προβληθεί ο θεμελιώδης ρόλος που διαδραματίζουν οι γυναίκες στις κτηνοτροφικές εκμεταλλεύσεις, όπου, παράλληλα με την καθημερινή γεωργική εργασία, είναι συχνά υπεύθυνες για τη διαχείριση και τη μετάδοση γνώσεων μεταξύ των γενεών· τονίζει, στο πλαίσιο αυτό, ότι η οικογενειακή γεωργία, στην οποία οι γυναίκες και η οικογένεια διαδραματίζουν κεντρικό ρόλο, αποτελεί τη ραχοκοκαλιά της ευρωπαϊκής κτηνοτροφικής παραγωγής και θα πρέπει να υποστηρίζεται από συγκεκριμένες πολιτικές που αναγνωρίζουν την οικονομική, κοινωνική και πολιτιστική της σημασία· θεωρεί, ως εκ τούτου, ότι οι ευρωπαϊκές δημόσιες πολιτικές θα πρέπει να συμπεριλάβουν μια πιο αποτελεσματική διάσταση του φύλου μέσω της προώθησης στοχευμένων μέτρων για τη στήριξη των γυναικών γεωργών, διασφαλίζοντας ίσες ευκαιρίες, προβολή της συμβολής τους και καλύτερη πρόσβαση στην κατάρτιση, τη χρηματοδότηση και την εκπροσώπηση στις διαδικασίες λήψης αποφάσεων· </w:t>
      </w:r>
    </w:p>
    <w:p w14:paraId="79B4F29C" w14:textId="4F7BF350" w:rsidR="00F166BD" w:rsidRPr="00B46E79" w:rsidRDefault="00B46E79" w:rsidP="00B46E79">
      <w:pPr>
        <w:widowControl/>
        <w:spacing w:after="240"/>
        <w:ind w:left="570" w:hanging="570"/>
        <w:rPr>
          <w:szCs w:val="24"/>
        </w:rPr>
      </w:pPr>
      <w:r w:rsidRPr="00B46E79">
        <w:rPr>
          <w:szCs w:val="24"/>
        </w:rPr>
        <w:t>76.</w:t>
      </w:r>
      <w:r w:rsidRPr="00B46E79">
        <w:rPr>
          <w:szCs w:val="24"/>
        </w:rPr>
        <w:tab/>
      </w:r>
      <w:r w:rsidR="00F166BD" w:rsidRPr="00B46E79">
        <w:t xml:space="preserve">τονίζει τον ουσιαστικό ρόλο που διαδραματίζουν η γεωργία και η κτηνοτροφία στην παροχή κοινωνικών παροχών στις κοινότητες όσον αφορά τη διατήρηση ανοικτού χώρου, την εκπαίδευση και την παροχή φροντίδας σε άτομα με ειδικές ανάγκες με τη μορφή «πράσινης φροντίδας» εντός της γεωργικής εκμετάλλευσης· τονίζει την ανάγκη </w:t>
      </w:r>
      <w:r w:rsidR="00F166BD" w:rsidRPr="00B46E79">
        <w:lastRenderedPageBreak/>
        <w:t>να διατηρηθεί η γεωργική και κτηνοτροφική παραγωγή σε όλες τις περιφέρειες της ΕΕ, να διευκολυνθούν συγκεκριμένα αυτές οι μορφές «πράσινης φροντίδας» και να αμείβονται επαρκώς οι γεωργοί για την εργασία τους·</w:t>
      </w:r>
    </w:p>
    <w:p w14:paraId="2DCC317A" w14:textId="6AFE104C" w:rsidR="00F166BD" w:rsidRPr="00B46E79" w:rsidRDefault="00B46E79" w:rsidP="00B46E79">
      <w:pPr>
        <w:widowControl/>
        <w:spacing w:after="240"/>
        <w:ind w:left="570" w:hanging="570"/>
        <w:rPr>
          <w:szCs w:val="24"/>
        </w:rPr>
      </w:pPr>
      <w:r w:rsidRPr="00B46E79">
        <w:rPr>
          <w:szCs w:val="24"/>
        </w:rPr>
        <w:t>77.</w:t>
      </w:r>
      <w:r w:rsidRPr="00B46E79">
        <w:rPr>
          <w:szCs w:val="24"/>
        </w:rPr>
        <w:tab/>
      </w:r>
      <w:r w:rsidR="00F166BD" w:rsidRPr="00B46E79">
        <w:t>τονίζει τη σημασία της ψυχικής υγείας και της ευημερίας των κτηνοτρόφων και ζητεί να συμπεριληφθούν μέτρα ψυχολογικής υποστήριξης, διοικητικής απλούστευσης και ισορροπίας μεταξύ επαγγελματικής και προσωπικής ζωής, καθώς και μέτρα για την καταπολέμηση της απομόνωσης, στα μελλοντικά μέσα της ΚΓΠ·</w:t>
      </w:r>
    </w:p>
    <w:p w14:paraId="0D92D0E4" w14:textId="77777777" w:rsidR="00F166BD" w:rsidRPr="00B46E79" w:rsidRDefault="00F166BD" w:rsidP="00E40508">
      <w:pPr>
        <w:pStyle w:val="NormalHanging12a"/>
        <w:rPr>
          <w:b/>
          <w:i/>
          <w:iCs/>
        </w:rPr>
      </w:pPr>
      <w:r w:rsidRPr="00B46E79">
        <w:rPr>
          <w:b/>
          <w:i/>
          <w:iCs/>
        </w:rPr>
        <w:t>Ασθένειες ζώων</w:t>
      </w:r>
    </w:p>
    <w:p w14:paraId="54647DD0" w14:textId="7BEBBB9E" w:rsidR="00F166BD" w:rsidRPr="00B46E79" w:rsidRDefault="00B46E79" w:rsidP="00B46E79">
      <w:pPr>
        <w:widowControl/>
        <w:spacing w:after="240"/>
        <w:ind w:left="570" w:hanging="570"/>
        <w:rPr>
          <w:szCs w:val="24"/>
        </w:rPr>
      </w:pPr>
      <w:r w:rsidRPr="00B46E79">
        <w:rPr>
          <w:szCs w:val="24"/>
        </w:rPr>
        <w:t>78.</w:t>
      </w:r>
      <w:r w:rsidRPr="00B46E79">
        <w:rPr>
          <w:szCs w:val="24"/>
        </w:rPr>
        <w:tab/>
      </w:r>
      <w:r w:rsidR="00F166BD" w:rsidRPr="00B46E79">
        <w:t>τονίζει ότι οι ασθένειες των ζώων έχουν σημαντικές κοινωνικοοικονομικές και περιβαλλοντικές συνέπειες, καθώς και συνέπειες για την καλή διαβίωση των ζώων, σε επίπεδο γεωργικής εκμετάλλευσης, καθώς και σε υποεθνικό, εθνικό και περιφερειακό επίπεδο· επισημαίνει ότι ο αντίκτυπός τους στη ζωική παραγωγή θα επιδεινωθεί περαιτέρω από την αύξηση των θερμοκρασιών, των ταχυτήτων του ανέμου, και των ολοένα και συχνότερων ακραίων καιρικών φαινομένων που σχετίζονται με το κλίμα στην ΕΕ, ο οποίος πρέπει να αντιμετωπιστεί·</w:t>
      </w:r>
    </w:p>
    <w:p w14:paraId="2E3B7D3D" w14:textId="6DB4F953" w:rsidR="00F166BD" w:rsidRPr="00B46E79" w:rsidRDefault="00B46E79" w:rsidP="00B46E79">
      <w:pPr>
        <w:widowControl/>
        <w:spacing w:after="240"/>
        <w:ind w:left="570" w:hanging="570"/>
        <w:rPr>
          <w:szCs w:val="24"/>
        </w:rPr>
      </w:pPr>
      <w:r w:rsidRPr="00B46E79">
        <w:rPr>
          <w:szCs w:val="24"/>
        </w:rPr>
        <w:t>79.</w:t>
      </w:r>
      <w:r w:rsidRPr="00B46E79">
        <w:rPr>
          <w:szCs w:val="24"/>
        </w:rPr>
        <w:tab/>
      </w:r>
      <w:r w:rsidR="00F166BD" w:rsidRPr="00B46E79">
        <w:t>τονίζει την ανάγκη για ενισχυμένα μέτρα παρακολούθησης και πρόληψης για την αποφυγή της μετάδοσης, εντός της ΕΕ, νόσων των ζώων τόσο από χώρες της ΕΕ όσο και από τρίτες χώρες, και ζητεί τη συστηματική αξιολόγηση των τρωτών σημείων της βιοασφάλειας στην ΕΕ, με έμφαση στις οδούς εισόδου γνωστών και νέων νόσων·</w:t>
      </w:r>
    </w:p>
    <w:p w14:paraId="3B405D7C" w14:textId="68501C6A" w:rsidR="00F166BD" w:rsidRPr="00B46E79" w:rsidRDefault="00B46E79" w:rsidP="00B46E79">
      <w:pPr>
        <w:widowControl/>
        <w:spacing w:after="240"/>
        <w:ind w:left="570" w:hanging="570"/>
        <w:rPr>
          <w:szCs w:val="24"/>
        </w:rPr>
      </w:pPr>
      <w:r w:rsidRPr="00B46E79">
        <w:rPr>
          <w:szCs w:val="24"/>
        </w:rPr>
        <w:t>80.</w:t>
      </w:r>
      <w:r w:rsidRPr="00B46E79">
        <w:rPr>
          <w:szCs w:val="24"/>
        </w:rPr>
        <w:tab/>
      </w:r>
      <w:r w:rsidR="00F166BD" w:rsidRPr="00B46E79">
        <w:t xml:space="preserve">τονίζει ότι, στην ΕΕ, οποιαδήποτε αδυναμία πρόληψης ή ελέγχου των νόσων των ζώων σε ένα κράτος μέλος μπορεί να έχει άμεσες επιπτώσεις στα υπόλοιπα κράτη μέλη και απαιτεί συντονισμένη αντίδραση· τονίζει, ως εκ τούτου, τη σημασία και την οικονομική αποδοτικότητα της πρόληψης, ιδίως όσον αφορά τον εμβολιασμό, τον έγκαιρο εντοπισμό, την ετοιμότητα, την κατάλληλη ανταλλαγή πληροφοριών και τον συντονισμό μεταξύ των κρατών μελών, και των μέσων οικονομικής αποζημίωσης για τους κτηνοτρόφους που υφίστανται άμεσες και έμμεσες ζημίες από την εφαρμογή υγειονομικών μέτρων· </w:t>
      </w:r>
    </w:p>
    <w:p w14:paraId="2F4F2D19" w14:textId="790836AF" w:rsidR="00F166BD" w:rsidRPr="00B46E79" w:rsidRDefault="00B46E79" w:rsidP="00B46E79">
      <w:pPr>
        <w:widowControl/>
        <w:spacing w:after="240"/>
        <w:ind w:left="570" w:hanging="570"/>
        <w:rPr>
          <w:szCs w:val="24"/>
        </w:rPr>
      </w:pPr>
      <w:r w:rsidRPr="00B46E79">
        <w:rPr>
          <w:szCs w:val="24"/>
        </w:rPr>
        <w:t>81.</w:t>
      </w:r>
      <w:r w:rsidRPr="00B46E79">
        <w:rPr>
          <w:szCs w:val="24"/>
        </w:rPr>
        <w:tab/>
      </w:r>
      <w:r w:rsidR="00F166BD" w:rsidRPr="00B46E79">
        <w:t>καλεί την Επιτροπή και τα κράτη μέλη να παράσχουν τους αναγκαίους πόρους για την εφαρμογή αποτελεσματικών και αποδοτικών προγραμμάτων πρόληψης και ελέγχου, συμπεριλαμβανομένων της χρηματοδοτικής, κτηνιατρικής, τεχνικής και διοικητικής υποστήριξης, και για την έρευνα σχετικά με τη γενετική επιλογή ζώων με αυξημένη αντοχή στις αναδυόμενες νόσους·</w:t>
      </w:r>
    </w:p>
    <w:p w14:paraId="0B81E3C3" w14:textId="4084C0E2" w:rsidR="00F166BD" w:rsidRPr="00B46E79" w:rsidRDefault="00B46E79" w:rsidP="00B46E79">
      <w:pPr>
        <w:widowControl/>
        <w:spacing w:after="240"/>
        <w:ind w:left="570" w:hanging="570"/>
        <w:rPr>
          <w:szCs w:val="24"/>
        </w:rPr>
      </w:pPr>
      <w:r w:rsidRPr="00B46E79">
        <w:rPr>
          <w:szCs w:val="24"/>
        </w:rPr>
        <w:t>82.</w:t>
      </w:r>
      <w:r w:rsidRPr="00B46E79">
        <w:rPr>
          <w:szCs w:val="24"/>
        </w:rPr>
        <w:tab/>
      </w:r>
      <w:r w:rsidR="00F166BD" w:rsidRPr="00B46E79">
        <w:t>τονίζει ότι είναι σημαντικό να αναληφθεί έγκαιρη και αποτελεσματική δράση για τον έλεγχο της εξάπλωσης των ασθενειών των ζώων· καλεί την Επιτροπή να ενισχύσει ειδικό μηχανισμό έγκαιρης προειδοποίησης και αντίδρασης που θα ενεργοποιείται σε περίπτωση υπόνοιας ή επιβεβαιωμένης επιδημίας νόσων των ζώων, ώστε να διασφαλίζεται η ανταλλαγή πληροφοριών σε πραγματικό χρόνο μεταξύ των εθνικών αρχών και της Επιτροπής σχετικά με την επιδημιολογική κατάσταση, να διευκολυνθεί ο συντονισμός των μέτρων εκτίμησης κινδύνου και ελέγχου μεταξύ των κρατών μελών και να διασφαλιστεί η επαρκής επικοινωνία με όλα τα σχετικά ενδιαφερόμενα μέρη, ιδίως τους γεωργούς και τους καταναλωτές·</w:t>
      </w:r>
      <w:bookmarkStart w:id="21" w:name="_Hlk222076394"/>
    </w:p>
    <w:p w14:paraId="110B74DA" w14:textId="0E46004A" w:rsidR="00F166BD" w:rsidRPr="00B46E79" w:rsidRDefault="00B46E79" w:rsidP="00B46E79">
      <w:pPr>
        <w:widowControl/>
        <w:spacing w:after="240"/>
        <w:ind w:left="570" w:hanging="570"/>
        <w:rPr>
          <w:szCs w:val="24"/>
        </w:rPr>
      </w:pPr>
      <w:r w:rsidRPr="00B46E79">
        <w:rPr>
          <w:szCs w:val="24"/>
        </w:rPr>
        <w:t>83.</w:t>
      </w:r>
      <w:r w:rsidRPr="00B46E79">
        <w:rPr>
          <w:szCs w:val="24"/>
        </w:rPr>
        <w:tab/>
      </w:r>
      <w:r w:rsidR="00F166BD" w:rsidRPr="00B46E79">
        <w:t xml:space="preserve">εκφράζει την ικανοποίησή του για το γεγονός ότι, έως το 2023, η ΕΕ είχε ήδη επιτύχει κατά το ήμισυ τον στόχο, για το 2030, μείωσης κατά 50 % της πώλησης </w:t>
      </w:r>
      <w:bookmarkEnd w:id="21"/>
      <w:r w:rsidR="00F166BD" w:rsidRPr="00B46E79">
        <w:t xml:space="preserve">και της χρήσης </w:t>
      </w:r>
      <w:r w:rsidR="00F166BD" w:rsidRPr="00B46E79">
        <w:lastRenderedPageBreak/>
        <w:t>αντιμικροβιακών στην κτηνιατρική το 2023· τονίζει την ανάγκη να συνεχιστούν αυτές οι προσπάθειες και να αναπτυχθεί μια συντονισμένη προσέγγιση της ΕΕ για την πρόληψη και την ανίχνευση ασθενειών των ζώων με μέτρα έγκαιρης παρακολούθησης, εμβολιασμού και βιοπροφύλαξης, ώστε να αποφευχθεί η αύξηση των ζωικών ασθενειών που θα μπορούσε να υπονομεύσει την επίτευξη του στόχου μείωσης των αντιμικροβιακών·</w:t>
      </w:r>
    </w:p>
    <w:p w14:paraId="7F8E8DD5" w14:textId="3155249B" w:rsidR="00F166BD" w:rsidRPr="00B46E79" w:rsidRDefault="00B46E79" w:rsidP="00B46E79">
      <w:pPr>
        <w:widowControl/>
        <w:spacing w:after="240"/>
        <w:ind w:left="570" w:hanging="570"/>
        <w:rPr>
          <w:szCs w:val="24"/>
        </w:rPr>
      </w:pPr>
      <w:r w:rsidRPr="00B46E79">
        <w:rPr>
          <w:szCs w:val="24"/>
        </w:rPr>
        <w:t>84.</w:t>
      </w:r>
      <w:r w:rsidRPr="00B46E79">
        <w:rPr>
          <w:szCs w:val="24"/>
        </w:rPr>
        <w:tab/>
      </w:r>
      <w:r w:rsidR="00F166BD" w:rsidRPr="00B46E79">
        <w:t>τονίζει τη σημασία της ανάπτυξης προηγμένων διαγνωστικών εργαλείων, προγνωστικών μοντέλων και τεχνικών απολύμανσης· καλεί την Επιτροπή να εξετάσει την περαιτέρω ενίσχυση των προτύπων υγείας των ζώων σε επίπεδο ΕΕ για τη διασφάλιση της κτηνοτροφίας, συμπεριλαμβανομένων διατάξεων για τη μείωση ή τον αποκλεισμό των πληθυσμών άγριων ζώων που θέτουν κίνδυνο λοιμωδών νόσων, καθώς και για τον στοχευμένο εμβολιασμό των ζώων, όταν είναι αναγκαίο, συμπληρωματικά προς την υπεύθυνη επιλογή και εκτροφή ζωικού κεφαλαίου, η οποία μπορεί να συμβάλει στη μείωση εμφάνισης ενδημικών και αναδυόμενων νόσων·</w:t>
      </w:r>
    </w:p>
    <w:p w14:paraId="1AE41EE4" w14:textId="65C3B062" w:rsidR="00F166BD" w:rsidRPr="00B46E79" w:rsidRDefault="00B46E79" w:rsidP="00B46E79">
      <w:pPr>
        <w:widowControl/>
        <w:spacing w:after="240"/>
        <w:ind w:left="570" w:hanging="570"/>
        <w:rPr>
          <w:szCs w:val="24"/>
        </w:rPr>
      </w:pPr>
      <w:r w:rsidRPr="00B46E79">
        <w:rPr>
          <w:szCs w:val="24"/>
        </w:rPr>
        <w:t>85.</w:t>
      </w:r>
      <w:r w:rsidRPr="00B46E79">
        <w:rPr>
          <w:szCs w:val="24"/>
        </w:rPr>
        <w:tab/>
      </w:r>
      <w:r w:rsidR="00F166BD" w:rsidRPr="00B46E79">
        <w:t>καλεί την Επιτροπή να αναγνωρίσει τον ρόλο και να στηρίξει τον τομέα των κτηνιατρικών φαρμάκων στις προσπάθειές του να μεταφέρει βιοτεχνολογίες από το εργαστήριο στη γεωργική εκμετάλλευση, επιταχύνοντας και εξορθολογίζοντας τις κανονιστικές διαδικασίες, χρηματοδοτώντας και αναβαθμίζοντας τις βιοτεχνολογίες για την υγεία των ζώων, ενημερώνοντας τους γεωργούς και το ευρύ κοινό σχετικά με τα οφέλη τους, αναβαθμίζοντας τις δεξιότητες και επανειδικεύοντας το εργατικό δυναμικό και στηρίζοντας τη συλλογή δεδομένων και τη χρήση τεχνητής νοημοσύνης (ΤΝ) στις γεωργικές εκμεταλλεύσεις και στον τομέα της υγείας των ζώων·</w:t>
      </w:r>
    </w:p>
    <w:p w14:paraId="3C81C3B4" w14:textId="68167B58" w:rsidR="00F166BD" w:rsidRPr="00B46E79" w:rsidRDefault="00B46E79" w:rsidP="00B46E79">
      <w:pPr>
        <w:widowControl/>
        <w:spacing w:after="240"/>
        <w:ind w:left="570" w:hanging="570"/>
        <w:rPr>
          <w:szCs w:val="24"/>
        </w:rPr>
      </w:pPr>
      <w:r w:rsidRPr="00B46E79">
        <w:rPr>
          <w:szCs w:val="24"/>
        </w:rPr>
        <w:t>86.</w:t>
      </w:r>
      <w:r w:rsidRPr="00B46E79">
        <w:rPr>
          <w:szCs w:val="24"/>
        </w:rPr>
        <w:tab/>
      </w:r>
      <w:r w:rsidR="00F166BD" w:rsidRPr="00B46E79">
        <w:t>καλεί την Επιτροπή να βελτιώσει την παρακολούθηση και την υποβολή εκθέσεων σχετικά με τις εν λόγω δαπάνες, τόσο άμεσες όσο και έμμεσες, ώστε να αυξηθεί η αποτελεσματικότητα και η ταχύτητα των μέτρων στήριξης της ΕΕ και των κρατών μελών· σημειώνει, στο πλαίσιο αυτό, ότι ο FAO έχει αναπτύξει ένα νέο εργαλείο, γνωστό ως OutCosT (εργαλείο κοστολόγησης επιδημικών εξάρσεων), το οποίο επιτρέπει στις χώρες να αξιολογούν την οικονομική επιβάρυνση που συνδέεται με τις επιδημικές εξάρσεις ασθενειών των ζώων και τα μέτρα για τον έλεγχό τους·</w:t>
      </w:r>
    </w:p>
    <w:p w14:paraId="593DB70B" w14:textId="7EDD720E" w:rsidR="00F166BD" w:rsidRPr="00B46E79" w:rsidRDefault="00B46E79" w:rsidP="00B46E79">
      <w:pPr>
        <w:widowControl/>
        <w:spacing w:after="240"/>
        <w:ind w:left="570" w:hanging="570"/>
        <w:rPr>
          <w:szCs w:val="24"/>
        </w:rPr>
      </w:pPr>
      <w:r w:rsidRPr="00B46E79">
        <w:rPr>
          <w:szCs w:val="24"/>
        </w:rPr>
        <w:t>87.</w:t>
      </w:r>
      <w:r w:rsidRPr="00B46E79">
        <w:rPr>
          <w:szCs w:val="24"/>
        </w:rPr>
        <w:tab/>
      </w:r>
      <w:r w:rsidR="00F166BD" w:rsidRPr="00B46E79">
        <w:t>υποστηρίζει την έκκληση ομάδας κρατών μελών προς την Επιτροπή να προσαρμόσει την προσέγγιση της ΕΕ για την αντιμετώπιση των νόσων των ζώων χρησιμοποιώντας τον εμβολιασμό, όπου είναι δυνατό και ανάλογα με το είδος και τη νόσο, ως προληπτικό μέτρο και μέρος μιας ευρύτερης εργαλειοθήκης·</w:t>
      </w:r>
    </w:p>
    <w:p w14:paraId="2FA3F4FE" w14:textId="111E4DA7" w:rsidR="00F166BD" w:rsidRPr="00B46E79" w:rsidRDefault="00B46E79" w:rsidP="00B46E79">
      <w:pPr>
        <w:widowControl/>
        <w:spacing w:after="240"/>
        <w:ind w:left="570" w:hanging="570"/>
        <w:rPr>
          <w:szCs w:val="24"/>
        </w:rPr>
      </w:pPr>
      <w:r w:rsidRPr="00B46E79">
        <w:rPr>
          <w:szCs w:val="24"/>
        </w:rPr>
        <w:t>88.</w:t>
      </w:r>
      <w:r w:rsidRPr="00B46E79">
        <w:rPr>
          <w:szCs w:val="24"/>
        </w:rPr>
        <w:tab/>
      </w:r>
      <w:r w:rsidR="00F166BD" w:rsidRPr="00B46E79">
        <w:t>τονίζει, ωστόσο, ότι ο εμβολιασμός καθαυτός είναι ακόμη αποτελεσματικότερος εάν συμπληρωθεί από μέτρα βιοπροφύλαξης και επιτήρησης· τονίζει ότι τα μέτρα εμβολιασμού πρέπει να συνδυάζονται με προγράμματα γενετικής επιλογής για ανοσολογική ανθεκτικότητα, ιδίως για αυτόχθονες φυλές και σε ευάλωτες περιοχές, με στόχο τη μακροπρόθεσμη προστασία· υπογραμμίζει ότι οι προσπάθειες στον τομέα αυτό πρέπει να ενταθούν και να υποστηριχθούν μέσω προσβάσιμων και οικονομικά προσιτών εμβολίων, μέτρων βιοασφάλειας που είναι σωστά προσαρμοσμένα για το επίπεδο κινδύνου και πρόσθετης και ειδικής χρηματοδότησης για τους πληγέντες κτηνοτρόφους σε όλα τα κράτη μέλη δυνάμει της ΚΓΠ μετά το 2027·</w:t>
      </w:r>
    </w:p>
    <w:p w14:paraId="3FFA7F80" w14:textId="0D7B3333" w:rsidR="00F166BD" w:rsidRPr="00B46E79" w:rsidRDefault="00B46E79" w:rsidP="00B46E79">
      <w:pPr>
        <w:widowControl/>
        <w:spacing w:after="240"/>
        <w:ind w:left="570" w:hanging="570"/>
        <w:rPr>
          <w:szCs w:val="24"/>
        </w:rPr>
      </w:pPr>
      <w:r w:rsidRPr="00B46E79">
        <w:rPr>
          <w:szCs w:val="24"/>
        </w:rPr>
        <w:t>89.</w:t>
      </w:r>
      <w:r w:rsidRPr="00B46E79">
        <w:rPr>
          <w:szCs w:val="24"/>
        </w:rPr>
        <w:tab/>
      </w:r>
      <w:r w:rsidR="00F166BD" w:rsidRPr="00B46E79">
        <w:t xml:space="preserve">υπογραμμίζει τη σημασία μιας συντονισμένης προσέγγισης για την υγεία των ζώων, η οποία θα περιλαμβάνει προορατικές επενδύσεις στην έρευνα, τα συστήματα παρακολούθησης, την ανάπτυξη εμβολίων και θεραπευτικές επιλογές για τη διαχείριση </w:t>
      </w:r>
      <w:r w:rsidR="00F166BD" w:rsidRPr="00B46E79">
        <w:lastRenderedPageBreak/>
        <w:t>τόσο γνωστών όσο και αναδυόμενων νόσων· αναγνωρίζει την ανάπτυξη των εμβολίων DIVA (διαφοροποίηση των μολυσμένων από τα εμβολιασμένα ζώα), που επιτρέπουν τη διάκριση μεταξύ των ζώων που έχουν μολυνθεί από παθογόνο και εκείνων που έχουν εμβολιαστεί εναντίον του· καλεί, ως εκ τούτου, την Επιτροπή να λάβει υπόψη τις τελευταίες επιστημονικές εξελίξεις και να αναθεωρήσει τον κανονισμό (ΕΕ) 2016/429</w:t>
      </w:r>
      <w:r w:rsidR="00F166BD" w:rsidRPr="00B46E79">
        <w:rPr>
          <w:rStyle w:val="FootnoteReference"/>
          <w:szCs w:val="24"/>
        </w:rPr>
        <w:footnoteReference w:id="34"/>
      </w:r>
      <w:r w:rsidR="00F166BD" w:rsidRPr="00B46E79">
        <w:t xml:space="preserve"> με στόχο τη δημιουργία μιας νέας κατηγορίας υγειονομικού καθεστώτος με τίτλο «απαλλαγμένο από νόσο με εμβολιασμό»· καλεί την Επιτροπή να προωθήσει τις επενδύσεις στην έρευνα και την ανάπτυξη σχετικά με τα εμβόλια DIVA μέσω του προγράμματος «Ορίζων Ευρώπη» και να επιταχύνει τη χρήση τους από τους γεωργούς·</w:t>
      </w:r>
    </w:p>
    <w:p w14:paraId="5AD5D36A" w14:textId="4F8FCC03" w:rsidR="00E40508" w:rsidRPr="00B46E79" w:rsidRDefault="00B46E79" w:rsidP="00B46E79">
      <w:pPr>
        <w:widowControl/>
        <w:spacing w:after="240"/>
        <w:ind w:left="570" w:hanging="570"/>
        <w:rPr>
          <w:rStyle w:val="Bold"/>
          <w:b w:val="0"/>
          <w:bCs/>
        </w:rPr>
      </w:pPr>
      <w:r w:rsidRPr="00B46E79">
        <w:rPr>
          <w:rStyle w:val="Bold"/>
          <w:b w:val="0"/>
          <w:bCs/>
        </w:rPr>
        <w:t>90.</w:t>
      </w:r>
      <w:r w:rsidRPr="00B46E79">
        <w:rPr>
          <w:rStyle w:val="Bold"/>
          <w:b w:val="0"/>
          <w:bCs/>
        </w:rPr>
        <w:tab/>
      </w:r>
      <w:r w:rsidR="00F166BD" w:rsidRPr="00B46E79">
        <w:t>καλεί την Επιτροπή να στηρίξει τις επενδύσεις στη βιοασφάλεια στις γεωργικές εκμεταλλεύσεις μέσω αυξημένης χρηματοδότησης, μεταξύ άλλων και εκτός της ΚΓΠ· καλεί περαιτέρω την Επιτροπή να ενισχύσει τα μέτρα για την υγεία των ζώων στον γεωργικό τομέα της ΕΕ συντονίζοντας την έρευνα, την κοινή αγορά, τη δημιουργία αποθεμάτων και την προμήθεια κτηνιατρικών εμβολίων, νέων αντιγόνων και διαγνωστικού αντιδραστηρίου και ανοσολογικών κτηνιατρικών φαρμάκων σε επίπεδο ΕΕ μέσω ενός μηχανισμού ετοιμότητας και έγκαιρης προειδοποίησης, καθώς και προωθώντας την ανάπτυξη των προϊόντων αυτών στην ΕΕ·</w:t>
      </w:r>
      <w:r w:rsidR="00F166BD" w:rsidRPr="00B46E79">
        <w:rPr>
          <w:rStyle w:val="Bold"/>
        </w:rPr>
        <w:t xml:space="preserve"> </w:t>
      </w:r>
      <w:r w:rsidR="00F166BD" w:rsidRPr="00B46E79">
        <w:rPr>
          <w:rStyle w:val="Bold"/>
          <w:b w:val="0"/>
          <w:bCs/>
        </w:rPr>
        <w:t xml:space="preserve">ζητεί από την Επιτροπή να διασφαλίσει επαρκή χρηματοδότηση για τον μηχανισμό αυτόν· </w:t>
      </w:r>
    </w:p>
    <w:p w14:paraId="2579E1F7" w14:textId="7EDC7837" w:rsidR="00F166BD" w:rsidRPr="00B46E79" w:rsidRDefault="00B46E79" w:rsidP="00B46E79">
      <w:pPr>
        <w:widowControl/>
        <w:spacing w:after="240"/>
        <w:ind w:left="570" w:hanging="570"/>
        <w:rPr>
          <w:rStyle w:val="Bold"/>
          <w:b w:val="0"/>
          <w:bCs/>
          <w:szCs w:val="24"/>
        </w:rPr>
      </w:pPr>
      <w:r w:rsidRPr="00B46E79">
        <w:rPr>
          <w:rStyle w:val="Bold"/>
          <w:b w:val="0"/>
          <w:bCs/>
          <w:szCs w:val="24"/>
        </w:rPr>
        <w:t>91.</w:t>
      </w:r>
      <w:r w:rsidRPr="00B46E79">
        <w:rPr>
          <w:rStyle w:val="Bold"/>
          <w:b w:val="0"/>
          <w:bCs/>
          <w:szCs w:val="24"/>
        </w:rPr>
        <w:tab/>
      </w:r>
      <w:r w:rsidR="00F166BD" w:rsidRPr="00B46E79">
        <w:rPr>
          <w:rStyle w:val="Bold"/>
          <w:b w:val="0"/>
          <w:bCs/>
        </w:rPr>
        <w:t xml:space="preserve">ενθαρρύνει τη δημιουργία στρατηγικών αποθεμάτων, ώστε να καταστεί δυνατή η ταχύτερη αντίδραση νέων επιδημιών· τονίζει την επείγουσα ανάγκη να θεσπιστεί ένα κεντρικό και εναρμονισμένο σύστημα τράπεζας δεδομένων για τους εμβολιασμούς ζώων σε όλα τα κράτη μέλη· επισημαίνει ότι ένα τέτοιο σύστημα θα ενίσχυε την ιχνηλασιμότητα, θα βελτίωνε την επιτήρηση των νόσων, θα στήριζε την έγκαιρη αντίδραση σε επιδημικές εξάρσεις και θα συνέβαλλε στη συνολική αποτελεσματικότητα των πολιτικών της ΕΕ για την υγεία των ζώων και την ασφάλεια των τροφίμων· σημειώνει ότι μια ολοκληρωμένη τράπεζα δεδομένων εμβολιασμού θα διευκόλυνε τη διασυνοριακή συνεργασία, θα διασφάλιζε τη συμμόρφωση με τα πρότυπα της ΕΕ και θα παρείχε πολύτιμες πληροφορίες για την ανάπτυξη πολιτικής, την έρευνα και τη βιώσιμη διαχείριση της υγείας του ζωικού κεφαλαίου· </w:t>
      </w:r>
    </w:p>
    <w:p w14:paraId="4FDE92A0" w14:textId="4B437B77" w:rsidR="00F166BD" w:rsidRPr="00B46E79" w:rsidRDefault="00B46E79" w:rsidP="00B46E79">
      <w:pPr>
        <w:widowControl/>
        <w:spacing w:after="240"/>
        <w:ind w:left="570" w:hanging="570"/>
        <w:rPr>
          <w:szCs w:val="24"/>
        </w:rPr>
      </w:pPr>
      <w:r w:rsidRPr="00B46E79">
        <w:rPr>
          <w:szCs w:val="24"/>
        </w:rPr>
        <w:t>92.</w:t>
      </w:r>
      <w:r w:rsidRPr="00B46E79">
        <w:rPr>
          <w:szCs w:val="24"/>
        </w:rPr>
        <w:tab/>
      </w:r>
      <w:r w:rsidR="00F166BD" w:rsidRPr="00B46E79">
        <w:t>υποστηρίζει την έρευνα σχετικά με νέες τεχνολογίες για την αδρανοποίηση των ιών στα τρόφιμα, όπως η επεξεργασία υψηλής πίεσης, η οποία ως μέθοδος φαίνεται πολλά υποσχόμενη για τη διατήρηση της ασφάλειας και της ποιότητας των τροφίμων· υπογραμμίζει τη σημασία της ειδικής διατροφής των ζώων και των σκευασμάτων ζωοτροφών για την πρόληψη της εξάπλωσης ορισμένων νόσων και τη βελτίωση της συνολικής υγείας και ανθεκτικότητας των ζώων·</w:t>
      </w:r>
    </w:p>
    <w:p w14:paraId="28ABF26C" w14:textId="2A57E50F" w:rsidR="00F166BD" w:rsidRPr="00B46E79" w:rsidRDefault="00B46E79" w:rsidP="00B46E79">
      <w:pPr>
        <w:widowControl/>
        <w:spacing w:after="240"/>
        <w:ind w:left="570" w:hanging="570"/>
        <w:rPr>
          <w:szCs w:val="24"/>
        </w:rPr>
      </w:pPr>
      <w:r w:rsidRPr="00B46E79">
        <w:rPr>
          <w:szCs w:val="24"/>
        </w:rPr>
        <w:t>93.</w:t>
      </w:r>
      <w:r w:rsidRPr="00B46E79">
        <w:rPr>
          <w:szCs w:val="24"/>
        </w:rPr>
        <w:tab/>
      </w:r>
      <w:r w:rsidR="00F166BD" w:rsidRPr="00B46E79">
        <w:t>παροτρύνει την Επιτροπή και τα κράτη μέλη να στηρίξουν και να συνεργαστούν με τις περιφερειακές αρχές και να διαβουλεύονται με τους γεωργούς για την κατάρτιση και την εφαρμογή σχεδίων πρόληψης, εμβολιασμού και μετριασμού των εν λόγω ασθενειών αποφεύγοντας, συνάμα, όσο το δυνατόν περισσότερο τη θανάτωση ζώων·</w:t>
      </w:r>
    </w:p>
    <w:p w14:paraId="677FDB18" w14:textId="4D6A4CF9" w:rsidR="00F166BD" w:rsidRPr="00B46E79" w:rsidRDefault="00B46E79" w:rsidP="00B46E79">
      <w:pPr>
        <w:widowControl/>
        <w:spacing w:after="240"/>
        <w:ind w:left="570" w:hanging="570"/>
        <w:rPr>
          <w:szCs w:val="24"/>
        </w:rPr>
      </w:pPr>
      <w:r w:rsidRPr="00B46E79">
        <w:rPr>
          <w:szCs w:val="24"/>
        </w:rPr>
        <w:lastRenderedPageBreak/>
        <w:t>94.</w:t>
      </w:r>
      <w:r w:rsidRPr="00B46E79">
        <w:rPr>
          <w:szCs w:val="24"/>
        </w:rPr>
        <w:tab/>
      </w:r>
      <w:r w:rsidR="00F166BD" w:rsidRPr="00B46E79">
        <w:t>ζητεί μεγαλύτερη συνεργασία μεταξύ της ΕΕ, των ενδιαφερόμενων μερών του κλάδου και των διεθνών εταίρων, διασφαλίζοντας την αποτελεσματική κατανομή των πόρων και την ανταλλαγή γνώσεων για την ενίσχυση της διαχείρισης και της πρόληψης των νόσων·</w:t>
      </w:r>
    </w:p>
    <w:p w14:paraId="2F051AF6" w14:textId="5A848333" w:rsidR="00F166BD" w:rsidRPr="00B46E79" w:rsidRDefault="00B46E79" w:rsidP="00B46E79">
      <w:pPr>
        <w:widowControl/>
        <w:spacing w:after="240"/>
        <w:ind w:left="570" w:hanging="570"/>
        <w:rPr>
          <w:szCs w:val="24"/>
        </w:rPr>
      </w:pPr>
      <w:r w:rsidRPr="00B46E79">
        <w:rPr>
          <w:szCs w:val="24"/>
        </w:rPr>
        <w:t>95.</w:t>
      </w:r>
      <w:r w:rsidRPr="00B46E79">
        <w:rPr>
          <w:szCs w:val="24"/>
        </w:rPr>
        <w:tab/>
      </w:r>
      <w:r w:rsidR="00F166BD" w:rsidRPr="00B46E79">
        <w:t>καλεί την Επιτροπή να αυξήσει τη χρηματοδότηση της ΕΕ για προγράμματα εξάλειψης και ελέγχου στα κράτη μέλη· συνιστά τη θέσπιση ολοκληρωμένων συστημάτων οικονομικής στήριξης, συμπεριλαμβανομένων συστημάτων αποζημίωσης που θα καλύπτουν ολόκληρη την αλυσίδα εφοδιασμού, ώστε να διασφαλίζεται ότι όλα τα θιγόμενα μέρη, κυρίως οι κτηνοτρόφοι, λαμβάνουν επαρκή βοήθεια· τονίζει ότι, σε περιπτώσεις σοβαρών εξάρσεων νόσων των ζώων που προκαλούν σημαντικές οικονομικές απώλειες, πρέπει να διατίθεται ταχεία χρηματοδοτική ενίσχυση για τη μείωση της αβεβαιότητας και τη διατήρηση της οικονομικής συνέχειας· καλεί τα κράτη μέλη να εξορθολογίσουν την αξιολόγηση των αιτήσεων στήριξης, να εξαλείψουν τους περιττούς διοικητικούς φραγμούς και να ορίσουν σαφείς προθεσμίες για την εκταμίευση της ενίσχυσης, ώστε να βοηθηθούν οι γεωργοί να σχεδιάσουν καλύτερα και να σταθεροποιήσουν τις δραστηριότητές τους·</w:t>
      </w:r>
    </w:p>
    <w:p w14:paraId="71E810C7" w14:textId="060B67F4" w:rsidR="00F166BD" w:rsidRPr="00B46E79" w:rsidRDefault="00B46E79" w:rsidP="00B46E79">
      <w:pPr>
        <w:widowControl/>
        <w:spacing w:after="240"/>
        <w:ind w:left="570" w:hanging="570"/>
        <w:rPr>
          <w:szCs w:val="24"/>
        </w:rPr>
      </w:pPr>
      <w:r w:rsidRPr="00B46E79">
        <w:rPr>
          <w:szCs w:val="24"/>
        </w:rPr>
        <w:t>96.</w:t>
      </w:r>
      <w:r w:rsidRPr="00B46E79">
        <w:rPr>
          <w:szCs w:val="24"/>
        </w:rPr>
        <w:tab/>
      </w:r>
      <w:r w:rsidR="00F166BD" w:rsidRPr="00B46E79">
        <w:t>εκφράζει την ικανοποίησή του για την πρόταση της Επιτροπής, στη δέσμη μέτρων για την απλούστευση και την ανταγωνιστικότητα της ΚΓΠ του 2025, να ενισχυθεί η ικανότητα της ΚΓΠ να παρέχει χρηματοδοτική και επιχειρησιακή στήριξη σε γεωργούς που πλήττονται από φυσικές καταστροφές, δυσμενή καιρικά φαινόμενα που σχετίζονται με το κλίμα ή ασθένειες των ζώων, με τη θέσπιση μιας πρόσθετης ενίσχυσης για την αντιμετώπιση κρίσεων την οποία θα μπορούσαν να κινητοποιήσουν τα κράτη μέλη στο πλαίσιο των ταμείων αγροτικής ανάπτυξης· θεωρεί ότι η μελλοντική ΚΓΠ πρέπει επίσης να στηρίζει ενεργά την ικανότητα των γεωργών να αντιμετωπίζουν την εξάπλωση ζωικών ασθενειών και επιδημιών, ιδίως με την πρόβλεψη ενός σημαντικά μεγαλύτερου προϋπολογισμού για εργαλεία διαχείρισης κρίσεων και το αποθεματικό για τις κρίσεις στον γεωργικό τομέα που θα μπορεί να ενεργοποιείται γρήγορα και αποτελεσματικά για τη στήριξη των πληττόμενων γεωργών·</w:t>
      </w:r>
    </w:p>
    <w:p w14:paraId="6ED89215" w14:textId="53226497" w:rsidR="00F166BD" w:rsidRPr="00B46E79" w:rsidRDefault="00B46E79" w:rsidP="00B46E79">
      <w:pPr>
        <w:widowControl/>
        <w:spacing w:after="240"/>
        <w:ind w:left="570" w:hanging="570"/>
        <w:rPr>
          <w:szCs w:val="24"/>
        </w:rPr>
      </w:pPr>
      <w:r w:rsidRPr="00B46E79">
        <w:rPr>
          <w:szCs w:val="24"/>
        </w:rPr>
        <w:t>97.</w:t>
      </w:r>
      <w:r w:rsidRPr="00B46E79">
        <w:rPr>
          <w:szCs w:val="24"/>
        </w:rPr>
        <w:tab/>
      </w:r>
      <w:r w:rsidR="00F166BD" w:rsidRPr="00B46E79">
        <w:t>καλεί τα κράτη μέλη να συμπληρώσουν αυτήν την πρωτοβουλία αναπτύσσοντας περαιτέρω συστήματα διαχείρισης κινδύνων που είναι προσαρμοσμένα σε καταστάσεις κρίσης σχετιζόμενες με ασθένειες των ζώων, συμπεριλαμβανομένης της διευκόλυνσης της πρόσβασης σε ασφαλιστικά συστήματα και ταμεία αλληλοβοήθειας· καλεί την Επιτροπή να προτείνει τη δημιουργία ενός νέου ευρωπαϊκού μέσου αντασφάλισης που θα καθιστά δυνατή την κάλυψη των κινδύνων που συνδέονται με τις νέες επιζωοτίες και τη διασφάλιση ότι όλες οι γεωργικές εκμεταλλεύσεις έχουν πρόσβαση σε κατάλληλες ασφαλιστικές συμβάσεις για την προστασία από αυτές τις επιζωοτίες·</w:t>
      </w:r>
    </w:p>
    <w:p w14:paraId="05693023" w14:textId="10B4EB26" w:rsidR="00F166BD" w:rsidRPr="00B46E79" w:rsidRDefault="00B46E79" w:rsidP="00B46E79">
      <w:pPr>
        <w:widowControl/>
        <w:spacing w:after="240"/>
        <w:ind w:left="570" w:hanging="570"/>
        <w:rPr>
          <w:szCs w:val="24"/>
        </w:rPr>
      </w:pPr>
      <w:r w:rsidRPr="00B46E79">
        <w:rPr>
          <w:szCs w:val="24"/>
        </w:rPr>
        <w:t>98.</w:t>
      </w:r>
      <w:r w:rsidRPr="00B46E79">
        <w:rPr>
          <w:szCs w:val="24"/>
        </w:rPr>
        <w:tab/>
      </w:r>
      <w:r w:rsidR="00F166BD" w:rsidRPr="00B46E79">
        <w:t>καλεί την Επιτροπή να αξιολογήσει κατά πόσον είναι σκόπιμη η δημιουργία ενός Ευρωπαϊκού Ταμείου για την Υγεία των Ζώων, ώστε να παρέχεται ταχεία και δίκαιη ισότιμη σε περίπτωση επιδημικής έξαρσης· τονίζει ότι, δεδομένων των κινδύνων που ενέχουν οι διάφορες ασθένειες των ζώων, είναι σημαντικό να διατεθούν κονδύλια για τη γενετική βελτίωση των ζώων, προκειμένου να δημιουργηθούν φυλές πιο ανθεκτικές στις ασθένειες, ενισχύοντας έτσι την επισιτιστική ασφάλεια της ΕΕ έναντι πιθανών υγειονομικών κρίσεων·</w:t>
      </w:r>
    </w:p>
    <w:p w14:paraId="2F684F9C" w14:textId="68037F87" w:rsidR="00F166BD" w:rsidRPr="00B46E79" w:rsidRDefault="00B46E79" w:rsidP="00B46E79">
      <w:pPr>
        <w:widowControl/>
        <w:spacing w:after="240"/>
        <w:ind w:left="570" w:hanging="570"/>
        <w:rPr>
          <w:szCs w:val="24"/>
        </w:rPr>
      </w:pPr>
      <w:r w:rsidRPr="00B46E79">
        <w:rPr>
          <w:szCs w:val="24"/>
        </w:rPr>
        <w:t>99.</w:t>
      </w:r>
      <w:r w:rsidRPr="00B46E79">
        <w:rPr>
          <w:szCs w:val="24"/>
        </w:rPr>
        <w:tab/>
      </w:r>
      <w:r w:rsidR="00F166BD" w:rsidRPr="00B46E79">
        <w:t xml:space="preserve">παροτρύνει την Επιτροπή να συνεργαστεί με τους διεθνείς εμπορικούς εταίρους για να διασφαλίσει ότι γίνονται αποδεκτές οι απαγορεύσεις του εμπορίου σε περιφερειακό επίπεδο και οι αναγνωρισμένες θεραπείες αδρανοποίησης, όπως το μαγείρεμα και η </w:t>
      </w:r>
      <w:r w:rsidR="00F166BD" w:rsidRPr="00B46E79">
        <w:lastRenderedPageBreak/>
        <w:t>μακρά αλάτιση, μειώνοντας τις περιττές οικονομικές ζημίες στον κτηνοτροφικό κλάδο της ΕΕ·</w:t>
      </w:r>
    </w:p>
    <w:p w14:paraId="4FC2E38B" w14:textId="21B292C5" w:rsidR="00F166BD" w:rsidRPr="00B46E79" w:rsidRDefault="00B46E79" w:rsidP="00B46E79">
      <w:pPr>
        <w:widowControl/>
        <w:spacing w:after="240"/>
        <w:ind w:left="570" w:hanging="570"/>
        <w:rPr>
          <w:szCs w:val="24"/>
        </w:rPr>
      </w:pPr>
      <w:r w:rsidRPr="00B46E79">
        <w:rPr>
          <w:szCs w:val="24"/>
        </w:rPr>
        <w:t>100.</w:t>
      </w:r>
      <w:r w:rsidRPr="00B46E79">
        <w:rPr>
          <w:szCs w:val="24"/>
        </w:rPr>
        <w:tab/>
      </w:r>
      <w:r w:rsidR="00F166BD" w:rsidRPr="00B46E79">
        <w:t>παροτρύνει επίσης την Επιτροπή να ελέγξει τη σκοπιμότητα, σε ορισμένες ειδικές περιπτώσεις, του μηχανισμού οριοθέτησης με βάση τις πρακτικές διαχείρισης της βιοπροφύλαξης και κτηνοτροφίας, επαληθεύοντας την εφαρμογή του στο διεθνές πλαίσιο και από κοινού με τους πλέον αξιόπιστους εμπορικούς εταίρους της ΕΕ·</w:t>
      </w:r>
    </w:p>
    <w:p w14:paraId="02A03D77" w14:textId="18503E54" w:rsidR="00F166BD" w:rsidRPr="00B46E79" w:rsidRDefault="00B46E79" w:rsidP="00B46E79">
      <w:pPr>
        <w:widowControl/>
        <w:spacing w:after="240"/>
        <w:ind w:left="570" w:hanging="570"/>
        <w:rPr>
          <w:szCs w:val="24"/>
        </w:rPr>
      </w:pPr>
      <w:r w:rsidRPr="00B46E79">
        <w:rPr>
          <w:szCs w:val="24"/>
        </w:rPr>
        <w:t>101.</w:t>
      </w:r>
      <w:r w:rsidRPr="00B46E79">
        <w:rPr>
          <w:szCs w:val="24"/>
        </w:rPr>
        <w:tab/>
      </w:r>
      <w:r w:rsidR="00F166BD" w:rsidRPr="00B46E79">
        <w:t>προτρέπει την Επιτροπή να αξιολογήσει τους κινδύνους που απορρέουν από τον αυξανόμενο αριθμό άγριων οπληφόρων και τις επιπτώσεις τους στην υγεία των ζώων, τη δημόσια υγεία και τη βιοποικιλότητα· θεωρεί απαραίτητη, στο πλαίσιο αυτό, την εφαρμογή οριζόντιων μέτρων που αποσκοπούν στην επαρκή διαχείριση αυτού του υπερπληθυσμού·</w:t>
      </w:r>
    </w:p>
    <w:p w14:paraId="5862BC45" w14:textId="77777777" w:rsidR="00F166BD" w:rsidRPr="00B46E79" w:rsidRDefault="00F166BD" w:rsidP="00E40508">
      <w:pPr>
        <w:pStyle w:val="NormalHanging12a"/>
        <w:rPr>
          <w:b/>
          <w:i/>
        </w:rPr>
      </w:pPr>
      <w:r w:rsidRPr="00B46E79">
        <w:rPr>
          <w:b/>
          <w:i/>
        </w:rPr>
        <w:t>Εμπορικές πτυχές</w:t>
      </w:r>
    </w:p>
    <w:p w14:paraId="5EDD8C31" w14:textId="00C5A219" w:rsidR="00F166BD" w:rsidRPr="00B46E79" w:rsidRDefault="00B46E79" w:rsidP="00B46E79">
      <w:pPr>
        <w:widowControl/>
        <w:spacing w:after="240"/>
        <w:ind w:left="570" w:hanging="570"/>
        <w:rPr>
          <w:szCs w:val="24"/>
        </w:rPr>
      </w:pPr>
      <w:r w:rsidRPr="00B46E79">
        <w:rPr>
          <w:szCs w:val="24"/>
        </w:rPr>
        <w:t>102.</w:t>
      </w:r>
      <w:r w:rsidRPr="00B46E79">
        <w:rPr>
          <w:szCs w:val="24"/>
        </w:rPr>
        <w:tab/>
      </w:r>
      <w:r w:rsidR="00F166BD" w:rsidRPr="00B46E79">
        <w:t>υπογραμμίζει ότι ο κτηνοτροφικός τομέας της ΕΕ είναι ιδιαίτερα ευάλωτος σε διάφορους εξωτερικούς κλυδωνισμούς, συμπεριλαμβανομένων κρίσεων στον τομέα της υγείας, ακραίων καιρικών φαινομένων, αστάθειας των τιμών και διαταραχών στις αλυσίδες εφοδιασμού, καθώς και στον αυξανόμενο ανταγωνισμό από τρίτες χώρες, τα προϊόντα των οποίων δεν πληρούν πάντα τα υψηλά πρότυπα της ΕΕ για το περιβάλλον, την καλή διαβίωση των ζώων, την υγεία και την ασφάλεια των τροφίμων, γεγονός που εξηγεί τις ανησυχίες που εκφράζουν οι γεωργοί για την έλλειψη αμοιβαιότητας και αθέμιτο παγκόσμιο ανταγωνισμό· τονίζει, ως εκ τούτου, την ανάγκη διασφάλισης ισότιμων όρων ανταγωνισμού στη διεθνή αγορά για την προστασία της οικονομικής βιωσιμότητας των ευρωπαϊκών επιχειρήσεων και τη διασφάλιση αμοιβαίων προτύπων στις εμπορικές συμφωνίες· ζητεί, ως εκ τούτου, να λαμβάνεται υπόψη ο ευάλωτος χαρακτήρας του τομέα κατά τη σύναψη εμπορικών συμφωνιών·</w:t>
      </w:r>
    </w:p>
    <w:p w14:paraId="74581E92" w14:textId="3DC6FD04" w:rsidR="00F166BD" w:rsidRPr="00B46E79" w:rsidRDefault="00B46E79" w:rsidP="00B46E79">
      <w:pPr>
        <w:widowControl/>
        <w:spacing w:after="240"/>
        <w:ind w:left="570" w:hanging="570"/>
        <w:rPr>
          <w:szCs w:val="24"/>
        </w:rPr>
      </w:pPr>
      <w:r w:rsidRPr="00B46E79">
        <w:rPr>
          <w:szCs w:val="24"/>
        </w:rPr>
        <w:t>103.</w:t>
      </w:r>
      <w:r w:rsidRPr="00B46E79">
        <w:rPr>
          <w:szCs w:val="24"/>
        </w:rPr>
        <w:tab/>
      </w:r>
      <w:r w:rsidR="00F166BD" w:rsidRPr="00B46E79">
        <w:t xml:space="preserve">ζητεί να δημιουργηθεί ένα ειδικό μέσο στο πλαίσιο του επόμενου πολυετούς δημοσιονομικού πλαισίου το οποίο θα παρέχει στοχευμένη στήριξη των γεωργικών τομέων, συμπεριλαμβανομένου του κτηνοτροφικού τομέα, που μπορεί να αντιμετωπίσει διαταραχές ή να απαιτεί προσαρμογές λόγω των επιπτώσεων των εν εξελίξει εμπορικών συμφωνιών· </w:t>
      </w:r>
    </w:p>
    <w:p w14:paraId="7399C105" w14:textId="07102CC2" w:rsidR="00F166BD" w:rsidRPr="00B46E79" w:rsidRDefault="00B46E79" w:rsidP="00B46E79">
      <w:pPr>
        <w:widowControl/>
        <w:spacing w:after="240"/>
        <w:ind w:left="570" w:hanging="570"/>
        <w:rPr>
          <w:szCs w:val="24"/>
        </w:rPr>
      </w:pPr>
      <w:r w:rsidRPr="00B46E79">
        <w:rPr>
          <w:szCs w:val="24"/>
        </w:rPr>
        <w:t>104.</w:t>
      </w:r>
      <w:r w:rsidRPr="00B46E79">
        <w:rPr>
          <w:szCs w:val="24"/>
        </w:rPr>
        <w:tab/>
      </w:r>
      <w:r w:rsidR="00F166BD" w:rsidRPr="00B46E79">
        <w:t>επισημαίνει ότι, σε ένα πλαίσιο όπου η κατανάλωση ζωικών προϊόντων και κρέατος ιδίως στην ΕΕ είναι – στην καλύτερη περίπτωση – στάσιμη, αλλά η παγκόσμια ζήτηση για ζωικές πρωτεΐνες αναμένεται να αυξηθεί, θα πρέπει να αναγνωριστεί η οικονομική σημασία των εξαγωγών και της θέσης της ΕΕ ως παγκόσμιας ηγέτιδας σε μια γεωργία φιλική προς το κλίμα και τα ζώα, η οποία εξάγει γνώσεις, τεχνολογία και πρακτικές για τη μετάβαση προς τη βιωσιμότητα στις παγκόσμιες αγορές, ενώ παράλληλα διασφαλίζεται η επισιτιστική κυριαρχία της ΕΕ· τονίζει ότι αυτό θα μπορούσε να τονώσει την έρευνα, την καινοτομία, τις επενδύσεις και την απασχόληση· υπογραμμίζει ότι, στο πλαίσιο αυτό, οι επενδύσεις στη βελτίωση της ποιότητας του ζωικού κεφαλαίου και της γενετικής ιχνηλασιμότητας καθίστανται απαραίτητες για την κάλυψη της παγκόσμιας ζήτησης για ζωικά προϊόντα υψηλής διατροφικής αξίας·</w:t>
      </w:r>
    </w:p>
    <w:p w14:paraId="6C8ED1ED" w14:textId="4CB8788D" w:rsidR="00F166BD" w:rsidRPr="00B46E79" w:rsidRDefault="00B46E79" w:rsidP="00B46E79">
      <w:pPr>
        <w:widowControl/>
        <w:spacing w:after="240"/>
        <w:ind w:left="570" w:hanging="570"/>
        <w:rPr>
          <w:szCs w:val="24"/>
        </w:rPr>
      </w:pPr>
      <w:r w:rsidRPr="00B46E79">
        <w:rPr>
          <w:szCs w:val="24"/>
        </w:rPr>
        <w:t>105.</w:t>
      </w:r>
      <w:r w:rsidRPr="00B46E79">
        <w:rPr>
          <w:szCs w:val="24"/>
        </w:rPr>
        <w:tab/>
      </w:r>
      <w:r w:rsidR="00F166BD" w:rsidRPr="00B46E79">
        <w:t xml:space="preserve">εκφράζει τη λύπη του για το γεγονός ότι τα φιλόδοξα πρότυπα και οι στόχοι της ΕΕ για την υγεία, την καλή διαβίωση των ζώων, το περιβάλλον και τη βιωσιμότητα δεν αντιμετωπίζονται πάντα αμοιβαία από τους εμπορικούς εταίρους μας· επιμένει, ως εκ τούτου, ότι οι κτηνοτρόφοι της ΕΕ δεν ανταγωνίζονται με ίσους όρους ανταγωνισμού </w:t>
      </w:r>
      <w:r w:rsidR="00F166BD" w:rsidRPr="00B46E79">
        <w:lastRenderedPageBreak/>
        <w:t>τους παραγωγούς εκτός ΕΕ, τόσο στις διεθνείς αγορές όσο και στην εσωτερική αγορά της ΕΕ·</w:t>
      </w:r>
    </w:p>
    <w:p w14:paraId="3E186DB4" w14:textId="7C57CB32" w:rsidR="00F166BD" w:rsidRPr="00B46E79" w:rsidRDefault="00B46E79" w:rsidP="00B46E79">
      <w:pPr>
        <w:widowControl/>
        <w:spacing w:after="240"/>
        <w:ind w:left="570" w:hanging="570"/>
        <w:rPr>
          <w:szCs w:val="24"/>
        </w:rPr>
      </w:pPr>
      <w:r w:rsidRPr="00B46E79">
        <w:rPr>
          <w:szCs w:val="24"/>
        </w:rPr>
        <w:t>106.</w:t>
      </w:r>
      <w:r w:rsidRPr="00B46E79">
        <w:rPr>
          <w:szCs w:val="24"/>
        </w:rPr>
        <w:tab/>
      </w:r>
      <w:r w:rsidR="00F166BD" w:rsidRPr="00B46E79">
        <w:t>σημειώνει ότι, ενώ όλες οι εισαγωγές τροφίμων που διατίθενται στην αγορά της ΕΕ πρέπει να συμμορφώνονται με τα σχετικά και υψηλά πρότυπα της ΕΕ σχετικά με τα τελικά προϊόντα, τα οποία εφαρμόζονται ανεξάρτητα από το αν το προϊόν παράγεται στην εγχώρια αγορά ή εισάγεται, οι απαιτήσεις παραγωγής (οι οποίες αναφέρονται ως «διαδικασίες και μέθοδοι παραγωγής») συνήθως δεν επιβάλλονται στα εισαγόμενα προϊόντα·</w:t>
      </w:r>
    </w:p>
    <w:p w14:paraId="4A356EED" w14:textId="724CA7C7" w:rsidR="00F166BD" w:rsidRPr="00B46E79" w:rsidRDefault="00B46E79" w:rsidP="00B46E79">
      <w:pPr>
        <w:widowControl/>
        <w:spacing w:after="240"/>
        <w:ind w:left="570" w:hanging="570"/>
        <w:rPr>
          <w:szCs w:val="24"/>
        </w:rPr>
      </w:pPr>
      <w:r w:rsidRPr="00B46E79">
        <w:rPr>
          <w:szCs w:val="24"/>
        </w:rPr>
        <w:t>107.</w:t>
      </w:r>
      <w:r w:rsidRPr="00B46E79">
        <w:rPr>
          <w:szCs w:val="24"/>
        </w:rPr>
        <w:tab/>
      </w:r>
      <w:r w:rsidR="00F166BD" w:rsidRPr="00B46E79">
        <w:t>επιμένει ότι, σύμφωνα με τα συμπεράσματα της Επιτροπής σχετικά με την εφαρμογή των υγειονομικών και περιβαλλοντικών προτύπων της ΕΕ στα εισαγόμενα γεωργικά και αγροδιατροφικά προϊόντα, υπάρχει περιθώριο πολιτικής για την επιδίωξη της εφαρμογής υγειονομικών, περιβαλλοντικών απαιτήσεων και απαιτήσεων σχετικά με την καλή μεταχείριση των ζώων όσον αφορά τις μεθόδους επεξεργασίας και παραγωγής στα εισαγόμενα προϊόντα κατά τρόπο συμβατό με τους κανόνες του ΠΟΕ· αναγνωρίζει ότι πριν από την εφαρμογή των προτύπων παραγωγής στις εισαγωγές, είναι πάντα απαραίτητο να γίνεται αξιολόγηση κατά περίπτωση, όπως αναφέρεται στην έκθεση της Επιτροπής·</w:t>
      </w:r>
    </w:p>
    <w:p w14:paraId="7EED6072" w14:textId="65392E01" w:rsidR="00F166BD" w:rsidRPr="00B46E79" w:rsidRDefault="00B46E79" w:rsidP="00B46E79">
      <w:pPr>
        <w:widowControl/>
        <w:spacing w:after="240"/>
        <w:ind w:left="570" w:hanging="570"/>
        <w:rPr>
          <w:szCs w:val="24"/>
        </w:rPr>
      </w:pPr>
      <w:r w:rsidRPr="00B46E79">
        <w:rPr>
          <w:szCs w:val="24"/>
        </w:rPr>
        <w:t>108.</w:t>
      </w:r>
      <w:r w:rsidRPr="00B46E79">
        <w:rPr>
          <w:szCs w:val="24"/>
        </w:rPr>
        <w:tab/>
      </w:r>
      <w:r w:rsidR="00F166BD" w:rsidRPr="00B46E79">
        <w:t>καλεί την Επιτροπή να διασφαλίσει μεγαλύτερη συνοχή μεταξύ των πολιτικών της για το εμπόριο και τη βιωσιμότητα, συμπεριλαμβάνοντας την αμοιβαιότητα των περιβαλλοντικών προτύπων, των προτύπων υγείας των ζώων και των προτύπων καλής διαβίωσης των ζώων, σε όλα τα στάδια της παραγωγής μέσω κατοπτρικών ρητρών, σε όλες τις εμπορικές συμφωνίες που αποτελούν αντικείμενο διαπραγμάτευσης, προκειμένου να διασφαλίσει ότι τα εισαγόμενα προϊόντα που δεν πληρούν τα πρότυπα της ΕΕ δεν διατίθενται στην αγορά της ΕΕ· καλεί την Επιτροπή να διασφαλίσει και να ενισχύσει τους κατάλληλους και αυστηρούς ελέγχους των εισαγωγών για την προστασία των εγχώριων παραγωγών και των καταναλωτών της ΕΕ·</w:t>
      </w:r>
    </w:p>
    <w:p w14:paraId="7399FA42" w14:textId="5FA79606" w:rsidR="00F166BD" w:rsidRPr="00B46E79" w:rsidRDefault="00B46E79" w:rsidP="00B46E79">
      <w:pPr>
        <w:widowControl/>
        <w:spacing w:after="240"/>
        <w:ind w:left="570" w:hanging="570"/>
        <w:rPr>
          <w:szCs w:val="24"/>
        </w:rPr>
      </w:pPr>
      <w:r w:rsidRPr="00B46E79">
        <w:rPr>
          <w:szCs w:val="24"/>
        </w:rPr>
        <w:t>109.</w:t>
      </w:r>
      <w:r w:rsidRPr="00B46E79">
        <w:rPr>
          <w:szCs w:val="24"/>
        </w:rPr>
        <w:tab/>
      </w:r>
      <w:r w:rsidR="00F166BD" w:rsidRPr="00B46E79">
        <w:t xml:space="preserve">καλεί την Επιτροπή να ενισχύσει μια κατάλληλα χρηματοδοτούμενη πολιτική της ΕΕ για την προώθηση, αυξάνοντας τον προϋπολογισμό της για τα γεωργικά προϊόντα της ΕΕ, συμπεριλαμβανομένων των ζωικών προϊόντων, και να διασφαλίσει τη συνεχή στήριξη των γεωγραφικών ενδείξεων στο διεθνές εμπόριο ως βασικού πυλώνα της ποιότητας, της ιχνηλασιμότητας και της αγροτικής ανάπτυξης· υπογραμμίζει ότι ο κτηνοτροφικός τομέας ευθύνεται για σημαντικό μέρος των ευρωπαϊκών γεωγραφικών ενδείξεων, συμπεριλαμβανομένων προϊόντων, όπως τα τυριά, τα λουκάνικα, τα χοιρομέρια και τα νωπά κρέατα, τα οποία είναι αποτέλεσμα εμπειρογνωσίας που μεταβιβάζεται ανά γενιά και μεθόδων παραγωγής που συνδέονται στενά με την περιοχή προέλευσης· </w:t>
      </w:r>
    </w:p>
    <w:p w14:paraId="7522B820" w14:textId="742728AA" w:rsidR="00F166BD" w:rsidRPr="00B46E79" w:rsidRDefault="00B46E79" w:rsidP="00B46E79">
      <w:pPr>
        <w:widowControl/>
        <w:spacing w:after="240"/>
        <w:ind w:left="570" w:hanging="570"/>
        <w:rPr>
          <w:szCs w:val="24"/>
        </w:rPr>
      </w:pPr>
      <w:r w:rsidRPr="00B46E79">
        <w:rPr>
          <w:szCs w:val="24"/>
        </w:rPr>
        <w:t>110.</w:t>
      </w:r>
      <w:r w:rsidRPr="00B46E79">
        <w:rPr>
          <w:szCs w:val="24"/>
        </w:rPr>
        <w:tab/>
      </w:r>
      <w:r w:rsidR="00F166BD" w:rsidRPr="00B46E79">
        <w:t xml:space="preserve">τονίζει ότι οι ονομασίες ποιότητας όχι μόνο αναδεικνύουν το έργο των παραγωγών, αλλά προστατεύουν επίσης τις παραδοσιακές πρακτικές, προωθούν την πολυμορφία της ευρωπαϊκής γαστρονομίας και συμβάλλουν στη διατήρηση της πολιτιστικής ταυτότητας των τόπων παραγωγής· υπογραμμίζει περαιτέρω τη σημασία της σαφούς και ακριβούς επισήμανσης για την ενίσχυση της ιχνηλασιμότητας των προϊόντων και την προστασία των καταναλωτών από παραπλανητικές πρακτικές εμπορίας, τόσο εκτός όσο και εντός της ΕΕ, όπως η χρήση ονομασιών που μοιάζουν ευρωπαϊκές ή προσομοιαζουσών ονομασιών που υποδηλώνουν ψευδώς ότι τα προϊόντα είναι ενωσιακής ή τοπικής προέλευσης ή ποιότητας· </w:t>
      </w:r>
    </w:p>
    <w:p w14:paraId="4FFE9118" w14:textId="22A2E25E" w:rsidR="00F166BD" w:rsidRPr="00B46E79" w:rsidRDefault="00B46E79" w:rsidP="00B46E79">
      <w:pPr>
        <w:widowControl/>
        <w:spacing w:after="240"/>
        <w:ind w:left="570" w:hanging="570"/>
        <w:rPr>
          <w:szCs w:val="24"/>
        </w:rPr>
      </w:pPr>
      <w:r w:rsidRPr="00B46E79">
        <w:rPr>
          <w:szCs w:val="24"/>
        </w:rPr>
        <w:lastRenderedPageBreak/>
        <w:t>111.</w:t>
      </w:r>
      <w:r w:rsidRPr="00B46E79">
        <w:rPr>
          <w:szCs w:val="24"/>
        </w:rPr>
        <w:tab/>
      </w:r>
      <w:r w:rsidR="00F166BD" w:rsidRPr="00B46E79">
        <w:t>καλεί την Επιτροπή να στηρίξει περαιτέρω τους γεωργούς στις προσπάθειές τους να συμμορφωθούν με τα πρότυπα της ΕΕ, προκειμένου να αποφευχθεί η απώλεια ανταγωνιστικότητας και η επακόλουθη μετεγκατάσταση της παραγωγής της ΕΕ σε τρίτες χώρες με χαμηλότερα πρότυπα καλής διαβίωσης, παραγωγής και κοινωνικά πρότυπα, και να διασφαλιστεί ότι οι παραγωγοί έχουν πρόσβαση σε χρηματοδότηση για τη βελτίωση της γενετικής κτηνοτροφίας, ώστε να ενισχυθεί η ανταγωνιστικότητα μέσω της ποιότητας και όχι της ποσότητας·</w:t>
      </w:r>
    </w:p>
    <w:p w14:paraId="74112E17" w14:textId="77777777" w:rsidR="00F166BD" w:rsidRPr="00B46E79" w:rsidRDefault="00F166BD" w:rsidP="00E40508">
      <w:pPr>
        <w:widowControl/>
        <w:spacing w:after="240"/>
        <w:ind w:left="567" w:hanging="567"/>
        <w:jc w:val="center"/>
        <w:rPr>
          <w:szCs w:val="24"/>
        </w:rPr>
      </w:pPr>
      <w:r w:rsidRPr="00B46E79">
        <w:t>°</w:t>
      </w:r>
    </w:p>
    <w:p w14:paraId="52222988" w14:textId="77777777" w:rsidR="00F166BD" w:rsidRPr="00B46E79" w:rsidRDefault="00F166BD" w:rsidP="00E40508">
      <w:pPr>
        <w:widowControl/>
        <w:spacing w:after="240"/>
        <w:ind w:left="567" w:hanging="567"/>
        <w:jc w:val="center"/>
        <w:rPr>
          <w:szCs w:val="24"/>
        </w:rPr>
      </w:pPr>
      <w:r w:rsidRPr="00B46E79">
        <w:t>°     °</w:t>
      </w:r>
    </w:p>
    <w:p w14:paraId="03A025F2" w14:textId="315C733F" w:rsidR="00F72961" w:rsidRPr="00B46E79" w:rsidRDefault="00B46E79" w:rsidP="00B46E79">
      <w:pPr>
        <w:pStyle w:val="NormalHanging12a"/>
        <w:ind w:left="570" w:hanging="570"/>
      </w:pPr>
      <w:r w:rsidRPr="00B46E79">
        <w:t>112.</w:t>
      </w:r>
      <w:r w:rsidRPr="00B46E79">
        <w:tab/>
      </w:r>
      <w:r w:rsidR="00F166BD" w:rsidRPr="00B46E79">
        <w:t>αναθέτει στην Πρόεδρό του να διαβιβάσει το παρόν ψήφισμα στο Συμβούλιο και στην Επιτροπή.</w:t>
      </w:r>
    </w:p>
    <w:p w14:paraId="4E81734E" w14:textId="71C99EFE" w:rsidR="00E365E1" w:rsidRPr="00B46E79" w:rsidRDefault="00E365E1" w:rsidP="00E40508">
      <w:pPr>
        <w:widowControl/>
        <w:spacing w:after="240"/>
        <w:ind w:left="567" w:hanging="567"/>
      </w:pPr>
    </w:p>
    <w:sectPr w:rsidR="00E365E1" w:rsidRPr="00B46E79" w:rsidSect="00F729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5A5F" w14:textId="77777777" w:rsidR="00B15160" w:rsidRPr="00F72961" w:rsidRDefault="00B15160">
      <w:r w:rsidRPr="00F72961">
        <w:separator/>
      </w:r>
    </w:p>
  </w:endnote>
  <w:endnote w:type="continuationSeparator" w:id="0">
    <w:p w14:paraId="329D4E7B" w14:textId="77777777" w:rsidR="00B15160" w:rsidRPr="00F72961" w:rsidRDefault="00B15160">
      <w:r w:rsidRPr="00F729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9719" w14:textId="77777777" w:rsidR="00064002" w:rsidRPr="00F729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8DBB" w14:textId="77777777" w:rsidR="00064002" w:rsidRPr="00F729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94E2" w14:textId="77777777" w:rsidR="00064002" w:rsidRPr="00F729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03FEF" w14:textId="77777777" w:rsidR="00B15160" w:rsidRPr="00F72961" w:rsidRDefault="00B15160">
      <w:r w:rsidRPr="00F72961">
        <w:separator/>
      </w:r>
    </w:p>
  </w:footnote>
  <w:footnote w:type="continuationSeparator" w:id="0">
    <w:p w14:paraId="4C0A90CA" w14:textId="77777777" w:rsidR="00B15160" w:rsidRPr="00F72961" w:rsidRDefault="00B15160">
      <w:r w:rsidRPr="00F72961">
        <w:continuationSeparator/>
      </w:r>
    </w:p>
  </w:footnote>
  <w:footnote w:id="1">
    <w:p w14:paraId="6D44D107" w14:textId="00BFBFB6"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435 της 6.12.2021, σ. 1, ELI: </w:t>
      </w:r>
      <w:hyperlink r:id="rId1" w:history="1">
        <w:r w:rsidRPr="00F72961">
          <w:rPr>
            <w:rStyle w:val="Hyperlink"/>
            <w:sz w:val="24"/>
            <w:lang w:val="el-GR"/>
          </w:rPr>
          <w:t>http://data.europa.eu/eli/reg/2021/2115/oj</w:t>
        </w:r>
      </w:hyperlink>
      <w:r w:rsidRPr="00F72961">
        <w:rPr>
          <w:color w:val="000000" w:themeColor="text1"/>
          <w:sz w:val="24"/>
          <w:u w:color="0000FF"/>
          <w:lang w:val="el-GR"/>
        </w:rPr>
        <w:t>.</w:t>
      </w:r>
    </w:p>
  </w:footnote>
  <w:footnote w:id="2">
    <w:p w14:paraId="0413E43F" w14:textId="0F8B00C2"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435 της 6.12.2021, σ. </w:t>
      </w:r>
      <w:r w:rsidRPr="00F72961">
        <w:rPr>
          <w:color w:val="000000" w:themeColor="text1"/>
          <w:sz w:val="24"/>
          <w:u w:color="0000FF"/>
          <w:lang w:val="el-GR"/>
        </w:rPr>
        <w:t xml:space="preserve">187, ELI: </w:t>
      </w:r>
      <w:hyperlink r:id="rId2" w:history="1">
        <w:r w:rsidRPr="00F72961">
          <w:rPr>
            <w:rStyle w:val="Hyperlink"/>
            <w:sz w:val="24"/>
            <w:lang w:val="el-GR"/>
          </w:rPr>
          <w:t>http://data.europa.eu/eli/reg/2021/2116/oj</w:t>
        </w:r>
      </w:hyperlink>
      <w:r w:rsidRPr="00F72961">
        <w:rPr>
          <w:color w:val="000000" w:themeColor="text1"/>
          <w:sz w:val="24"/>
          <w:u w:color="0000FF"/>
          <w:lang w:val="el-GR"/>
        </w:rPr>
        <w:t>.</w:t>
      </w:r>
    </w:p>
  </w:footnote>
  <w:footnote w:id="3">
    <w:p w14:paraId="0A27EB2E" w14:textId="7EE19D44"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435 της 6.12.2021, σ. </w:t>
      </w:r>
      <w:r w:rsidRPr="00F72961">
        <w:rPr>
          <w:color w:val="000000" w:themeColor="text1"/>
          <w:sz w:val="24"/>
          <w:u w:color="0000FF"/>
          <w:lang w:val="el-GR"/>
        </w:rPr>
        <w:t xml:space="preserve">262, ELI: </w:t>
      </w:r>
      <w:hyperlink r:id="rId3" w:history="1">
        <w:r w:rsidRPr="00F72961">
          <w:rPr>
            <w:rStyle w:val="Hyperlink"/>
            <w:sz w:val="24"/>
            <w:lang w:val="el-GR"/>
          </w:rPr>
          <w:t>http://data.europa.eu/eli/reg/2021/2117/oj</w:t>
        </w:r>
      </w:hyperlink>
      <w:r w:rsidRPr="00F72961">
        <w:rPr>
          <w:color w:val="000000" w:themeColor="text1"/>
          <w:sz w:val="24"/>
          <w:u w:color="0000FF"/>
          <w:lang w:val="el-GR"/>
        </w:rPr>
        <w:t>.</w:t>
      </w:r>
    </w:p>
  </w:footnote>
  <w:footnote w:id="4">
    <w:p w14:paraId="3875F038" w14:textId="384799C1" w:rsidR="00F166BD" w:rsidRPr="0046645E" w:rsidRDefault="00F166BD" w:rsidP="00E40508">
      <w:pPr>
        <w:pStyle w:val="FootnoteText"/>
        <w:spacing w:line="240" w:lineRule="auto"/>
        <w:ind w:left="567" w:hanging="567"/>
        <w:rPr>
          <w:color w:val="000000" w:themeColor="text1"/>
          <w:sz w:val="24"/>
          <w:lang w:val="fi-FI"/>
        </w:rPr>
      </w:pPr>
      <w:r w:rsidRPr="00F72961">
        <w:rPr>
          <w:rStyle w:val="FootnoteReference"/>
          <w:color w:val="000000" w:themeColor="text1"/>
          <w:sz w:val="24"/>
          <w:lang w:val="el-GR"/>
        </w:rPr>
        <w:footnoteRef/>
      </w:r>
      <w:r w:rsidR="00F72961" w:rsidRPr="0046645E">
        <w:rPr>
          <w:color w:val="000000" w:themeColor="text1"/>
          <w:sz w:val="24"/>
          <w:u w:color="0000FF"/>
          <w:lang w:val="fi-FI"/>
        </w:rPr>
        <w:t xml:space="preserve"> </w:t>
      </w:r>
      <w:r w:rsidR="00F72961" w:rsidRPr="0046645E">
        <w:rPr>
          <w:color w:val="000000" w:themeColor="text1"/>
          <w:sz w:val="24"/>
          <w:u w:color="0000FF"/>
          <w:lang w:val="fi-FI"/>
        </w:rPr>
        <w:tab/>
      </w:r>
      <w:r w:rsidRPr="00F72961">
        <w:rPr>
          <w:color w:val="000000" w:themeColor="text1"/>
          <w:sz w:val="24"/>
          <w:u w:color="0000FF"/>
          <w:lang w:val="el-GR"/>
        </w:rPr>
        <w:t>ΕΕ</w:t>
      </w:r>
      <w:r w:rsidRPr="0046645E">
        <w:rPr>
          <w:color w:val="000000" w:themeColor="text1"/>
          <w:sz w:val="24"/>
          <w:u w:color="0000FF"/>
          <w:lang w:val="fi-FI"/>
        </w:rPr>
        <w:t xml:space="preserve"> L, 2024/1468, 24.5.2024, ELI: </w:t>
      </w:r>
      <w:hyperlink r:id="rId4" w:history="1">
        <w:r w:rsidRPr="0046645E">
          <w:rPr>
            <w:rStyle w:val="Hyperlink"/>
            <w:sz w:val="24"/>
            <w:lang w:val="fi-FI"/>
          </w:rPr>
          <w:t>http://data.europa.eu/eli/reg/2024/1468/oj</w:t>
        </w:r>
      </w:hyperlink>
      <w:r w:rsidRPr="0046645E">
        <w:rPr>
          <w:color w:val="000000" w:themeColor="text1"/>
          <w:sz w:val="24"/>
          <w:u w:color="0000FF"/>
          <w:lang w:val="fi-FI"/>
        </w:rPr>
        <w:t>.</w:t>
      </w:r>
    </w:p>
  </w:footnote>
  <w:footnote w:id="5">
    <w:p w14:paraId="1F8D6A24" w14:textId="5E104819" w:rsidR="00F166BD" w:rsidRPr="0046645E" w:rsidRDefault="00F166BD" w:rsidP="00E40508">
      <w:pPr>
        <w:pStyle w:val="FootnoteText"/>
        <w:spacing w:line="240" w:lineRule="auto"/>
        <w:ind w:left="567" w:hanging="567"/>
        <w:rPr>
          <w:sz w:val="24"/>
          <w:lang w:val="fi-FI"/>
        </w:rPr>
      </w:pPr>
      <w:r w:rsidRPr="00F72961">
        <w:rPr>
          <w:rStyle w:val="FootnoteReference"/>
          <w:color w:val="000000" w:themeColor="text1"/>
          <w:sz w:val="24"/>
          <w:lang w:val="el-GR"/>
        </w:rPr>
        <w:footnoteRef/>
      </w:r>
      <w:r w:rsidR="00F72961" w:rsidRPr="0046645E">
        <w:rPr>
          <w:color w:val="000000" w:themeColor="text1"/>
          <w:sz w:val="24"/>
          <w:u w:color="0000FF"/>
          <w:lang w:val="fi-FI"/>
        </w:rPr>
        <w:t xml:space="preserve"> </w:t>
      </w:r>
      <w:r w:rsidR="00F72961" w:rsidRPr="0046645E">
        <w:rPr>
          <w:color w:val="000000" w:themeColor="text1"/>
          <w:sz w:val="24"/>
          <w:u w:color="0000FF"/>
          <w:lang w:val="fi-FI"/>
        </w:rPr>
        <w:tab/>
      </w:r>
      <w:r w:rsidRPr="00F72961">
        <w:rPr>
          <w:color w:val="000000" w:themeColor="text1"/>
          <w:sz w:val="24"/>
          <w:u w:color="0000FF"/>
          <w:lang w:val="el-GR"/>
        </w:rPr>
        <w:t>ΕΕ</w:t>
      </w:r>
      <w:r w:rsidRPr="0046645E">
        <w:rPr>
          <w:color w:val="000000" w:themeColor="text1"/>
          <w:sz w:val="24"/>
          <w:u w:color="0000FF"/>
          <w:lang w:val="fi-FI"/>
        </w:rPr>
        <w:t xml:space="preserve"> L, 2024/3012, 6.12.2024, ELI: </w:t>
      </w:r>
      <w:hyperlink r:id="rId5" w:history="1">
        <w:r w:rsidRPr="0046645E">
          <w:rPr>
            <w:rStyle w:val="Hyperlink"/>
            <w:sz w:val="24"/>
            <w:lang w:val="fi-FI"/>
          </w:rPr>
          <w:t>http://data.europa.eu/eli/reg/2024/3012/oj</w:t>
        </w:r>
      </w:hyperlink>
      <w:r w:rsidRPr="0046645E">
        <w:rPr>
          <w:color w:val="000000" w:themeColor="text1"/>
          <w:sz w:val="24"/>
          <w:u w:color="0000FF"/>
          <w:lang w:val="fi-FI"/>
        </w:rPr>
        <w:t>.</w:t>
      </w:r>
    </w:p>
  </w:footnote>
  <w:footnote w:id="6">
    <w:p w14:paraId="0F2D99BC" w14:textId="0127B359"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 xml:space="preserve">Στρατηγικός διάλογος για το μέλλον της γεωργίας στην ΕΕ, </w:t>
      </w:r>
      <w:hyperlink r:id="rId6" w:history="1">
        <w:r w:rsidRPr="00F72961">
          <w:rPr>
            <w:rStyle w:val="Hyperlink"/>
            <w:sz w:val="24"/>
            <w:lang w:val="el-GR"/>
          </w:rPr>
          <w:t>https://agriculture.ec.europa.eu/document/download/171329ff-0f50-4fa5-946f-aea11032172e_en?filename=strategic-dialogue-report-2024_en.pdf</w:t>
        </w:r>
      </w:hyperlink>
      <w:r w:rsidRPr="00F72961">
        <w:rPr>
          <w:sz w:val="24"/>
          <w:lang w:val="el-GR"/>
        </w:rPr>
        <w:t>.</w:t>
      </w:r>
    </w:p>
  </w:footnote>
  <w:footnote w:id="7">
    <w:p w14:paraId="636F6CAE" w14:textId="136F5C37"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84 της 31.3.2016, σ. </w:t>
      </w:r>
      <w:r w:rsidRPr="00F72961">
        <w:rPr>
          <w:color w:val="000000" w:themeColor="text1"/>
          <w:sz w:val="24"/>
          <w:u w:color="0000FF"/>
          <w:lang w:val="el-GR"/>
        </w:rPr>
        <w:t xml:space="preserve">1, ELI: </w:t>
      </w:r>
      <w:hyperlink r:id="rId7" w:history="1">
        <w:r w:rsidRPr="00F72961">
          <w:rPr>
            <w:rStyle w:val="Hyperlink"/>
            <w:sz w:val="24"/>
            <w:lang w:val="el-GR"/>
          </w:rPr>
          <w:t>http://data.europa.eu/eli/reg/2016/429/oj</w:t>
        </w:r>
      </w:hyperlink>
      <w:r w:rsidRPr="00F72961">
        <w:rPr>
          <w:color w:val="000000" w:themeColor="text1"/>
          <w:sz w:val="24"/>
          <w:u w:color="0000FF"/>
          <w:lang w:val="el-GR"/>
        </w:rPr>
        <w:t>.</w:t>
      </w:r>
    </w:p>
  </w:footnote>
  <w:footnote w:id="8">
    <w:p w14:paraId="44A92F92" w14:textId="2AF22225"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412 της 8.12.2020, σ. </w:t>
      </w:r>
      <w:r w:rsidRPr="00F72961">
        <w:rPr>
          <w:color w:val="000000" w:themeColor="text1"/>
          <w:sz w:val="24"/>
          <w:u w:color="0000FF"/>
          <w:lang w:val="el-GR"/>
        </w:rPr>
        <w:t xml:space="preserve">1, ELI: </w:t>
      </w:r>
      <w:hyperlink r:id="rId8" w:history="1">
        <w:r w:rsidRPr="00F72961">
          <w:rPr>
            <w:rStyle w:val="Hyperlink"/>
            <w:sz w:val="24"/>
            <w:lang w:val="el-GR"/>
          </w:rPr>
          <w:t>http://data.europa.eu/eli/reg_impl/2020/2002/oj</w:t>
        </w:r>
      </w:hyperlink>
      <w:r w:rsidRPr="00F72961">
        <w:rPr>
          <w:color w:val="000000" w:themeColor="text1"/>
          <w:sz w:val="24"/>
          <w:u w:color="0000FF"/>
          <w:lang w:val="el-GR"/>
        </w:rPr>
        <w:t>.</w:t>
      </w:r>
    </w:p>
  </w:footnote>
  <w:footnote w:id="9">
    <w:p w14:paraId="2992BE25" w14:textId="7FF8F881"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174 της 3.6.2020, σ. </w:t>
      </w:r>
      <w:r w:rsidRPr="00F72961">
        <w:rPr>
          <w:color w:val="000000" w:themeColor="text1"/>
          <w:sz w:val="24"/>
          <w:u w:color="0000FF"/>
          <w:lang w:val="el-GR"/>
        </w:rPr>
        <w:t xml:space="preserve">211, ELI: </w:t>
      </w:r>
      <w:hyperlink r:id="rId9" w:history="1">
        <w:r w:rsidRPr="00F72961">
          <w:rPr>
            <w:rStyle w:val="Hyperlink"/>
            <w:sz w:val="24"/>
            <w:lang w:val="el-GR"/>
          </w:rPr>
          <w:t>http://data.europa.eu/eli/reg_del/2020/689/oj</w:t>
        </w:r>
      </w:hyperlink>
      <w:r w:rsidRPr="00F72961">
        <w:rPr>
          <w:color w:val="000000" w:themeColor="text1"/>
          <w:sz w:val="24"/>
          <w:u w:color="0000FF"/>
          <w:lang w:val="el-GR"/>
        </w:rPr>
        <w:t>.</w:t>
      </w:r>
    </w:p>
  </w:footnote>
  <w:footnote w:id="10">
    <w:p w14:paraId="7D955D91" w14:textId="13697DA7"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300 της 14.11.2009, σ. </w:t>
      </w:r>
      <w:r w:rsidRPr="00F72961">
        <w:rPr>
          <w:color w:val="000000" w:themeColor="text1"/>
          <w:sz w:val="24"/>
          <w:u w:color="0000FF"/>
          <w:lang w:val="el-GR"/>
        </w:rPr>
        <w:t xml:space="preserve">1, ELI: </w:t>
      </w:r>
      <w:hyperlink r:id="rId10" w:history="1">
        <w:r w:rsidRPr="00F72961">
          <w:rPr>
            <w:rStyle w:val="Hyperlink"/>
            <w:sz w:val="24"/>
            <w:lang w:val="el-GR"/>
          </w:rPr>
          <w:t>http://data.europa.eu/eli/reg/2009/1069/oj</w:t>
        </w:r>
      </w:hyperlink>
      <w:r w:rsidRPr="00F72961">
        <w:rPr>
          <w:color w:val="000000" w:themeColor="text1"/>
          <w:sz w:val="24"/>
          <w:u w:color="0000FF"/>
          <w:lang w:val="el-GR"/>
        </w:rPr>
        <w:t>.</w:t>
      </w:r>
    </w:p>
  </w:footnote>
  <w:footnote w:id="11">
    <w:p w14:paraId="6633727E" w14:textId="7217C447"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325 της 12.12.2003, σ. </w:t>
      </w:r>
      <w:r w:rsidRPr="00F72961">
        <w:rPr>
          <w:color w:val="000000" w:themeColor="text1"/>
          <w:sz w:val="24"/>
          <w:u w:color="0000FF"/>
          <w:lang w:val="el-GR"/>
        </w:rPr>
        <w:t xml:space="preserve">31, ELI: </w:t>
      </w:r>
      <w:hyperlink r:id="rId11" w:history="1">
        <w:r w:rsidRPr="00F72961">
          <w:rPr>
            <w:rStyle w:val="Hyperlink"/>
            <w:sz w:val="24"/>
            <w:lang w:val="el-GR"/>
          </w:rPr>
          <w:t>http://data.europa.eu/eli/dir/2003/99/oj</w:t>
        </w:r>
      </w:hyperlink>
      <w:r w:rsidRPr="00F72961">
        <w:rPr>
          <w:color w:val="000000" w:themeColor="text1"/>
          <w:sz w:val="24"/>
          <w:u w:color="0000FF"/>
          <w:lang w:val="el-GR"/>
        </w:rPr>
        <w:t>.</w:t>
      </w:r>
    </w:p>
  </w:footnote>
  <w:footnote w:id="12">
    <w:p w14:paraId="5EBC3E7D" w14:textId="4DFCA9FA"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174 της 3.6.2020, σ. </w:t>
      </w:r>
      <w:r w:rsidRPr="00F72961">
        <w:rPr>
          <w:color w:val="000000" w:themeColor="text1"/>
          <w:sz w:val="24"/>
          <w:u w:color="0000FF"/>
          <w:lang w:val="el-GR"/>
        </w:rPr>
        <w:t xml:space="preserve">64, ELI: </w:t>
      </w:r>
      <w:hyperlink r:id="rId12" w:history="1">
        <w:r w:rsidRPr="00F72961">
          <w:rPr>
            <w:rStyle w:val="Hyperlink"/>
            <w:sz w:val="24"/>
            <w:lang w:val="el-GR"/>
          </w:rPr>
          <w:t>http://data.europa.eu/eli/reg_del/2020/687/oj</w:t>
        </w:r>
      </w:hyperlink>
      <w:r w:rsidRPr="00F72961">
        <w:rPr>
          <w:color w:val="000000" w:themeColor="text1"/>
          <w:sz w:val="24"/>
          <w:u w:color="0000FF"/>
          <w:lang w:val="el-GR"/>
        </w:rPr>
        <w:t>.</w:t>
      </w:r>
    </w:p>
  </w:footnote>
  <w:footnote w:id="13">
    <w:p w14:paraId="76B61EC5" w14:textId="5010FEF4" w:rsidR="00F166BD" w:rsidRPr="00F72961" w:rsidRDefault="00F166BD" w:rsidP="00E40508">
      <w:pPr>
        <w:pStyle w:val="FootnoteText"/>
        <w:spacing w:line="240" w:lineRule="auto"/>
        <w:ind w:left="567" w:hanging="567"/>
        <w:rPr>
          <w:sz w:val="24"/>
          <w:lang w:val="el-GR"/>
        </w:rPr>
      </w:pPr>
      <w:r w:rsidRPr="00F72961">
        <w:rPr>
          <w:rStyle w:val="FootnoteReference"/>
          <w:color w:val="000000" w:themeColor="text1"/>
          <w:sz w:val="24"/>
          <w:lang w:val="el-GR"/>
        </w:rPr>
        <w:footnoteRef/>
      </w:r>
      <w:r w:rsidR="00F72961" w:rsidRPr="00F72961">
        <w:rPr>
          <w:color w:val="000000" w:themeColor="text1"/>
          <w:sz w:val="24"/>
          <w:lang w:val="el-GR"/>
        </w:rPr>
        <w:t xml:space="preserve"> </w:t>
      </w:r>
      <w:r w:rsidR="00F72961" w:rsidRPr="00F72961">
        <w:rPr>
          <w:color w:val="000000" w:themeColor="text1"/>
          <w:sz w:val="24"/>
          <w:lang w:val="el-GR"/>
        </w:rPr>
        <w:tab/>
      </w:r>
      <w:r w:rsidRPr="00F72961">
        <w:rPr>
          <w:color w:val="000000" w:themeColor="text1"/>
          <w:sz w:val="24"/>
          <w:lang w:val="el-GR"/>
        </w:rPr>
        <w:t xml:space="preserve">ΕΕ L 221 της 8.8.1998, σ. </w:t>
      </w:r>
      <w:r w:rsidRPr="00F72961">
        <w:rPr>
          <w:color w:val="000000" w:themeColor="text1"/>
          <w:sz w:val="24"/>
          <w:lang w:val="el-GR"/>
        </w:rPr>
        <w:t xml:space="preserve">23, ELI: </w:t>
      </w:r>
      <w:hyperlink r:id="rId13" w:history="1">
        <w:r w:rsidRPr="00F72961">
          <w:rPr>
            <w:rStyle w:val="Hyperlink"/>
            <w:sz w:val="24"/>
            <w:lang w:val="el-GR"/>
          </w:rPr>
          <w:t>http://data.europa.eu/eli/dir/1998/58/oj</w:t>
        </w:r>
      </w:hyperlink>
      <w:r w:rsidRPr="00F72961">
        <w:rPr>
          <w:color w:val="000000" w:themeColor="text1"/>
          <w:sz w:val="24"/>
          <w:lang w:val="el-GR"/>
        </w:rPr>
        <w:t>.</w:t>
      </w:r>
    </w:p>
  </w:footnote>
  <w:footnote w:id="14">
    <w:p w14:paraId="43C751D8" w14:textId="3D24EAED" w:rsidR="00F166BD" w:rsidRPr="00F72961" w:rsidRDefault="00F166BD" w:rsidP="00E40508">
      <w:pPr>
        <w:pStyle w:val="FootnoteText"/>
        <w:spacing w:line="240" w:lineRule="auto"/>
        <w:ind w:left="567" w:hanging="567"/>
        <w:rPr>
          <w:bCs/>
          <w:iCs/>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 xml:space="preserve">ΕΕ L 3 της 5.1.2005, σ. </w:t>
      </w:r>
      <w:r w:rsidRPr="00F72961">
        <w:rPr>
          <w:sz w:val="24"/>
          <w:lang w:val="el-GR"/>
        </w:rPr>
        <w:t xml:space="preserve">1, ELI: </w:t>
      </w:r>
      <w:hyperlink r:id="rId14" w:history="1">
        <w:r w:rsidRPr="00F72961">
          <w:rPr>
            <w:rStyle w:val="Hyperlink"/>
            <w:sz w:val="24"/>
            <w:lang w:val="el-GR"/>
          </w:rPr>
          <w:t>http://data.europa.eu/eli/reg/2005/1/oj</w:t>
        </w:r>
      </w:hyperlink>
      <w:r w:rsidRPr="00F72961">
        <w:rPr>
          <w:sz w:val="24"/>
          <w:lang w:val="el-GR"/>
        </w:rPr>
        <w:t>.</w:t>
      </w:r>
    </w:p>
  </w:footnote>
  <w:footnote w:id="15">
    <w:p w14:paraId="509BA30F" w14:textId="7F4BEE84" w:rsidR="00F166BD" w:rsidRPr="00F72961" w:rsidRDefault="00F166BD" w:rsidP="00E40508">
      <w:pPr>
        <w:pStyle w:val="FootnoteText"/>
        <w:spacing w:line="240" w:lineRule="auto"/>
        <w:ind w:left="567" w:hanging="567"/>
        <w:rPr>
          <w:bCs/>
          <w:iCs/>
          <w:sz w:val="24"/>
          <w:lang w:val="el-GR"/>
        </w:rPr>
      </w:pPr>
      <w:r w:rsidRPr="00F72961">
        <w:rPr>
          <w:rStyle w:val="FootnoteReference"/>
          <w:bCs/>
          <w:iCs/>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 xml:space="preserve">ΕΕ L 303 της 18.11.2009, σ. </w:t>
      </w:r>
      <w:r w:rsidRPr="00F72961">
        <w:rPr>
          <w:sz w:val="24"/>
          <w:lang w:val="el-GR"/>
        </w:rPr>
        <w:t xml:space="preserve">1, ELI: </w:t>
      </w:r>
      <w:hyperlink r:id="rId15" w:history="1">
        <w:r w:rsidRPr="00F72961">
          <w:rPr>
            <w:rStyle w:val="Hyperlink"/>
            <w:sz w:val="24"/>
            <w:lang w:val="el-GR"/>
          </w:rPr>
          <w:t>http://data.europa.eu/eli/reg/2009/1099/oj</w:t>
        </w:r>
      </w:hyperlink>
      <w:r w:rsidRPr="00F72961">
        <w:rPr>
          <w:sz w:val="24"/>
          <w:lang w:val="el-GR"/>
        </w:rPr>
        <w:t>.</w:t>
      </w:r>
    </w:p>
  </w:footnote>
  <w:footnote w:id="16">
    <w:p w14:paraId="7DCB5D3F" w14:textId="65B7A505"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4 της 7.1.2019, σ. </w:t>
      </w:r>
      <w:r w:rsidRPr="00F72961">
        <w:rPr>
          <w:color w:val="000000" w:themeColor="text1"/>
          <w:sz w:val="24"/>
          <w:u w:color="0000FF"/>
          <w:lang w:val="el-GR"/>
        </w:rPr>
        <w:t xml:space="preserve">43, ELI: </w:t>
      </w:r>
      <w:hyperlink r:id="rId16" w:history="1">
        <w:r w:rsidRPr="00F72961">
          <w:rPr>
            <w:rStyle w:val="Hyperlink"/>
            <w:sz w:val="24"/>
            <w:lang w:val="el-GR"/>
          </w:rPr>
          <w:t>http://data.europa.eu/eli/reg/2019/6/oj</w:t>
        </w:r>
      </w:hyperlink>
      <w:r w:rsidRPr="00F72961">
        <w:rPr>
          <w:color w:val="000000" w:themeColor="text1"/>
          <w:sz w:val="24"/>
          <w:u w:color="0000FF"/>
          <w:lang w:val="el-GR"/>
        </w:rPr>
        <w:t>.</w:t>
      </w:r>
    </w:p>
  </w:footnote>
  <w:footnote w:id="17">
    <w:p w14:paraId="7DC5422E" w14:textId="03326529"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220 της 22.6.2023, σ. 1.</w:t>
      </w:r>
    </w:p>
  </w:footnote>
  <w:footnote w:id="18">
    <w:p w14:paraId="1388C823" w14:textId="4FC3EC13"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 xml:space="preserve">ΕΕ L 387 της 19.11.2020, σ. </w:t>
      </w:r>
      <w:r w:rsidRPr="00F72961">
        <w:rPr>
          <w:color w:val="000000" w:themeColor="text1"/>
          <w:sz w:val="24"/>
          <w:u w:color="0000FF"/>
          <w:lang w:val="el-GR"/>
        </w:rPr>
        <w:t xml:space="preserve">8, ELI: </w:t>
      </w:r>
      <w:hyperlink r:id="rId17" w:history="1">
        <w:r w:rsidRPr="00F72961">
          <w:rPr>
            <w:rStyle w:val="Hyperlink"/>
            <w:sz w:val="24"/>
            <w:lang w:val="el-GR"/>
          </w:rPr>
          <w:t>http://data.europa.eu/eli/dec_impl/2020/1729/oj</w:t>
        </w:r>
      </w:hyperlink>
      <w:r w:rsidRPr="00F72961">
        <w:rPr>
          <w:color w:val="000000" w:themeColor="text1"/>
          <w:sz w:val="24"/>
          <w:u w:color="0000FF"/>
          <w:lang w:val="el-GR"/>
        </w:rPr>
        <w:t>.</w:t>
      </w:r>
    </w:p>
  </w:footnote>
  <w:footnote w:id="19">
    <w:p w14:paraId="0172B013" w14:textId="1C81D5E8"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299 της 11.9.2015, σ. 7.</w:t>
      </w:r>
    </w:p>
  </w:footnote>
  <w:footnote w:id="20">
    <w:p w14:paraId="5C85926B" w14:textId="61AB263F" w:rsidR="00F166BD" w:rsidRPr="00B46E79"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B46E79">
        <w:rPr>
          <w:color w:val="000000" w:themeColor="text1"/>
          <w:sz w:val="24"/>
          <w:u w:color="0000FF"/>
          <w:lang w:val="el-GR"/>
        </w:rPr>
        <w:t xml:space="preserve"> </w:t>
      </w:r>
      <w:r w:rsidR="00F72961" w:rsidRPr="00B46E79">
        <w:rPr>
          <w:color w:val="000000" w:themeColor="text1"/>
          <w:sz w:val="24"/>
          <w:u w:color="0000FF"/>
          <w:lang w:val="el-GR"/>
        </w:rPr>
        <w:tab/>
      </w:r>
      <w:r w:rsidRPr="00F72961">
        <w:rPr>
          <w:color w:val="000000" w:themeColor="text1"/>
          <w:sz w:val="24"/>
          <w:u w:color="0000FF"/>
          <w:lang w:val="el-GR"/>
        </w:rPr>
        <w:t>ΕΕ</w:t>
      </w:r>
      <w:r w:rsidRPr="00B46E79">
        <w:rPr>
          <w:color w:val="000000" w:themeColor="text1"/>
          <w:sz w:val="24"/>
          <w:u w:color="0000FF"/>
          <w:lang w:val="el-GR"/>
        </w:rPr>
        <w:t xml:space="preserve"> </w:t>
      </w:r>
      <w:r w:rsidRPr="0046645E">
        <w:rPr>
          <w:color w:val="000000" w:themeColor="text1"/>
          <w:sz w:val="24"/>
          <w:u w:color="0000FF"/>
          <w:lang w:val="fi-FI"/>
        </w:rPr>
        <w:t>C</w:t>
      </w:r>
      <w:r w:rsidRPr="00B46E79">
        <w:rPr>
          <w:color w:val="000000" w:themeColor="text1"/>
          <w:sz w:val="24"/>
          <w:u w:color="0000FF"/>
          <w:lang w:val="el-GR"/>
        </w:rPr>
        <w:t xml:space="preserve">, </w:t>
      </w:r>
      <w:r w:rsidRPr="0046645E">
        <w:rPr>
          <w:color w:val="000000" w:themeColor="text1"/>
          <w:sz w:val="24"/>
          <w:u w:color="0000FF"/>
          <w:lang w:val="fi-FI"/>
        </w:rPr>
        <w:t>C</w:t>
      </w:r>
      <w:r w:rsidRPr="00B46E79">
        <w:rPr>
          <w:color w:val="000000" w:themeColor="text1"/>
          <w:sz w:val="24"/>
          <w:u w:color="0000FF"/>
          <w:lang w:val="el-GR"/>
        </w:rPr>
        <w:t xml:space="preserve">/2024/2658, 29.4.2024, </w:t>
      </w:r>
      <w:r w:rsidRPr="0046645E">
        <w:rPr>
          <w:color w:val="000000" w:themeColor="text1"/>
          <w:sz w:val="24"/>
          <w:u w:color="0000FF"/>
          <w:lang w:val="fi-FI"/>
        </w:rPr>
        <w:t>ELI</w:t>
      </w:r>
      <w:r w:rsidRPr="00B46E79">
        <w:rPr>
          <w:color w:val="000000" w:themeColor="text1"/>
          <w:sz w:val="24"/>
          <w:u w:color="0000FF"/>
          <w:lang w:val="el-GR"/>
        </w:rPr>
        <w:t xml:space="preserve">: </w:t>
      </w:r>
      <w:hyperlink r:id="rId18" w:history="1">
        <w:r w:rsidRPr="0046645E">
          <w:rPr>
            <w:rStyle w:val="Hyperlink"/>
            <w:sz w:val="24"/>
            <w:lang w:val="fi-FI"/>
          </w:rPr>
          <w:t>http</w:t>
        </w:r>
        <w:r w:rsidRPr="00B46E79">
          <w:rPr>
            <w:rStyle w:val="Hyperlink"/>
            <w:sz w:val="24"/>
            <w:lang w:val="el-GR"/>
          </w:rPr>
          <w:t>://</w:t>
        </w:r>
        <w:r w:rsidRPr="0046645E">
          <w:rPr>
            <w:rStyle w:val="Hyperlink"/>
            <w:sz w:val="24"/>
            <w:lang w:val="fi-FI"/>
          </w:rPr>
          <w:t>data</w:t>
        </w:r>
        <w:r w:rsidRPr="00B46E79">
          <w:rPr>
            <w:rStyle w:val="Hyperlink"/>
            <w:sz w:val="24"/>
            <w:lang w:val="el-GR"/>
          </w:rPr>
          <w:t>.</w:t>
        </w:r>
        <w:r w:rsidRPr="0046645E">
          <w:rPr>
            <w:rStyle w:val="Hyperlink"/>
            <w:sz w:val="24"/>
            <w:lang w:val="fi-FI"/>
          </w:rPr>
          <w:t>europa</w:t>
        </w:r>
        <w:r w:rsidRPr="00B46E79">
          <w:rPr>
            <w:rStyle w:val="Hyperlink"/>
            <w:sz w:val="24"/>
            <w:lang w:val="el-GR"/>
          </w:rPr>
          <w:t>.</w:t>
        </w:r>
        <w:r w:rsidRPr="0046645E">
          <w:rPr>
            <w:rStyle w:val="Hyperlink"/>
            <w:sz w:val="24"/>
            <w:lang w:val="fi-FI"/>
          </w:rPr>
          <w:t>eu</w:t>
        </w:r>
        <w:r w:rsidRPr="00B46E79">
          <w:rPr>
            <w:rStyle w:val="Hyperlink"/>
            <w:sz w:val="24"/>
            <w:lang w:val="el-GR"/>
          </w:rPr>
          <w:t>/</w:t>
        </w:r>
        <w:r w:rsidRPr="0046645E">
          <w:rPr>
            <w:rStyle w:val="Hyperlink"/>
            <w:sz w:val="24"/>
            <w:lang w:val="fi-FI"/>
          </w:rPr>
          <w:t>eli</w:t>
        </w:r>
        <w:r w:rsidRPr="00B46E79">
          <w:rPr>
            <w:rStyle w:val="Hyperlink"/>
            <w:sz w:val="24"/>
            <w:lang w:val="el-GR"/>
          </w:rPr>
          <w:t>/</w:t>
        </w:r>
        <w:r w:rsidRPr="0046645E">
          <w:rPr>
            <w:rStyle w:val="Hyperlink"/>
            <w:sz w:val="24"/>
            <w:lang w:val="fi-FI"/>
          </w:rPr>
          <w:t>C</w:t>
        </w:r>
        <w:r w:rsidRPr="00B46E79">
          <w:rPr>
            <w:rStyle w:val="Hyperlink"/>
            <w:sz w:val="24"/>
            <w:lang w:val="el-GR"/>
          </w:rPr>
          <w:t>/2024/2658/</w:t>
        </w:r>
        <w:r w:rsidRPr="0046645E">
          <w:rPr>
            <w:rStyle w:val="Hyperlink"/>
            <w:sz w:val="24"/>
            <w:lang w:val="fi-FI"/>
          </w:rPr>
          <w:t>oj</w:t>
        </w:r>
      </w:hyperlink>
      <w:r w:rsidRPr="00B46E79">
        <w:rPr>
          <w:color w:val="000000" w:themeColor="text1"/>
          <w:sz w:val="24"/>
          <w:u w:color="0000FF"/>
          <w:lang w:val="el-GR"/>
        </w:rPr>
        <w:t>.</w:t>
      </w:r>
    </w:p>
  </w:footnote>
  <w:footnote w:id="21">
    <w:p w14:paraId="0B4F0D45" w14:textId="26B4DD59" w:rsidR="00F166BD" w:rsidRPr="0046645E" w:rsidRDefault="00F166BD" w:rsidP="00E40508">
      <w:pPr>
        <w:pStyle w:val="FootnoteText"/>
        <w:spacing w:line="240" w:lineRule="auto"/>
        <w:ind w:left="567" w:hanging="567"/>
        <w:rPr>
          <w:color w:val="000000" w:themeColor="text1"/>
          <w:sz w:val="24"/>
          <w:lang w:val="fi-FI"/>
        </w:rPr>
      </w:pPr>
      <w:r w:rsidRPr="00F72961">
        <w:rPr>
          <w:rStyle w:val="FootnoteReference"/>
          <w:color w:val="000000" w:themeColor="text1"/>
          <w:sz w:val="24"/>
          <w:lang w:val="el-GR"/>
        </w:rPr>
        <w:footnoteRef/>
      </w:r>
      <w:r w:rsidR="00F72961" w:rsidRPr="0046645E">
        <w:rPr>
          <w:color w:val="000000" w:themeColor="text1"/>
          <w:sz w:val="24"/>
          <w:u w:color="0000FF"/>
          <w:lang w:val="fi-FI"/>
        </w:rPr>
        <w:t xml:space="preserve"> </w:t>
      </w:r>
      <w:r w:rsidR="00F72961" w:rsidRPr="0046645E">
        <w:rPr>
          <w:color w:val="000000" w:themeColor="text1"/>
          <w:sz w:val="24"/>
          <w:u w:color="0000FF"/>
          <w:lang w:val="fi-FI"/>
        </w:rPr>
        <w:tab/>
      </w:r>
      <w:r w:rsidRPr="00F72961">
        <w:rPr>
          <w:color w:val="000000" w:themeColor="text1"/>
          <w:sz w:val="24"/>
          <w:u w:color="0000FF"/>
          <w:lang w:val="el-GR"/>
        </w:rPr>
        <w:t>ΕΕ</w:t>
      </w:r>
      <w:r w:rsidRPr="0046645E">
        <w:rPr>
          <w:color w:val="000000" w:themeColor="text1"/>
          <w:sz w:val="24"/>
          <w:u w:color="0000FF"/>
          <w:lang w:val="fi-FI"/>
        </w:rPr>
        <w:t xml:space="preserve"> C, C/2024/483, 23.1.2024, ELI: </w:t>
      </w:r>
      <w:hyperlink r:id="rId19" w:history="1">
        <w:r w:rsidRPr="0046645E">
          <w:rPr>
            <w:rStyle w:val="Hyperlink"/>
            <w:sz w:val="24"/>
            <w:lang w:val="fi-FI"/>
          </w:rPr>
          <w:t>http://data.europa.eu/eli/C/2024/483/oj</w:t>
        </w:r>
      </w:hyperlink>
      <w:r w:rsidRPr="0046645E">
        <w:rPr>
          <w:color w:val="000000" w:themeColor="text1"/>
          <w:sz w:val="24"/>
          <w:u w:color="0000FF"/>
          <w:lang w:val="fi-FI"/>
        </w:rPr>
        <w:t>.</w:t>
      </w:r>
    </w:p>
  </w:footnote>
  <w:footnote w:id="22">
    <w:p w14:paraId="72BCCB8F" w14:textId="1FC299A2"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177 της 17.5.2023, σ. 35.</w:t>
      </w:r>
    </w:p>
  </w:footnote>
  <w:footnote w:id="23">
    <w:p w14:paraId="4FDA0F54" w14:textId="363B1D00"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167 της 11.5.2023, σ. 77.</w:t>
      </w:r>
    </w:p>
  </w:footnote>
  <w:footnote w:id="24">
    <w:p w14:paraId="7B8AF662" w14:textId="2FF54567"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342 της 6.9.2022, σ. 45.</w:t>
      </w:r>
    </w:p>
  </w:footnote>
  <w:footnote w:id="25">
    <w:p w14:paraId="1D1B0AE2" w14:textId="5D3EAD14"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336 της 2.9.2022, σ. 20.</w:t>
      </w:r>
    </w:p>
  </w:footnote>
  <w:footnote w:id="26">
    <w:p w14:paraId="317D4E8D" w14:textId="5BD7665F" w:rsidR="00F166BD" w:rsidRPr="00F72961"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F72961">
        <w:rPr>
          <w:color w:val="000000" w:themeColor="text1"/>
          <w:sz w:val="24"/>
          <w:u w:color="0000FF"/>
          <w:lang w:val="el-GR"/>
        </w:rPr>
        <w:t xml:space="preserve"> </w:t>
      </w:r>
      <w:r w:rsidR="00F72961" w:rsidRPr="00F72961">
        <w:rPr>
          <w:color w:val="000000" w:themeColor="text1"/>
          <w:sz w:val="24"/>
          <w:u w:color="0000FF"/>
          <w:lang w:val="el-GR"/>
        </w:rPr>
        <w:tab/>
      </w:r>
      <w:r w:rsidRPr="00F72961">
        <w:rPr>
          <w:color w:val="000000" w:themeColor="text1"/>
          <w:sz w:val="24"/>
          <w:u w:color="0000FF"/>
          <w:lang w:val="el-GR"/>
        </w:rPr>
        <w:t>ΕΕ C 465 της 17.11.2021, σ. 11.</w:t>
      </w:r>
    </w:p>
  </w:footnote>
  <w:footnote w:id="27">
    <w:p w14:paraId="2F3B57E2" w14:textId="38710209" w:rsidR="00F166BD" w:rsidRPr="00B46E79" w:rsidRDefault="00F166BD" w:rsidP="00E40508">
      <w:pPr>
        <w:pStyle w:val="FootnoteText"/>
        <w:spacing w:line="240" w:lineRule="auto"/>
        <w:ind w:left="567" w:hanging="567"/>
        <w:rPr>
          <w:color w:val="000000" w:themeColor="text1"/>
          <w:sz w:val="24"/>
          <w:lang w:val="el-GR"/>
        </w:rPr>
      </w:pPr>
      <w:r w:rsidRPr="00F72961">
        <w:rPr>
          <w:rStyle w:val="FootnoteReference"/>
          <w:color w:val="000000" w:themeColor="text1"/>
          <w:sz w:val="24"/>
          <w:lang w:val="el-GR"/>
        </w:rPr>
        <w:footnoteRef/>
      </w:r>
      <w:r w:rsidR="00F72961" w:rsidRPr="00B46E79">
        <w:rPr>
          <w:color w:val="000000" w:themeColor="text1"/>
          <w:sz w:val="24"/>
          <w:lang w:val="el-GR"/>
        </w:rPr>
        <w:t xml:space="preserve"> </w:t>
      </w:r>
      <w:r w:rsidR="00F72961" w:rsidRPr="00B46E79">
        <w:rPr>
          <w:color w:val="000000" w:themeColor="text1"/>
          <w:sz w:val="24"/>
          <w:lang w:val="el-GR"/>
        </w:rPr>
        <w:tab/>
      </w:r>
      <w:r w:rsidRPr="00F72961">
        <w:rPr>
          <w:color w:val="000000" w:themeColor="text1"/>
          <w:sz w:val="24"/>
          <w:lang w:val="el-GR"/>
        </w:rPr>
        <w:t>ΕΕ</w:t>
      </w:r>
      <w:r w:rsidRPr="00B46E79">
        <w:rPr>
          <w:color w:val="000000" w:themeColor="text1"/>
          <w:sz w:val="24"/>
          <w:lang w:val="el-GR"/>
        </w:rPr>
        <w:t xml:space="preserve"> </w:t>
      </w:r>
      <w:r w:rsidRPr="0046645E">
        <w:rPr>
          <w:color w:val="000000" w:themeColor="text1"/>
          <w:sz w:val="24"/>
          <w:lang w:val="fi-FI"/>
        </w:rPr>
        <w:t>C</w:t>
      </w:r>
      <w:r w:rsidRPr="00B46E79">
        <w:rPr>
          <w:color w:val="000000" w:themeColor="text1"/>
          <w:sz w:val="24"/>
          <w:lang w:val="el-GR"/>
        </w:rPr>
        <w:t xml:space="preserve">, </w:t>
      </w:r>
      <w:r w:rsidRPr="0046645E">
        <w:rPr>
          <w:color w:val="000000" w:themeColor="text1"/>
          <w:sz w:val="24"/>
          <w:lang w:val="fi-FI"/>
        </w:rPr>
        <w:t>C</w:t>
      </w:r>
      <w:r w:rsidRPr="00B46E79">
        <w:rPr>
          <w:color w:val="000000" w:themeColor="text1"/>
          <w:sz w:val="24"/>
          <w:lang w:val="el-GR"/>
        </w:rPr>
        <w:t xml:space="preserve">/2024/2657, 29.4.2024, </w:t>
      </w:r>
      <w:r w:rsidRPr="0046645E">
        <w:rPr>
          <w:color w:val="000000" w:themeColor="text1"/>
          <w:sz w:val="24"/>
          <w:lang w:val="fi-FI"/>
        </w:rPr>
        <w:t>ELI</w:t>
      </w:r>
      <w:r w:rsidRPr="00B46E79">
        <w:rPr>
          <w:color w:val="000000" w:themeColor="text1"/>
          <w:sz w:val="24"/>
          <w:lang w:val="el-GR"/>
        </w:rPr>
        <w:t xml:space="preserve">: </w:t>
      </w:r>
      <w:hyperlink r:id="rId20" w:history="1">
        <w:r w:rsidRPr="0046645E">
          <w:rPr>
            <w:rStyle w:val="Hyperlink"/>
            <w:sz w:val="24"/>
            <w:lang w:val="fi-FI"/>
          </w:rPr>
          <w:t>http</w:t>
        </w:r>
        <w:r w:rsidRPr="00B46E79">
          <w:rPr>
            <w:rStyle w:val="Hyperlink"/>
            <w:sz w:val="24"/>
            <w:lang w:val="el-GR"/>
          </w:rPr>
          <w:t>://</w:t>
        </w:r>
        <w:r w:rsidRPr="0046645E">
          <w:rPr>
            <w:rStyle w:val="Hyperlink"/>
            <w:sz w:val="24"/>
            <w:lang w:val="fi-FI"/>
          </w:rPr>
          <w:t>data</w:t>
        </w:r>
        <w:r w:rsidRPr="00B46E79">
          <w:rPr>
            <w:rStyle w:val="Hyperlink"/>
            <w:sz w:val="24"/>
            <w:lang w:val="el-GR"/>
          </w:rPr>
          <w:t>.</w:t>
        </w:r>
        <w:r w:rsidRPr="0046645E">
          <w:rPr>
            <w:rStyle w:val="Hyperlink"/>
            <w:sz w:val="24"/>
            <w:lang w:val="fi-FI"/>
          </w:rPr>
          <w:t>europa</w:t>
        </w:r>
        <w:r w:rsidRPr="00B46E79">
          <w:rPr>
            <w:rStyle w:val="Hyperlink"/>
            <w:sz w:val="24"/>
            <w:lang w:val="el-GR"/>
          </w:rPr>
          <w:t>.</w:t>
        </w:r>
        <w:r w:rsidRPr="0046645E">
          <w:rPr>
            <w:rStyle w:val="Hyperlink"/>
            <w:sz w:val="24"/>
            <w:lang w:val="fi-FI"/>
          </w:rPr>
          <w:t>eu</w:t>
        </w:r>
        <w:r w:rsidRPr="00B46E79">
          <w:rPr>
            <w:rStyle w:val="Hyperlink"/>
            <w:sz w:val="24"/>
            <w:lang w:val="el-GR"/>
          </w:rPr>
          <w:t>/</w:t>
        </w:r>
        <w:r w:rsidRPr="0046645E">
          <w:rPr>
            <w:rStyle w:val="Hyperlink"/>
            <w:sz w:val="24"/>
            <w:lang w:val="fi-FI"/>
          </w:rPr>
          <w:t>eli</w:t>
        </w:r>
        <w:r w:rsidRPr="00B46E79">
          <w:rPr>
            <w:rStyle w:val="Hyperlink"/>
            <w:sz w:val="24"/>
            <w:lang w:val="el-GR"/>
          </w:rPr>
          <w:t>/</w:t>
        </w:r>
        <w:r w:rsidRPr="0046645E">
          <w:rPr>
            <w:rStyle w:val="Hyperlink"/>
            <w:sz w:val="24"/>
            <w:lang w:val="fi-FI"/>
          </w:rPr>
          <w:t>C</w:t>
        </w:r>
        <w:r w:rsidRPr="00B46E79">
          <w:rPr>
            <w:rStyle w:val="Hyperlink"/>
            <w:sz w:val="24"/>
            <w:lang w:val="el-GR"/>
          </w:rPr>
          <w:t>/2024/2657/</w:t>
        </w:r>
        <w:r w:rsidRPr="0046645E">
          <w:rPr>
            <w:rStyle w:val="Hyperlink"/>
            <w:sz w:val="24"/>
            <w:lang w:val="fi-FI"/>
          </w:rPr>
          <w:t>oj</w:t>
        </w:r>
      </w:hyperlink>
      <w:r w:rsidRPr="00B46E79">
        <w:rPr>
          <w:color w:val="000000" w:themeColor="text1"/>
          <w:sz w:val="24"/>
          <w:lang w:val="el-GR"/>
        </w:rPr>
        <w:t>.</w:t>
      </w:r>
    </w:p>
  </w:footnote>
  <w:footnote w:id="28">
    <w:p w14:paraId="12A738B8" w14:textId="48C3940D"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 xml:space="preserve">FAO, «The future of food and agriculture – Alternative ways to 2050» (Το μέλλον των τροφίμων και της γεωργίας – Εναλλακτικές οδοί για το 2050), </w:t>
      </w:r>
      <w:hyperlink r:id="rId21" w:history="1">
        <w:r w:rsidRPr="00F72961">
          <w:rPr>
            <w:rStyle w:val="Hyperlink"/>
            <w:sz w:val="24"/>
            <w:lang w:val="el-GR"/>
          </w:rPr>
          <w:t>https://www.fao.org/global-perspectives-studies/resources/detail/en/c/1157074/</w:t>
        </w:r>
      </w:hyperlink>
      <w:r w:rsidRPr="00F72961">
        <w:rPr>
          <w:sz w:val="24"/>
          <w:lang w:val="el-GR"/>
        </w:rPr>
        <w:t>.</w:t>
      </w:r>
    </w:p>
  </w:footnote>
  <w:footnote w:id="29">
    <w:p w14:paraId="55FAD35D" w14:textId="6E04C538"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 xml:space="preserve">Ευρωπαϊκός Οργανισμός Φαρμάκων, «European sales and use of antimicrobials for veterinary medicine» (Ευρωπαϊκές πωλήσεις και χρήση αντιμικροβιακών ουσιών στην κτηνιατρική), 31 Μαρτίου 2025, </w:t>
      </w:r>
      <w:hyperlink r:id="rId22" w:history="1">
        <w:r w:rsidRPr="00F72961">
          <w:rPr>
            <w:rStyle w:val="Hyperlink"/>
            <w:sz w:val="24"/>
            <w:lang w:val="el-GR"/>
          </w:rPr>
          <w:t>https://www.ema.europa.eu/en/documents/report/european-sales-use-antimicrobials-veterinary-medicine-annual-surveillance-report-2023_en.pdf</w:t>
        </w:r>
      </w:hyperlink>
      <w:r w:rsidRPr="00F72961">
        <w:rPr>
          <w:sz w:val="24"/>
          <w:lang w:val="el-GR"/>
        </w:rPr>
        <w:t>.</w:t>
      </w:r>
    </w:p>
  </w:footnote>
  <w:footnote w:id="30">
    <w:p w14:paraId="128B7B58" w14:textId="69AEFA7B"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Κανονισμός (ΕΕ) 2022/2472 της Επιτροπής, της 14ης Δεκεμβρίου 2022, για την κήρυξη ορισμένων κατηγοριών ενισχύσεων στους τομείς της γεωργίας και δασοκομίας και σε αγροτικές περιοχές συμβιβάσιμων με την εσωτερική αγορά κατ’ εφαρμογή των άρθρων 107 και 108 της Συνθήκης για τη λειτουργία της Ευρωπαϊκής Ένωσης (ΕΕ L 327 της 21.12.2022, σ. </w:t>
      </w:r>
      <w:r w:rsidRPr="00F72961">
        <w:rPr>
          <w:sz w:val="24"/>
          <w:lang w:val="el-GR"/>
        </w:rPr>
        <w:t>1, ELI: </w:t>
      </w:r>
      <w:hyperlink r:id="rId23" w:tooltip="Πρόσβαση στο έγγραφο μέσω URI τύπου ELI." w:history="1">
        <w:r w:rsidRPr="00F72961">
          <w:rPr>
            <w:rStyle w:val="Hyperlink"/>
            <w:sz w:val="24"/>
            <w:lang w:val="el-GR"/>
          </w:rPr>
          <w:t>http://data.europa.eu/eli/reg/2022/2472/oj</w:t>
        </w:r>
      </w:hyperlink>
      <w:r w:rsidRPr="00F72961">
        <w:rPr>
          <w:sz w:val="24"/>
          <w:lang w:val="el-GR"/>
        </w:rPr>
        <w:t xml:space="preserve">). </w:t>
      </w:r>
    </w:p>
  </w:footnote>
  <w:footnote w:id="31">
    <w:p w14:paraId="0C07894F" w14:textId="4CDF8D49"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 xml:space="preserve">Οδηγία 92/43/ΕΟΚ του Συμβουλίου, της 21ης Μαΐου 1992, για τη διατήρηση των φυσικών οικοτόπων καθώς και της άγριας πανίδας και χλωρίδας (ΕΕ L 206 της 22.7.1992, σ. </w:t>
      </w:r>
      <w:r w:rsidRPr="00F72961">
        <w:rPr>
          <w:sz w:val="24"/>
          <w:lang w:val="el-GR"/>
        </w:rPr>
        <w:t>7, ELI: </w:t>
      </w:r>
      <w:hyperlink r:id="rId24" w:tooltip="Πρόσβαση στο έγγραφο μέσω URI τύπου ELI." w:history="1">
        <w:r w:rsidRPr="00F72961">
          <w:rPr>
            <w:rStyle w:val="Hyperlink"/>
            <w:sz w:val="24"/>
            <w:lang w:val="el-GR"/>
          </w:rPr>
          <w:t>http://data.europa.eu/eli/dir/1992/43/oj</w:t>
        </w:r>
      </w:hyperlink>
      <w:r w:rsidRPr="00F72961">
        <w:rPr>
          <w:sz w:val="24"/>
          <w:lang w:val="el-GR"/>
        </w:rPr>
        <w:t xml:space="preserve">). </w:t>
      </w:r>
    </w:p>
  </w:footnote>
  <w:footnote w:id="32">
    <w:p w14:paraId="182B40DE" w14:textId="159BA39D"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Οδηγία 91/676/ΕΟΚ του Συμβουλίου, της 12ης Δεκεμβρίου 1991, για την προστασία των υδάτων από τη νιτρορύπανση γεωργικής προέλευσης (ΕΕ L 375 της 31.12.1991, σ. </w:t>
      </w:r>
      <w:r w:rsidRPr="00F72961">
        <w:rPr>
          <w:sz w:val="24"/>
          <w:lang w:val="el-GR"/>
        </w:rPr>
        <w:t>1, ELI: </w:t>
      </w:r>
      <w:hyperlink r:id="rId25" w:tooltip="Πρόσβαση στο έγγραφο μέσω URI τύπου ELI." w:history="1">
        <w:r w:rsidRPr="00F72961">
          <w:rPr>
            <w:rStyle w:val="Hyperlink"/>
            <w:sz w:val="24"/>
            <w:lang w:val="el-GR"/>
          </w:rPr>
          <w:t>http://data.europa.eu/eli/dir/1991/676/oj</w:t>
        </w:r>
      </w:hyperlink>
      <w:r w:rsidRPr="00F72961">
        <w:rPr>
          <w:sz w:val="24"/>
          <w:lang w:val="el-GR"/>
        </w:rPr>
        <w:t>).</w:t>
      </w:r>
      <w:r w:rsidRPr="00F72961">
        <w:rPr>
          <w:i/>
          <w:sz w:val="24"/>
          <w:lang w:val="el-GR"/>
        </w:rPr>
        <w:t xml:space="preserve"> </w:t>
      </w:r>
    </w:p>
  </w:footnote>
  <w:footnote w:id="33">
    <w:p w14:paraId="4E643BB8" w14:textId="5330431B"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Κανονισμός (ΕΕ) αριθ. 1169/2011 του Ευρωπαϊκού Κοινοβουλίου και του Συμβουλίου, της 25ης Οκτωβρίου 2011, σχετικά με την παροχή πληροφοριών για τα τρόφιμα στους καταναλωτές, την τροποποίηση των κανονισμών του Ευρωπαϊκού Κοινοβουλίου και του Συμβουλίου (ΕΚ) αριθ. 1924/2006 και (ΕΚ) αριθ. 1925/2006 και την κατάργηση της οδηγίας 87/250/ΕΟΚ της Επιτροπής, της οδηγίας 90/496/ΕΟΚ του Συμβουλίου, της οδηγίας 1999/10/ΕΚ της Επιτροπής, της οδηγίας 2000/13/ΕΚ του Ευρωπαϊκού Κοινοβουλίου και του Συμβουλίου, των οδηγιών της Επιτροπής 2002/67/ΕΚ και 2008/5/ΕΚ και του κανονισμού (ΕΚ) αριθ. 608/2004 της Επιτροπής (ΕΕ L 304 της 22.11.2011, σ. </w:t>
      </w:r>
      <w:r w:rsidRPr="00F72961">
        <w:rPr>
          <w:sz w:val="24"/>
          <w:lang w:val="el-GR"/>
        </w:rPr>
        <w:t>18, ELI: </w:t>
      </w:r>
      <w:hyperlink r:id="rId26" w:tooltip="Πρόσβαση στο έγγραφο μέσω URI τύπου ELI." w:history="1">
        <w:r w:rsidRPr="00F72961">
          <w:rPr>
            <w:rStyle w:val="Hyperlink"/>
            <w:sz w:val="24"/>
            <w:lang w:val="el-GR"/>
          </w:rPr>
          <w:t>http://data.europa.eu/eli/reg/2011/1169/oj</w:t>
        </w:r>
      </w:hyperlink>
      <w:r w:rsidRPr="00F72961">
        <w:rPr>
          <w:sz w:val="24"/>
          <w:lang w:val="el-GR"/>
        </w:rPr>
        <w:t>).</w:t>
      </w:r>
    </w:p>
  </w:footnote>
  <w:footnote w:id="34">
    <w:p w14:paraId="7653EF16" w14:textId="63A7E6B2" w:rsidR="00F166BD" w:rsidRPr="00F72961" w:rsidRDefault="00F166BD" w:rsidP="00E40508">
      <w:pPr>
        <w:pStyle w:val="FootnoteText"/>
        <w:spacing w:line="240" w:lineRule="auto"/>
        <w:ind w:left="567" w:hanging="567"/>
        <w:rPr>
          <w:sz w:val="24"/>
          <w:lang w:val="el-GR"/>
        </w:rPr>
      </w:pPr>
      <w:r w:rsidRPr="00F72961">
        <w:rPr>
          <w:rStyle w:val="FootnoteReference"/>
          <w:sz w:val="24"/>
          <w:lang w:val="el-GR"/>
        </w:rPr>
        <w:footnoteRef/>
      </w:r>
      <w:r w:rsidR="00F72961" w:rsidRPr="00F72961">
        <w:rPr>
          <w:sz w:val="24"/>
          <w:lang w:val="el-GR"/>
        </w:rPr>
        <w:t xml:space="preserve"> </w:t>
      </w:r>
      <w:r w:rsidR="00F72961" w:rsidRPr="00F72961">
        <w:rPr>
          <w:sz w:val="24"/>
          <w:lang w:val="el-GR"/>
        </w:rPr>
        <w:tab/>
      </w:r>
      <w:r w:rsidRPr="00F72961">
        <w:rPr>
          <w:sz w:val="24"/>
          <w:lang w:val="el-GR"/>
        </w:rPr>
        <w:t>Κανονισμός (ΕΕ) 2016/429 του Ευρωπαϊκού Κοινοβουλίου και του Συμβουλίου, της 9ης Μαρτίου 2016, σχετικά με τις μεταδοτικές νόσους των ζώων και για την τροποποίηση και την κατάργηση ορισμένων πράξεων στον τομέα της υγείας των ζώων («νόμος για την υγεία των ζώων») (ΕΕ L 84 της 31.3.2016, σ. </w:t>
      </w:r>
      <w:r w:rsidRPr="00F72961">
        <w:rPr>
          <w:sz w:val="24"/>
          <w:lang w:val="el-GR"/>
        </w:rPr>
        <w:t>1, ELI: </w:t>
      </w:r>
      <w:hyperlink r:id="rId27" w:tooltip="Πρόσβαση στο έγγραφο μέσω URI τύπου ELI." w:history="1">
        <w:r w:rsidRPr="00F72961">
          <w:rPr>
            <w:rStyle w:val="Hyperlink"/>
            <w:sz w:val="24"/>
            <w:lang w:val="el-GR"/>
          </w:rPr>
          <w:t>http://data.europa.eu/eli/reg/2016/429/oj</w:t>
        </w:r>
      </w:hyperlink>
      <w:r w:rsidRPr="00F72961">
        <w:rPr>
          <w:sz w:val="24"/>
          <w:lang w:val="el-GR"/>
        </w:rPr>
        <w:t>).</w:t>
      </w:r>
      <w:r w:rsidRPr="00F72961">
        <w:rPr>
          <w:i/>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791BA" w14:textId="77777777" w:rsidR="00064002" w:rsidRPr="00F729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799F" w14:textId="77777777" w:rsidR="00064002" w:rsidRPr="00F729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18A2" w14:textId="77777777" w:rsidR="00064002" w:rsidRPr="00F729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62730F5"/>
    <w:multiLevelType w:val="hybridMultilevel"/>
    <w:tmpl w:val="A6E4245E"/>
    <w:lvl w:ilvl="0" w:tplc="C4EAFA1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18137284">
    <w:abstractNumId w:val="0"/>
  </w:num>
  <w:num w:numId="2" w16cid:durableId="1310288937">
    <w:abstractNumId w:val="1"/>
  </w:num>
  <w:num w:numId="3" w16cid:durableId="2858912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EL"/>
    <w:docVar w:name="dvnumam" w:val="0"/>
    <w:docVar w:name="dvpe" w:val="774.483"/>
    <w:docVar w:name="dvrapporteur" w:val="Εισηγητής: "/>
    <w:docVar w:name="dvtitre" w:val="Ψήφισμα του Ευρωπαϊκού Κοινοβουλίου της ... 2026 σχετικά με τον τρόπο εξασφάλισης ενός βιώσιμου μέλλοντος για τον κτηνοτροφικό τομέα της ΕΕ υπό το πρίσμα της ανάγκης κατοχύρωσης της επισιτιστικής ασφάλειας, της ανθεκτικότητας των γεωργών και των προκλήσεων που θέτουν οι νόσοι των ζώων(2025/2053(INI))"/>
  </w:docVars>
  <w:rsids>
    <w:rsidRoot w:val="00B15160"/>
    <w:rsid w:val="00002272"/>
    <w:rsid w:val="0002492A"/>
    <w:rsid w:val="00064002"/>
    <w:rsid w:val="000677B9"/>
    <w:rsid w:val="000831BA"/>
    <w:rsid w:val="000A42CC"/>
    <w:rsid w:val="000E7DD9"/>
    <w:rsid w:val="0010095E"/>
    <w:rsid w:val="00125B37"/>
    <w:rsid w:val="00187494"/>
    <w:rsid w:val="00187D8E"/>
    <w:rsid w:val="001F32AE"/>
    <w:rsid w:val="002767FF"/>
    <w:rsid w:val="002A71C2"/>
    <w:rsid w:val="002B18FE"/>
    <w:rsid w:val="002B5493"/>
    <w:rsid w:val="00343214"/>
    <w:rsid w:val="00361C00"/>
    <w:rsid w:val="00395FA1"/>
    <w:rsid w:val="003E15D4"/>
    <w:rsid w:val="00411CCE"/>
    <w:rsid w:val="0041666E"/>
    <w:rsid w:val="00421060"/>
    <w:rsid w:val="0046645E"/>
    <w:rsid w:val="00471C19"/>
    <w:rsid w:val="004867E3"/>
    <w:rsid w:val="00494A28"/>
    <w:rsid w:val="004C0004"/>
    <w:rsid w:val="004C5D52"/>
    <w:rsid w:val="0050519A"/>
    <w:rsid w:val="005072A1"/>
    <w:rsid w:val="00514517"/>
    <w:rsid w:val="00545827"/>
    <w:rsid w:val="00560270"/>
    <w:rsid w:val="005C2568"/>
    <w:rsid w:val="005E48D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160"/>
    <w:rsid w:val="00B22876"/>
    <w:rsid w:val="00B46E7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508"/>
    <w:rsid w:val="00E820A4"/>
    <w:rsid w:val="00EB006A"/>
    <w:rsid w:val="00EB4772"/>
    <w:rsid w:val="00ED169E"/>
    <w:rsid w:val="00ED4235"/>
    <w:rsid w:val="00F016D5"/>
    <w:rsid w:val="00F04346"/>
    <w:rsid w:val="00F075DC"/>
    <w:rsid w:val="00F149E9"/>
    <w:rsid w:val="00F166BD"/>
    <w:rsid w:val="00F5134D"/>
    <w:rsid w:val="00F7296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835C0"/>
  <w15:chartTrackingRefBased/>
  <w15:docId w15:val="{3D8E8A4E-85E4-4026-BC78-8F6A518C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66BD"/>
    <w:pPr>
      <w:spacing w:before="480" w:after="240"/>
    </w:pPr>
    <w:rPr>
      <w:snapToGrid w:val="0"/>
      <w:lang w:eastAsia="en-US"/>
    </w:rPr>
  </w:style>
  <w:style w:type="paragraph" w:customStyle="1" w:styleId="NormalBold">
    <w:name w:val="NormalBold"/>
    <w:basedOn w:val="Normal"/>
    <w:rsid w:val="00F166BD"/>
    <w:rPr>
      <w:b/>
      <w:snapToGrid w:val="0"/>
      <w:lang w:eastAsia="en-US"/>
    </w:rPr>
  </w:style>
  <w:style w:type="paragraph" w:customStyle="1" w:styleId="NormalHanging12a">
    <w:name w:val="NormalHanging12a"/>
    <w:basedOn w:val="Normal"/>
    <w:link w:val="NormalHanging12aChar"/>
    <w:rsid w:val="00F166BD"/>
    <w:pPr>
      <w:widowControl/>
      <w:spacing w:after="240"/>
      <w:ind w:left="567" w:hanging="567"/>
    </w:pPr>
    <w:rPr>
      <w:snapToGrid w:val="0"/>
      <w:lang w:eastAsia="en-US"/>
    </w:rPr>
  </w:style>
  <w:style w:type="character" w:customStyle="1" w:styleId="Bold">
    <w:name w:val="Bold"/>
    <w:uiPriority w:val="1"/>
    <w:rsid w:val="00F166BD"/>
    <w:rPr>
      <w:b/>
    </w:rPr>
  </w:style>
  <w:style w:type="character" w:customStyle="1" w:styleId="BoldItalic">
    <w:name w:val="BoldItalic"/>
    <w:uiPriority w:val="1"/>
    <w:rsid w:val="00F166BD"/>
    <w:rPr>
      <w:b/>
      <w:i/>
      <w:u w:val="none"/>
    </w:rPr>
  </w:style>
  <w:style w:type="character" w:customStyle="1" w:styleId="Italic">
    <w:name w:val="Italic"/>
    <w:uiPriority w:val="1"/>
    <w:rsid w:val="00F166BD"/>
    <w:rPr>
      <w:i/>
    </w:rPr>
  </w:style>
  <w:style w:type="paragraph" w:customStyle="1" w:styleId="Normal12a24b">
    <w:name w:val="Normal12a24b"/>
    <w:basedOn w:val="Normal"/>
    <w:rsid w:val="00F166BD"/>
    <w:pPr>
      <w:spacing w:before="360" w:after="240"/>
    </w:pPr>
    <w:rPr>
      <w:snapToGrid w:val="0"/>
      <w:lang w:eastAsia="en-US"/>
    </w:rPr>
  </w:style>
  <w:style w:type="character" w:styleId="Hyperlink">
    <w:name w:val="Hyperlink"/>
    <w:basedOn w:val="DefaultParagraphFont"/>
    <w:rsid w:val="00F166BD"/>
    <w:rPr>
      <w:color w:val="0000FF"/>
      <w:u w:val="single"/>
    </w:rPr>
  </w:style>
  <w:style w:type="character" w:customStyle="1" w:styleId="NormalHanging12aChar">
    <w:name w:val="NormalHanging12a Char"/>
    <w:basedOn w:val="DefaultParagraphFont"/>
    <w:link w:val="NormalHanging12a"/>
    <w:rsid w:val="00F166BD"/>
    <w:rPr>
      <w:snapToGrid w:val="0"/>
      <w:sz w:val="24"/>
      <w:lang w:val="el-GR" w:eastAsia="en-US"/>
    </w:rPr>
  </w:style>
  <w:style w:type="paragraph" w:styleId="Revision">
    <w:name w:val="Revision"/>
    <w:hidden/>
    <w:uiPriority w:val="99"/>
    <w:semiHidden/>
    <w:rsid w:val="00E40508"/>
    <w:rPr>
      <w:sz w:val="24"/>
      <w:lang w:val="el-GR"/>
    </w:rPr>
  </w:style>
  <w:style w:type="paragraph" w:styleId="ListParagraph">
    <w:name w:val="List Paragraph"/>
    <w:basedOn w:val="Normal"/>
    <w:uiPriority w:val="34"/>
    <w:qFormat/>
    <w:rsid w:val="00E40508"/>
    <w:pPr>
      <w:ind w:left="720"/>
      <w:contextualSpacing/>
    </w:pPr>
  </w:style>
  <w:style w:type="character" w:styleId="FollowedHyperlink">
    <w:name w:val="FollowedHyperlink"/>
    <w:basedOn w:val="DefaultParagraphFont"/>
    <w:rsid w:val="002A71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15887</Words>
  <Characters>95997</Characters>
  <Application>Microsoft Office Word</Application>
  <DocSecurity>0</DocSecurity>
  <Lines>799</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 </cp:lastModifiedBy>
  <cp:revision>2</cp:revision>
  <cp:lastPrinted>2004-11-19T15:42:00Z</cp:lastPrinted>
  <dcterms:created xsi:type="dcterms:W3CDTF">2026-04-30T12:17:00Z</dcterms:created>
  <dcterms:modified xsi:type="dcterms:W3CDTF">2026-04-30T12:17:00Z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A10-0088/2026</vt:lpwstr>
  </property>
  <property fmtid="{D5CDD505-2E9C-101B-9397-08002B2CF9AE}" pid="4" name="&lt;Type&gt;">
    <vt:lpwstr>RR</vt:lpwstr>
  </property>
</Properties>
</file>