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1FC6" w14:paraId="78804D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7C664C" w14:textId="77777777" w:rsidR="00751A4A" w:rsidRPr="00AC1FC6" w:rsidRDefault="00EE4545" w:rsidP="0010095E">
            <w:pPr>
              <w:pStyle w:val="EPName"/>
            </w:pPr>
            <w:r w:rsidRPr="00AC1FC6">
              <w:t>Parlament Europejski</w:t>
            </w:r>
          </w:p>
          <w:p w14:paraId="226D50FF" w14:textId="77777777" w:rsidR="00751A4A" w:rsidRPr="00AC1F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1FC6">
              <w:t>2024</w:t>
            </w:r>
            <w:r w:rsidR="00817416" w:rsidRPr="00AC1FC6">
              <w:t>-202</w:t>
            </w:r>
            <w:r w:rsidRPr="00AC1FC6">
              <w:t>9</w:t>
            </w:r>
          </w:p>
        </w:tc>
        <w:tc>
          <w:tcPr>
            <w:tcW w:w="2268" w:type="dxa"/>
            <w:shd w:val="clear" w:color="auto" w:fill="auto"/>
          </w:tcPr>
          <w:p w14:paraId="56C902E1" w14:textId="77777777" w:rsidR="00751A4A" w:rsidRPr="00AC1FC6" w:rsidRDefault="00187494" w:rsidP="0010095E">
            <w:pPr>
              <w:pStyle w:val="EPLogo"/>
            </w:pPr>
            <w:r w:rsidRPr="00AC1FC6">
              <w:rPr>
                <w:noProof/>
                <w:lang w:eastAsia="ja-JP"/>
              </w:rPr>
              <w:drawing>
                <wp:inline distT="0" distB="0" distL="0" distR="0" wp14:anchorId="23BA3AE0" wp14:editId="3A7163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19BBD9" w14:textId="77777777" w:rsidR="00D058B8" w:rsidRPr="00AC1FC6" w:rsidRDefault="00D058B8" w:rsidP="004C5D52">
      <w:pPr>
        <w:pStyle w:val="LineTop"/>
      </w:pPr>
    </w:p>
    <w:p w14:paraId="0F486E0B" w14:textId="77777777" w:rsidR="00680577" w:rsidRPr="00AC1FC6" w:rsidRDefault="00EE4545" w:rsidP="00680577">
      <w:pPr>
        <w:pStyle w:val="EPBodyTA1"/>
      </w:pPr>
      <w:r w:rsidRPr="00AC1FC6">
        <w:t>TEKSTY PRZYJĘTE</w:t>
      </w:r>
    </w:p>
    <w:p w14:paraId="68B2595C" w14:textId="77777777" w:rsidR="00D058B8" w:rsidRPr="00AC1FC6" w:rsidRDefault="00D058B8" w:rsidP="00D058B8">
      <w:pPr>
        <w:pStyle w:val="LineBottom"/>
      </w:pPr>
    </w:p>
    <w:p w14:paraId="1D1B158F" w14:textId="1B0539CB" w:rsidR="00EE4545" w:rsidRPr="00AC1FC6" w:rsidRDefault="00EE4545" w:rsidP="00EE4545">
      <w:pPr>
        <w:pStyle w:val="ATHeading1"/>
      </w:pPr>
      <w:bookmarkStart w:id="0" w:name="TANumber"/>
      <w:r w:rsidRPr="00AC1FC6">
        <w:t>P10_</w:t>
      </w:r>
      <w:proofErr w:type="gramStart"/>
      <w:r w:rsidRPr="00AC1FC6">
        <w:t>TA(</w:t>
      </w:r>
      <w:proofErr w:type="gramEnd"/>
      <w:r w:rsidRPr="00AC1FC6">
        <w:t>2026)0</w:t>
      </w:r>
      <w:bookmarkEnd w:id="0"/>
      <w:r w:rsidR="00802AD3">
        <w:t>157</w:t>
      </w:r>
    </w:p>
    <w:p w14:paraId="466FEC31" w14:textId="3B148907" w:rsidR="00EE4545" w:rsidRPr="00AC1FC6" w:rsidRDefault="00EE4545" w:rsidP="00EE4545">
      <w:pPr>
        <w:pStyle w:val="ATHeading2"/>
      </w:pPr>
      <w:bookmarkStart w:id="1" w:name="title"/>
      <w:r w:rsidRPr="00AC1FC6">
        <w:t>Jak zapewnić zrównoważoną przyszłość unijnego sektora produkcji zwierzęcej, uwzględniając</w:t>
      </w:r>
      <w:r w:rsidR="000D2A6F">
        <w:t xml:space="preserve"> </w:t>
      </w:r>
      <w:r w:rsidRPr="00AC1FC6">
        <w:t>konieczność zagwarantowania bezpieczeństwa żywnościowego i odporności rolników, a także</w:t>
      </w:r>
      <w:r w:rsidR="000D2A6F">
        <w:t xml:space="preserve"> </w:t>
      </w:r>
      <w:r w:rsidRPr="00AC1FC6">
        <w:t>wyzwania związane z chorobami zwierzęcymi</w:t>
      </w:r>
      <w:bookmarkEnd w:id="1"/>
    </w:p>
    <w:p w14:paraId="4EC4E3AC" w14:textId="77777777" w:rsidR="00EE4545" w:rsidRPr="00AC1FC6" w:rsidRDefault="00EE4545" w:rsidP="00EE4545">
      <w:pPr>
        <w:rPr>
          <w:i/>
          <w:vanish/>
        </w:rPr>
      </w:pPr>
      <w:r w:rsidRPr="00AC1FC6">
        <w:rPr>
          <w:i/>
        </w:rPr>
        <w:fldChar w:fldCharType="begin"/>
      </w:r>
      <w:r w:rsidRPr="00AC1FC6">
        <w:rPr>
          <w:i/>
        </w:rPr>
        <w:instrText xml:space="preserve"> TC"(</w:instrText>
      </w:r>
      <w:bookmarkStart w:id="2" w:name="DocNumber"/>
      <w:r w:rsidRPr="00AC1FC6">
        <w:rPr>
          <w:i/>
        </w:rPr>
        <w:instrText>A10-0088/2026</w:instrText>
      </w:r>
      <w:bookmarkEnd w:id="2"/>
      <w:r w:rsidRPr="00AC1FC6">
        <w:rPr>
          <w:i/>
        </w:rPr>
        <w:instrText xml:space="preserve"> - Sprawozdawca: Carlo </w:instrText>
      </w:r>
      <w:proofErr w:type="spellStart"/>
      <w:r w:rsidRPr="00AC1FC6">
        <w:rPr>
          <w:i/>
        </w:rPr>
        <w:instrText>Fidanza</w:instrText>
      </w:r>
      <w:proofErr w:type="spellEnd"/>
      <w:r w:rsidRPr="00AC1FC6">
        <w:rPr>
          <w:i/>
        </w:rPr>
        <w:instrText xml:space="preserve">)"\l3 \n&gt; \* MERGEFORMAT </w:instrText>
      </w:r>
      <w:r w:rsidRPr="00AC1FC6">
        <w:rPr>
          <w:i/>
        </w:rPr>
        <w:fldChar w:fldCharType="end"/>
      </w:r>
    </w:p>
    <w:p w14:paraId="725F2F73" w14:textId="77777777" w:rsidR="00EE4545" w:rsidRPr="00AC1FC6" w:rsidRDefault="00EE4545" w:rsidP="00EE4545">
      <w:pPr>
        <w:rPr>
          <w:vanish/>
        </w:rPr>
      </w:pPr>
      <w:bookmarkStart w:id="3" w:name="Commission"/>
      <w:r w:rsidRPr="00AC1FC6">
        <w:rPr>
          <w:vanish/>
        </w:rPr>
        <w:t>Komisja Rolnictwa i Rozwoju Wsi</w:t>
      </w:r>
      <w:bookmarkEnd w:id="3"/>
    </w:p>
    <w:p w14:paraId="48AC332E" w14:textId="77777777" w:rsidR="00EE4545" w:rsidRPr="00AC1FC6" w:rsidRDefault="00EE4545" w:rsidP="00EE4545">
      <w:pPr>
        <w:rPr>
          <w:vanish/>
        </w:rPr>
      </w:pPr>
      <w:bookmarkStart w:id="4" w:name="PE"/>
      <w:r w:rsidRPr="00AC1FC6">
        <w:rPr>
          <w:vanish/>
        </w:rPr>
        <w:t>PE774.483</w:t>
      </w:r>
      <w:bookmarkEnd w:id="4"/>
    </w:p>
    <w:p w14:paraId="113454D7" w14:textId="3F4280D8" w:rsidR="00EE4545" w:rsidRPr="00AC1FC6" w:rsidRDefault="00EE4545" w:rsidP="00EE4545">
      <w:pPr>
        <w:pStyle w:val="ATHeading3"/>
      </w:pPr>
      <w:bookmarkStart w:id="5" w:name="Sujet"/>
      <w:r w:rsidRPr="00AC1FC6">
        <w:t xml:space="preserve">Rezolucja Parlamentu Europejskiego z dnia </w:t>
      </w:r>
      <w:r w:rsidR="000D2A6F">
        <w:t>30 kwietnia</w:t>
      </w:r>
      <w:r w:rsidRPr="00AC1FC6">
        <w:t xml:space="preserve"> 2026 r. w sprawie sposobu zapewnienia zrównoważonej przyszłości unijnego sektora produkcji zwierzęcej w świetle konieczności zagwarantowania bezpieczeństwa żywnościowego, odporności rolników oraz wyzwań związanych z chorobami zwierzęcymi</w:t>
      </w:r>
      <w:bookmarkEnd w:id="5"/>
      <w:r w:rsidRPr="00AC1FC6">
        <w:t xml:space="preserve"> </w:t>
      </w:r>
      <w:bookmarkStart w:id="6" w:name="References"/>
      <w:r w:rsidRPr="00AC1FC6">
        <w:t>(2025/2053(INI))</w:t>
      </w:r>
      <w:bookmarkEnd w:id="6"/>
    </w:p>
    <w:p w14:paraId="2F5F6E31" w14:textId="77777777" w:rsidR="00E527F1" w:rsidRPr="00AC1FC6" w:rsidRDefault="00E527F1" w:rsidP="00E527F1">
      <w:pPr>
        <w:pStyle w:val="EPComma"/>
        <w:ind w:left="567" w:hanging="567"/>
      </w:pPr>
      <w:r w:rsidRPr="00AC1FC6">
        <w:rPr>
          <w:rStyle w:val="Italic"/>
          <w:iCs/>
        </w:rPr>
        <w:t>Parlament Europejski</w:t>
      </w:r>
      <w:r w:rsidRPr="00AC1FC6">
        <w:t>,</w:t>
      </w:r>
    </w:p>
    <w:p w14:paraId="7B131B46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art. 38 i 39 Traktatu o funkcjonowaniu Unii Europejskiej (TFUE), które ustanawiają wspólną politykę rolną (WPR) i jej cele,</w:t>
      </w:r>
    </w:p>
    <w:p w14:paraId="270A4597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rozporządzenie Parlamentu Europejskiego i Rady (UE) 2021/2115 z dnia 2 grudnia 2021 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 1305/2013 i (UE) nr 1307/2013</w:t>
      </w:r>
      <w:r w:rsidRPr="00AC1FC6">
        <w:rPr>
          <w:rStyle w:val="FootnoteReference"/>
        </w:rPr>
        <w:footnoteReference w:id="1"/>
      </w:r>
      <w:r w:rsidRPr="00AC1FC6">
        <w:t>,</w:t>
      </w:r>
    </w:p>
    <w:p w14:paraId="501C80C1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rozporządzenie Parlamentu Europejskiego i Rady (UE) 2021/2116 z dnia 2 grudnia 2021 r. w sprawie finansowania wspólnej polityki rolnej, zarządzania nią i monitorowania jej oraz uchylenia rozporządzenia (UE) nr 1306/2013</w:t>
      </w:r>
      <w:r w:rsidRPr="00AC1FC6">
        <w:rPr>
          <w:rStyle w:val="FootnoteReference"/>
        </w:rPr>
        <w:footnoteReference w:id="2"/>
      </w:r>
      <w:r w:rsidRPr="00AC1FC6">
        <w:t>,</w:t>
      </w:r>
    </w:p>
    <w:p w14:paraId="70845037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 xml:space="preserve">uwzględniając rozporządzenie Parlamentu Europejskiego i Rady (UE) 2021/2117 z dnia 2 grudnia 2021 r. zmieniające rozporządzenia (UE) nr 1308/2013 ustanawiające wspólną organizację rynków produktów rolnych, (UE) nr 1151/2012 w sprawie systemów jakości produktów rolnych i środków spożywczych, (UE) nr 251/2014 w sprawie definicji, opisu, prezentacji, etykietowania i ochrony oznaczeń geograficznych aromatyzowanych produktów sektora wina i (UE) nr 228/2013 </w:t>
      </w:r>
      <w:r w:rsidRPr="00AC1FC6">
        <w:lastRenderedPageBreak/>
        <w:t>ustanawiające szczególne środki w dziedzinie rolnictwa na rzecz regionów najbardziej oddalonych w Unii Europejskiej</w:t>
      </w:r>
      <w:r w:rsidRPr="00AC1FC6">
        <w:rPr>
          <w:rStyle w:val="FootnoteReference"/>
        </w:rPr>
        <w:footnoteReference w:id="3"/>
      </w:r>
      <w:r w:rsidRPr="00AC1FC6">
        <w:t>,</w:t>
      </w:r>
    </w:p>
    <w:p w14:paraId="1F064199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rozporządzenie Parlamentu Europejskiego i Rady (UE) 2024/1468 z dnia 14 maja 2024 r. w sprawie zmiany rozporządzeń (UE) 2021/2115 i (UE) 2021/2116 w odniesieniu do norm dobrej kultury rolnej zgodnej z ochroną środowiska, schematów na rzecz klimatu, środowiska i dobrostanu zwierząt, zmian w planach strategicznych WPR, przeglądu planów strategicznych WPR oraz zwolnień z kontroli i kar</w:t>
      </w:r>
      <w:r w:rsidRPr="00AC1FC6">
        <w:rPr>
          <w:rStyle w:val="FootnoteReference"/>
        </w:rPr>
        <w:footnoteReference w:id="4"/>
      </w:r>
      <w:r w:rsidRPr="00AC1FC6">
        <w:t>,</w:t>
      </w:r>
    </w:p>
    <w:p w14:paraId="4E0F488C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</w:t>
      </w:r>
      <w:r w:rsidRPr="00AC1FC6">
        <w:rPr>
          <w:rStyle w:val="Bold"/>
        </w:rPr>
        <w:t xml:space="preserve"> </w:t>
      </w:r>
      <w:r w:rsidRPr="00AC1FC6">
        <w:t xml:space="preserve">rozporządzenie Parlamentu Europejskiego i Rady (UE) 2024/3012 z dnia 27 listopada 2024 r. w sprawie ustanowienia unijnych ram certyfikacji trwałego pochłaniania dwutlenku węgla, technik </w:t>
      </w:r>
      <w:proofErr w:type="spellStart"/>
      <w:r w:rsidRPr="00AC1FC6">
        <w:t>węglochłonnych</w:t>
      </w:r>
      <w:proofErr w:type="spellEnd"/>
      <w:r w:rsidRPr="00AC1FC6">
        <w:t xml:space="preserve"> oraz składowania dwutlenku węgla w produktach</w:t>
      </w:r>
      <w:r w:rsidRPr="00AC1FC6">
        <w:rPr>
          <w:rStyle w:val="FootnoteReference"/>
        </w:rPr>
        <w:footnoteReference w:id="5"/>
      </w:r>
      <w:r w:rsidRPr="00AC1FC6">
        <w:t>,</w:t>
      </w:r>
    </w:p>
    <w:p w14:paraId="3B5F0504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komunikat Komisji z 19 lutego 2025 r. pt. „Wizja dla rolnictwa i żywności – Wspólne kształtowanie unijnego sektora rolnego i spożywczego, atrakcyjnego dla przyszłych pokoleń” (</w:t>
      </w:r>
      <w:proofErr w:type="gramStart"/>
      <w:r w:rsidRPr="00AC1FC6">
        <w:t>COM(</w:t>
      </w:r>
      <w:proofErr w:type="gramEnd"/>
      <w:r w:rsidRPr="00AC1FC6">
        <w:t>2025)0075),</w:t>
      </w:r>
    </w:p>
    <w:p w14:paraId="47504258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opublikowane 4 września 2024 r. sprawozdanie końcowe ze strategicznego dialogu na temat przyszłości rolnictwa UE zatytułowane „A </w:t>
      </w:r>
      <w:proofErr w:type="spellStart"/>
      <w:r w:rsidRPr="00AC1FC6">
        <w:t>shared</w:t>
      </w:r>
      <w:proofErr w:type="spellEnd"/>
      <w:r w:rsidRPr="00AC1FC6">
        <w:t xml:space="preserve"> </w:t>
      </w:r>
      <w:proofErr w:type="spellStart"/>
      <w:r w:rsidRPr="00AC1FC6">
        <w:t>prospect</w:t>
      </w:r>
      <w:proofErr w:type="spellEnd"/>
      <w:r w:rsidRPr="00AC1FC6">
        <w:t xml:space="preserve"> for </w:t>
      </w:r>
      <w:proofErr w:type="spellStart"/>
      <w:r w:rsidRPr="00AC1FC6">
        <w:t>farming</w:t>
      </w:r>
      <w:proofErr w:type="spellEnd"/>
      <w:r w:rsidRPr="00AC1FC6">
        <w:t xml:space="preserve"> and food in Europe” [Wspólna perspektywa rolnictwa i żywności w Europie]</w:t>
      </w:r>
      <w:r w:rsidRPr="00AC1FC6">
        <w:rPr>
          <w:rStyle w:val="FootnoteReference"/>
        </w:rPr>
        <w:footnoteReference w:id="6"/>
      </w:r>
      <w:r w:rsidRPr="00AC1FC6">
        <w:t>,</w:t>
      </w:r>
    </w:p>
    <w:p w14:paraId="6D0E0647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rozporządzenie Parlamentu Europejskiego i Rady (UE) 2016/429 z dnia 9 marca 2016 r. w sprawie przenośnych chorób zwierząt oraz zmieniające i uchylające niektóre akty w dziedzinie zdrowia zwierząt (Prawo o zdrowiu zwierząt)</w:t>
      </w:r>
      <w:r w:rsidRPr="00AC1FC6">
        <w:rPr>
          <w:rStyle w:val="FootnoteReference"/>
        </w:rPr>
        <w:footnoteReference w:id="7"/>
      </w:r>
      <w:r w:rsidRPr="00AC1FC6">
        <w:t>,</w:t>
      </w:r>
    </w:p>
    <w:p w14:paraId="4E13C99A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rozporządzenie wykonawcze Komisji (UE) 2020/2002 z dnia 7 grudnia 2020 r. ustanawiające zasady stosowania rozporządzenia Parlamentu Europejskiego i Rady (UE) 2016/429 w odniesieniu do powiadamiania unijnego i sprawozdawczości unijnej w zakresie chorób umieszczonych w wykazie, formatów i procedur dotyczących przedkładania unijnych programów nadzoru i programów likwidacji choroby i sprawozdawczości w ich zakresie oraz wnioskowania o uznanie statusu obszaru wolnego od choroby, a także komputerowego systemu informacyjnego</w:t>
      </w:r>
      <w:r w:rsidRPr="00AC1FC6">
        <w:rPr>
          <w:rStyle w:val="FootnoteReference"/>
        </w:rPr>
        <w:footnoteReference w:id="8"/>
      </w:r>
      <w:r w:rsidRPr="00AC1FC6">
        <w:t>,</w:t>
      </w:r>
    </w:p>
    <w:p w14:paraId="682A03DE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rozporządzenie delegowane Komisji (UE) 2020/689 z dnia 17 grudnia 2019 r. uzupełniające rozporządzenie Parlamentu Europejskiego i Rady (UE) 2016/429 w odniesieniu do zasad dotyczących nadzoru, programów likwidacji choroby oraz statusu obszaru wolnego od choroby w przypadku niektórych chorób umieszczonych w wykazie i niektórych nowo występujących chorób</w:t>
      </w:r>
      <w:r w:rsidRPr="00AC1FC6">
        <w:rPr>
          <w:rStyle w:val="FootnoteReference"/>
        </w:rPr>
        <w:footnoteReference w:id="9"/>
      </w:r>
      <w:r w:rsidRPr="00AC1FC6">
        <w:t>,</w:t>
      </w:r>
    </w:p>
    <w:p w14:paraId="2EE33D35" w14:textId="77777777" w:rsidR="00E527F1" w:rsidRPr="00AC1FC6" w:rsidRDefault="00E527F1" w:rsidP="00E527F1">
      <w:pPr>
        <w:pStyle w:val="NormalHanging12a"/>
      </w:pPr>
      <w:r w:rsidRPr="00AC1FC6">
        <w:lastRenderedPageBreak/>
        <w:t>–</w:t>
      </w:r>
      <w:r w:rsidRPr="00AC1FC6">
        <w:tab/>
        <w:t>uwzględniając rozporządzenie Parlamentu Europejskiego i Rady (WE) nr 1069/2009 z dnia 21 października 2009 r. określające przepisy sanitarne dotyczące produktów ubocznych pochodzenia zwierzęcego, nieprzeznaczonych do spożycia przez ludzi, i uchylające rozporządzenie (WE) nr 1774/2002 (rozporządzenie o produktach ubocznych pochodzenia zwierzęcego)</w:t>
      </w:r>
      <w:r w:rsidRPr="00AC1FC6">
        <w:rPr>
          <w:rStyle w:val="FootnoteReference"/>
        </w:rPr>
        <w:footnoteReference w:id="10"/>
      </w:r>
      <w:r w:rsidRPr="00AC1FC6">
        <w:t>,</w:t>
      </w:r>
    </w:p>
    <w:p w14:paraId="5EAFE0C3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dyrektywę 2003/99/WE Parlamentu Europejskiego i Rady z dnia 17 listopada 2003 r. w sprawie monitorowania chorób odzwierzęcych i odzwierzęcych czynników chorobotwórczych, zmieniającą decyzję Rady 90/424/EWG i uchylającą dyrektywę Rady 92/117/EWG</w:t>
      </w:r>
      <w:r w:rsidRPr="00AC1FC6">
        <w:rPr>
          <w:rStyle w:val="FootnoteReference"/>
        </w:rPr>
        <w:footnoteReference w:id="11"/>
      </w:r>
      <w:r w:rsidRPr="00AC1FC6">
        <w:t>,</w:t>
      </w:r>
    </w:p>
    <w:p w14:paraId="1C4E6FC2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rozporządzenie delegowane Komisji (UE) 2020/687 z dnia 17 grudnia 2019 r. uzupełniające rozporządzenie Parlamentu Europejskiego i Rady (UE) 2016/429 w odniesieniu do przepisów dotyczących zapobiegania niektórym chorobom umieszczonym w wykazie oraz ich zwalczania</w:t>
      </w:r>
      <w:r w:rsidRPr="00AC1FC6">
        <w:rPr>
          <w:rStyle w:val="FootnoteReference"/>
        </w:rPr>
        <w:footnoteReference w:id="12"/>
      </w:r>
      <w:r w:rsidRPr="00AC1FC6">
        <w:t>,</w:t>
      </w:r>
    </w:p>
    <w:p w14:paraId="082233EE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dyrektywę Rady 98/58/WE z dnia 20 lipca 1998 r. dotyczącą ochrony zwierząt hodowanych dla celów rolniczych</w:t>
      </w:r>
      <w:r w:rsidRPr="00AC1FC6">
        <w:rPr>
          <w:rStyle w:val="FootnoteReference"/>
        </w:rPr>
        <w:footnoteReference w:id="13"/>
      </w:r>
      <w:r w:rsidRPr="00AC1FC6">
        <w:t>, rozporządzenie Rady (WE) nr 1/2005 z dnia 22 grudnia 2004 r. w sprawie ochrony zwierząt podczas transportu i związanych z tym działań oraz zmieniające dyrektywy 64/432/EWG i 93/119/WE oraz rozporządzenie (WE) nr 1255/97</w:t>
      </w:r>
      <w:r w:rsidRPr="00AC1FC6">
        <w:rPr>
          <w:vertAlign w:val="superscript"/>
        </w:rPr>
        <w:footnoteReference w:id="14"/>
      </w:r>
      <w:r w:rsidRPr="00AC1FC6">
        <w:t>, a także rozporządzenie Rady (WE) nr 1099/2009 z dnia 24 września 2009 r. w sprawie ochrony zwierząt podczas ich uśmiercania</w:t>
      </w:r>
      <w:r w:rsidRPr="00AC1FC6">
        <w:rPr>
          <w:vertAlign w:val="superscript"/>
        </w:rPr>
        <w:footnoteReference w:id="15"/>
      </w:r>
      <w:r w:rsidRPr="00AC1FC6">
        <w:t>,</w:t>
      </w:r>
    </w:p>
    <w:p w14:paraId="232EEBC2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rozporządzenie Parlamentu Europejskiego i Rady (UE) 2019/6 z dnia 11 grudnia 2018 r. w sprawie weterynaryjnych produktów leczniczych i uchylające dyrektywę 2001/82/WE</w:t>
      </w:r>
      <w:r w:rsidRPr="00AC1FC6">
        <w:rPr>
          <w:rStyle w:val="FootnoteReference"/>
        </w:rPr>
        <w:footnoteReference w:id="16"/>
      </w:r>
      <w:r w:rsidRPr="00AC1FC6">
        <w:t>,</w:t>
      </w:r>
    </w:p>
    <w:p w14:paraId="5A173117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zalecenie Rady z 13 czerwca 2023 r. w sprawie intensyfikacji działań w zakresie zwalczania oporności na środki przeciwdrobnoustrojowe w ramach podejścia „Jedno zdrowie” (2023/C 220/01)</w:t>
      </w:r>
      <w:r w:rsidRPr="00AC1FC6">
        <w:rPr>
          <w:rStyle w:val="FootnoteReference"/>
        </w:rPr>
        <w:footnoteReference w:id="17"/>
      </w:r>
      <w:r w:rsidRPr="00AC1FC6">
        <w:t>,</w:t>
      </w:r>
    </w:p>
    <w:p w14:paraId="46C3215D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 xml:space="preserve">uwzględniając decyzję wykonawczą Komisji (UE) 2020/1729 z dnia 17 listopada 2020 r. w sprawie monitorowania i sprawozdawczości w zakresie oporności na środki przeciwdrobnoustrojowe u bakterii </w:t>
      </w:r>
      <w:proofErr w:type="spellStart"/>
      <w:r w:rsidRPr="00AC1FC6">
        <w:t>zoonotycznych</w:t>
      </w:r>
      <w:proofErr w:type="spellEnd"/>
      <w:r w:rsidRPr="00AC1FC6">
        <w:t xml:space="preserve"> i </w:t>
      </w:r>
      <w:proofErr w:type="spellStart"/>
      <w:r w:rsidRPr="00AC1FC6">
        <w:t>komensalnych</w:t>
      </w:r>
      <w:proofErr w:type="spellEnd"/>
      <w:r w:rsidRPr="00AC1FC6">
        <w:t xml:space="preserve"> oraz w sprawie uchylenia decyzji wykonawczej 2013/652/UE</w:t>
      </w:r>
      <w:r w:rsidRPr="00AC1FC6">
        <w:rPr>
          <w:rStyle w:val="FootnoteReference"/>
        </w:rPr>
        <w:footnoteReference w:id="18"/>
      </w:r>
      <w:r w:rsidRPr="00AC1FC6">
        <w:t>,</w:t>
      </w:r>
    </w:p>
    <w:p w14:paraId="46E3B6BD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zawiadomienie Komisji pt. „Wytyczne dotyczące rozważnego stosowania środków przeciwdrobnoustrojowych w medycynie weterynaryjnej” (2015/C 299/04)</w:t>
      </w:r>
      <w:r w:rsidRPr="00AC1FC6">
        <w:rPr>
          <w:rStyle w:val="FootnoteReference"/>
        </w:rPr>
        <w:footnoteReference w:id="19"/>
      </w:r>
      <w:r w:rsidRPr="00AC1FC6">
        <w:t xml:space="preserve"> opublikowane 11 września 2015 r.,</w:t>
      </w:r>
    </w:p>
    <w:p w14:paraId="28E65537" w14:textId="77777777" w:rsidR="00E527F1" w:rsidRPr="00AC1FC6" w:rsidRDefault="00E527F1" w:rsidP="00E527F1">
      <w:pPr>
        <w:pStyle w:val="NormalHanging12a"/>
      </w:pPr>
      <w:r w:rsidRPr="00AC1FC6">
        <w:lastRenderedPageBreak/>
        <w:t>–</w:t>
      </w:r>
      <w:r w:rsidRPr="00AC1FC6">
        <w:tab/>
        <w:t xml:space="preserve">uwzględniając zalecenia belgijskiej prezydencji w Radzie UE wydane w następstwie konferencji ministerialnej na temat chorób zwierząt z 24 stycznia 2024 r., w których stwierdzono, że </w:t>
      </w:r>
      <w:proofErr w:type="spellStart"/>
      <w:r w:rsidRPr="00AC1FC6">
        <w:t>bioasekuracja</w:t>
      </w:r>
      <w:proofErr w:type="spellEnd"/>
      <w:r w:rsidRPr="00AC1FC6">
        <w:t xml:space="preserve"> i szczepienia powinny stać się filarami strategii alternatywnych dla masowego uboju w zarządzaniu epidemiami zakaźnymi w gospodarstwach,</w:t>
      </w:r>
    </w:p>
    <w:p w14:paraId="275FEFAE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komunikat Komisji z dnia 15 listopada 2011 r. dotyczący planu działania na rzecz zwalczania rosnącego zagrożenia związanego z opornością na środki przeciwdrobnoustrojowe (</w:t>
      </w:r>
      <w:proofErr w:type="gramStart"/>
      <w:r w:rsidRPr="00AC1FC6">
        <w:t>COM(</w:t>
      </w:r>
      <w:proofErr w:type="gramEnd"/>
      <w:r w:rsidRPr="00AC1FC6">
        <w:t>2011)0748),</w:t>
      </w:r>
    </w:p>
    <w:p w14:paraId="267AB1BE" w14:textId="12529CB6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rozporządzenie Rady (WE) nr 1/2005 z dnia 22 grudnia 2004 r. w sprawie ochrony zwierząt podczas transportu i związanych z tym działań oraz zmieniające dyrektywy 64/432/EWG i 93/119/WE oraz rozporządzenie (WE) nr 1255/97,</w:t>
      </w:r>
    </w:p>
    <w:p w14:paraId="4C017D18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swoją rezolucję z dnia 19 października 2023 r. w sprawie wymiany pokoleniowej w unijnych gospodarstwach rolnych przyszłości</w:t>
      </w:r>
      <w:r w:rsidRPr="00AC1FC6">
        <w:rPr>
          <w:rStyle w:val="FootnoteReference"/>
        </w:rPr>
        <w:footnoteReference w:id="20"/>
      </w:r>
      <w:r w:rsidRPr="00AC1FC6">
        <w:t>,</w:t>
      </w:r>
    </w:p>
    <w:p w14:paraId="7028EEF6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swoją rezolucję z dnia 14 czerwca 2023 r. w sprawie zapewnienia bezpieczeństwa żywnościowego i długoterminowej odporności rolnictwa UE</w:t>
      </w:r>
      <w:r w:rsidRPr="00AC1FC6">
        <w:rPr>
          <w:rStyle w:val="FootnoteReference"/>
        </w:rPr>
        <w:footnoteReference w:id="21"/>
      </w:r>
      <w:r w:rsidRPr="00AC1FC6">
        <w:t>,</w:t>
      </w:r>
    </w:p>
    <w:p w14:paraId="6D644D20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swoją rezolucję z dnia 13 grudnia 2022 r. w sprawie długoterminowej wizji dla obszarów wiejskich UE – w kierunku silniejszych, lepiej skomunikowanych, odpornych i zamożnych obszarów wiejskich do 2040 r.</w:t>
      </w:r>
      <w:r w:rsidRPr="00AC1FC6">
        <w:rPr>
          <w:rStyle w:val="FootnoteReference"/>
        </w:rPr>
        <w:footnoteReference w:id="22"/>
      </w:r>
      <w:r w:rsidRPr="00AC1FC6">
        <w:t>,</w:t>
      </w:r>
    </w:p>
    <w:p w14:paraId="3BEFA4E9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swoją rezolucję z dnia 24 listopada 2022 r. w sprawie ochrony hodowli zwierząt gospodarskich i dużych drapieżników w Europie</w:t>
      </w:r>
      <w:r w:rsidRPr="00AC1FC6">
        <w:rPr>
          <w:rStyle w:val="FootnoteReference"/>
        </w:rPr>
        <w:footnoteReference w:id="23"/>
      </w:r>
      <w:r w:rsidRPr="00AC1FC6">
        <w:t>,</w:t>
      </w:r>
    </w:p>
    <w:p w14:paraId="739641DA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swoją rezolucję z dnia 16 lutego 2022 r. w sprawie sprawozdania wykonawczego w sprawie dobrostanu zwierząt w gospodarstwach</w:t>
      </w:r>
      <w:r w:rsidRPr="00AC1FC6">
        <w:rPr>
          <w:rStyle w:val="FootnoteReference"/>
        </w:rPr>
        <w:footnoteReference w:id="24"/>
      </w:r>
      <w:r w:rsidRPr="00AC1FC6">
        <w:t>,</w:t>
      </w:r>
    </w:p>
    <w:p w14:paraId="666945C6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swoje zalecenie dla Rady i Komisji z dnia 20 stycznia 2022 r. w następstwie dochodzenia w sprawie zarzutów naruszenia prawa Unii i niewłaściwego administrowania w jego stosowaniu w odniesieniu do ochrony zwierząt podczas transportu w Unii i poza nią</w:t>
      </w:r>
      <w:r w:rsidRPr="00AC1FC6">
        <w:rPr>
          <w:rStyle w:val="FootnoteReference"/>
        </w:rPr>
        <w:footnoteReference w:id="25"/>
      </w:r>
      <w:r w:rsidRPr="00AC1FC6">
        <w:t>,</w:t>
      </w:r>
    </w:p>
    <w:p w14:paraId="6FA6A740" w14:textId="0652AF7D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sprawozdanie końcowe z dnia 14 grudnia 2021 r. komisji śledczej ds. ochrony zwierząt podczas transportu w sprawie badania zarzutów dotyczących naruszeń i niewłaściwej administracji w stosowaniu prawa Unii dotyczącego ochrony zwierząt w czasie transportu w Unii i poza nią,</w:t>
      </w:r>
    </w:p>
    <w:p w14:paraId="676B38C9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swoją rezolucję z dnia 10 lutego 2021 r. w sprawie nowego planu działania dotyczącego gospodarki o obiegu zamkniętym</w:t>
      </w:r>
      <w:r w:rsidRPr="00AC1FC6">
        <w:rPr>
          <w:rStyle w:val="FootnoteReference"/>
        </w:rPr>
        <w:footnoteReference w:id="26"/>
      </w:r>
      <w:r w:rsidRPr="00AC1FC6">
        <w:t>,</w:t>
      </w:r>
    </w:p>
    <w:p w14:paraId="176E5EA6" w14:textId="4A89F08D" w:rsidR="00E527F1" w:rsidRPr="00AC1FC6" w:rsidRDefault="00E527F1" w:rsidP="00E527F1">
      <w:pPr>
        <w:pStyle w:val="NormalHanging12a"/>
      </w:pPr>
      <w:r w:rsidRPr="00AC1FC6">
        <w:lastRenderedPageBreak/>
        <w:t>–</w:t>
      </w:r>
      <w:r w:rsidRPr="00AC1FC6">
        <w:tab/>
        <w:t xml:space="preserve">uwzględniając swoją rezolucję z dnia </w:t>
      </w:r>
      <w:r w:rsidR="00A34F10">
        <w:t>19</w:t>
      </w:r>
      <w:r w:rsidRPr="00AC1FC6">
        <w:t xml:space="preserve"> października 2023 r. w sprawie europejskiej strategii w zakresie białka</w:t>
      </w:r>
      <w:r w:rsidRPr="00AC1FC6">
        <w:rPr>
          <w:vertAlign w:val="superscript"/>
        </w:rPr>
        <w:footnoteReference w:id="27"/>
      </w:r>
      <w:r w:rsidRPr="00AC1FC6">
        <w:t>,</w:t>
      </w:r>
    </w:p>
    <w:p w14:paraId="0031C1CD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normy Światowej Organizacji Zdrowia Zwierząt (WOAH) ustanowione w Kodeksie zdrowia zwierząt lądowych,</w:t>
      </w:r>
    </w:p>
    <w:p w14:paraId="0FE4917E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sprawozdanie Organizacji Narodów Zjednoczonych ds. Wyżywienia i Rolnictwa (FAO) z 2023 r. pt. „</w:t>
      </w:r>
      <w:proofErr w:type="spellStart"/>
      <w:r w:rsidRPr="00AC1FC6">
        <w:t>Contribution</w:t>
      </w:r>
      <w:proofErr w:type="spellEnd"/>
      <w:r w:rsidRPr="00AC1FC6">
        <w:t xml:space="preserve"> of </w:t>
      </w:r>
      <w:proofErr w:type="spellStart"/>
      <w:r w:rsidRPr="00AC1FC6">
        <w:t>terrestrial</w:t>
      </w:r>
      <w:proofErr w:type="spellEnd"/>
      <w:r w:rsidRPr="00AC1FC6">
        <w:t xml:space="preserve"> </w:t>
      </w:r>
      <w:proofErr w:type="spellStart"/>
      <w:r w:rsidRPr="00AC1FC6">
        <w:t>animal</w:t>
      </w:r>
      <w:proofErr w:type="spellEnd"/>
      <w:r w:rsidRPr="00AC1FC6">
        <w:t xml:space="preserve"> </w:t>
      </w:r>
      <w:proofErr w:type="spellStart"/>
      <w:r w:rsidRPr="00AC1FC6">
        <w:t>source</w:t>
      </w:r>
      <w:proofErr w:type="spellEnd"/>
      <w:r w:rsidRPr="00AC1FC6">
        <w:t xml:space="preserve"> food to </w:t>
      </w:r>
      <w:proofErr w:type="spellStart"/>
      <w:r w:rsidRPr="00AC1FC6">
        <w:t>healthy</w:t>
      </w:r>
      <w:proofErr w:type="spellEnd"/>
      <w:r w:rsidRPr="00AC1FC6">
        <w:t xml:space="preserve"> </w:t>
      </w:r>
      <w:proofErr w:type="spellStart"/>
      <w:r w:rsidRPr="00AC1FC6">
        <w:t>diets</w:t>
      </w:r>
      <w:proofErr w:type="spellEnd"/>
      <w:r w:rsidRPr="00AC1FC6">
        <w:t xml:space="preserve"> for </w:t>
      </w:r>
      <w:proofErr w:type="spellStart"/>
      <w:r w:rsidRPr="00AC1FC6">
        <w:t>improved</w:t>
      </w:r>
      <w:proofErr w:type="spellEnd"/>
      <w:r w:rsidRPr="00AC1FC6">
        <w:t xml:space="preserve"> </w:t>
      </w:r>
      <w:proofErr w:type="spellStart"/>
      <w:r w:rsidRPr="00AC1FC6">
        <w:t>nutrition</w:t>
      </w:r>
      <w:proofErr w:type="spellEnd"/>
      <w:r w:rsidRPr="00AC1FC6">
        <w:t xml:space="preserve"> and </w:t>
      </w:r>
      <w:proofErr w:type="spellStart"/>
      <w:r w:rsidRPr="00AC1FC6">
        <w:t>health</w:t>
      </w:r>
      <w:proofErr w:type="spellEnd"/>
      <w:r w:rsidRPr="00AC1FC6">
        <w:t xml:space="preserve"> </w:t>
      </w:r>
      <w:proofErr w:type="spellStart"/>
      <w:r w:rsidRPr="00AC1FC6">
        <w:t>outcomes</w:t>
      </w:r>
      <w:proofErr w:type="spellEnd"/>
      <w:r w:rsidRPr="00AC1FC6">
        <w:t xml:space="preserve"> – </w:t>
      </w:r>
      <w:proofErr w:type="spellStart"/>
      <w:r w:rsidRPr="00AC1FC6">
        <w:t>An</w:t>
      </w:r>
      <w:proofErr w:type="spellEnd"/>
      <w:r w:rsidRPr="00AC1FC6">
        <w:t xml:space="preserve"> </w:t>
      </w:r>
      <w:proofErr w:type="spellStart"/>
      <w:r w:rsidRPr="00AC1FC6">
        <w:t>evidence</w:t>
      </w:r>
      <w:proofErr w:type="spellEnd"/>
      <w:r w:rsidRPr="00AC1FC6">
        <w:t xml:space="preserve"> and policy </w:t>
      </w:r>
      <w:proofErr w:type="spellStart"/>
      <w:r w:rsidRPr="00AC1FC6">
        <w:t>overview</w:t>
      </w:r>
      <w:proofErr w:type="spellEnd"/>
      <w:r w:rsidRPr="00AC1FC6">
        <w:t xml:space="preserve"> on the </w:t>
      </w:r>
      <w:proofErr w:type="spellStart"/>
      <w:r w:rsidRPr="00AC1FC6">
        <w:t>state</w:t>
      </w:r>
      <w:proofErr w:type="spellEnd"/>
      <w:r w:rsidRPr="00AC1FC6">
        <w:t xml:space="preserve"> of </w:t>
      </w:r>
      <w:proofErr w:type="spellStart"/>
      <w:r w:rsidRPr="00AC1FC6">
        <w:t>knowledge</w:t>
      </w:r>
      <w:proofErr w:type="spellEnd"/>
      <w:r w:rsidRPr="00AC1FC6">
        <w:t xml:space="preserve"> and </w:t>
      </w:r>
      <w:proofErr w:type="spellStart"/>
      <w:r w:rsidRPr="00AC1FC6">
        <w:t>gaps</w:t>
      </w:r>
      <w:proofErr w:type="spellEnd"/>
      <w:r w:rsidRPr="00AC1FC6">
        <w:t>” [Wkład żywności pochodzącej od zwierząt lądowych w zdrową dietę na rzecz lepszego odżywiania i poprawy wyników zdrowotnych – przegląd dowodów i polityk dotyczących stanu wiedzy oraz istniejących braków],</w:t>
      </w:r>
    </w:p>
    <w:p w14:paraId="4EAE5535" w14:textId="77777777" w:rsidR="00E527F1" w:rsidRPr="00AC1FC6" w:rsidRDefault="00E527F1" w:rsidP="00E527F1">
      <w:pPr>
        <w:pStyle w:val="NormalHanging12a"/>
        <w:rPr>
          <w:bCs/>
          <w:iCs/>
        </w:rPr>
      </w:pPr>
      <w:r w:rsidRPr="00AC1FC6">
        <w:t>–</w:t>
      </w:r>
      <w:r w:rsidRPr="00AC1FC6">
        <w:tab/>
        <w:t>uwzględniając rezolucję nr 29 WOAH pt. „Szczepionki i szczepienia weterynaryjne: od nauki do działania – refleksje na rzecz zmian”, przyjętą w 2025 r.,</w:t>
      </w:r>
    </w:p>
    <w:p w14:paraId="1107B093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raport informacyjny Europejskiego Komitetu Ekonomiczno-Społecznego (EKES) pt. „Zalety ekstensywnej hodowli zwierząt i stosowania nawozów organicznych w kontekście Europejskiego Zielonego Ładu”, przyjęty 8 grudnia 2021 r.,</w:t>
      </w:r>
    </w:p>
    <w:p w14:paraId="6F0DA6AE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art. 55 Regulaminu,</w:t>
      </w:r>
    </w:p>
    <w:p w14:paraId="79C052A6" w14:textId="77777777" w:rsidR="00E527F1" w:rsidRPr="00AC1FC6" w:rsidRDefault="00E527F1" w:rsidP="00E527F1">
      <w:pPr>
        <w:pStyle w:val="NormalHanging12a"/>
      </w:pPr>
      <w:r w:rsidRPr="00AC1FC6">
        <w:t>–</w:t>
      </w:r>
      <w:r w:rsidRPr="00AC1FC6">
        <w:tab/>
        <w:t>uwzględniając sprawozdanie Komisji Rolnictwa i Rozwoju Wsi (A10-0088/2026),</w:t>
      </w:r>
    </w:p>
    <w:p w14:paraId="622FAACE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bookmarkStart w:id="7" w:name="_Hlk225940437"/>
      <w:r w:rsidRPr="00AC1FC6">
        <w:t>A.</w:t>
      </w:r>
      <w:r w:rsidRPr="00AC1FC6">
        <w:tab/>
        <w:t xml:space="preserve">mając na uwadze, że sektor produkcji zwierzęcej od dawna jest podstawowym filarem rolnictwa UE, zwłaszcza na obszarach wiejskich, i wnosi istotny i wyjątkowy wkład w znaczną część gospodarki UE; mając na uwadze, że wartość chowu zwierząt gospodarskich i produktów pochodzenia zwierzęcego wyniosła 214,3 mld EUR </w:t>
      </w:r>
      <w:bookmarkStart w:id="8" w:name="_Hlk225940358"/>
      <w:r w:rsidRPr="00AC1FC6">
        <w:t xml:space="preserve">w 2023 r., co stanowi 40 % całkowitej produkcji rolnej UE </w:t>
      </w:r>
      <w:bookmarkEnd w:id="8"/>
      <w:r w:rsidRPr="00AC1FC6">
        <w:t>w tym roku, oraz mając na uwadze, że rentowność i zrównoważony charakter produkcji roślinnej zależą od odpornej produkcji zwierzęcej;</w:t>
      </w:r>
    </w:p>
    <w:bookmarkEnd w:id="7"/>
    <w:p w14:paraId="59B88E74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B.</w:t>
      </w:r>
      <w:r w:rsidRPr="00AC1FC6">
        <w:tab/>
        <w:t>mając na uwadze, że łańcuch wartości w rolnictwie ukierunkowanym na produkcję zwierzęcą jest długi i złożony oraz obejmuje wiele podmiotów – od sektorów hodowli, pasz i zdrowia zwierząt po rolników i przemysł przetwórczy związany z produkcją zwierzęcą (przetwórstwo mleka i mięsa, pasze i produkty uboczne pochodzenia zwierzęcego) – oraz ma kluczowe znaczenie w UE pod względem innowacji, obrotu i zatrudnienia;</w:t>
      </w:r>
    </w:p>
    <w:p w14:paraId="183DEE61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C.</w:t>
      </w:r>
      <w:r w:rsidRPr="00AC1FC6">
        <w:tab/>
        <w:t>mając na uwadze, że sprawiedliwe ceny za produkty pochodzenia zwierzęcego i regionalne łańcuchy wartości mogłyby zagwarantować dochody rolnikom; mając na uwadze, że łańcuch wartości produkcji zwierzęcej w rolnictwie obejmuje wiele różnych podmiotów – od sektorów poprzedzających pozyskanie surowców, takich jak sektory hodowli, pasz i zdrowia zwierząt, po rolników i przemysł przetwórstwa spożywczego po pozyskaniu surowców – oraz jest kluczowym łańcuchem wartości w UE pod względem obrotów i zatrudnienia z uwagi na obecność stałego zaangażowania czynnika ludzkiego w proces produkcji, wnoszącym znaczny wkład w bezpieczeństwo żywnościowe i suwerenność żywnościową UE oraz autonomię w zakresie białka;</w:t>
      </w:r>
    </w:p>
    <w:p w14:paraId="1AEECAD8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D.</w:t>
      </w:r>
      <w:r w:rsidRPr="00AC1FC6">
        <w:tab/>
        <w:t xml:space="preserve">mając na uwadze, że struktury oparte na lokalnych rzeźniach mogą przyczynić się w </w:t>
      </w:r>
      <w:r w:rsidRPr="00AC1FC6">
        <w:lastRenderedPageBreak/>
        <w:t>znacznym stopniu do tworzenia wartości dodanej na poziomie regionalnym, skrócić łańcuchy dostaw i zmniejszyć emisje generowane przez transport produktów mięsnych, gdyż regionalne rzeźnie mogą lepiej odpowiadać specyficznym wymogom rynków poszczególnych regionów i mogą wspierać produkcję stosownie do zapotrzebowania;</w:t>
      </w:r>
    </w:p>
    <w:p w14:paraId="55E87E82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E.</w:t>
      </w:r>
      <w:r w:rsidRPr="00AC1FC6">
        <w:tab/>
        <w:t>mając na uwadze, że hodowla zwierząt ma kluczowe znaczenie dla wielu regionów europejskich, z których większość jest zagrożona wyludnieniem; mając na uwadze, że w 58 % europejskich gospodarstw hoduje się zwierzęta; mając na uwadze, że mieszane i wyspecjalizowane gospodarstwa hodowlane stanowią 40,9 % europejskich gospodarstw rolnych, a w europejskich gospodarstwach hodowlanych zatrudnionych jest około czterech milionów osób (pracowników najemnych i nienajemnych); mając na uwadze, że w ciągu ostatnich 20 lat w UE ubyło 37 % rolników, a dochody rolników spadły o 12 % na hektar;</w:t>
      </w:r>
    </w:p>
    <w:p w14:paraId="534A2A5A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F.</w:t>
      </w:r>
      <w:r w:rsidRPr="00AC1FC6">
        <w:tab/>
        <w:t>mając na uwadze, że w wielu regionach UE (takich jak obszary górskie, śródlądowe i wiejskie oraz szereg regionów najbardziej oddalonych) chów zwierząt gospodarskich jest jedyną opłacalną działalnością gospodarczą i odgrywa zasadniczą rolę w zatrzymywaniu ludności, utrzymaniu różnorodności biologicznej oraz zachowaniu tradycyjnych krajobrazów i stymulowaniu innych lokalnych form działalności gospodarczej; mając na uwadze, że należy zrekompensować środki finansowe przeznaczone na program szczególnych opcji na rzecz regionów oddalonych i wyspiarskich (POSEI) w celu uwzględnienia utraty wartości spowodowanej inflacją, tak aby program ten mógł spełniać swoją rolę wsparcia rolników i hodowców w regionach najbardziej oddalonych;</w:t>
      </w:r>
    </w:p>
    <w:p w14:paraId="5F479277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G.</w:t>
      </w:r>
      <w:r w:rsidRPr="00AC1FC6">
        <w:tab/>
        <w:t>mając na uwadze, że cały sektor produkcji zwierzęcej przynosi korzyści dla klimatu i środowiska, ponieważ sekwestruje węgiel, reguluje przepływy wody i poprawia jakość wody, chroni różnorodność biologiczną, zapobiega pożarom lasów, zatrzymuje ludność na obszarach wiejskich oraz zapewnia zróżnicowane i otwarte krajobrazy, szczególnie na obszarach o niekorzystnych warunkach gospodarowania i obszarach górskich;</w:t>
      </w:r>
    </w:p>
    <w:p w14:paraId="57CABBEA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bookmarkStart w:id="9" w:name="_Hlk225941055"/>
      <w:r w:rsidRPr="00AC1FC6">
        <w:t>H.</w:t>
      </w:r>
      <w:r w:rsidRPr="00AC1FC6">
        <w:tab/>
        <w:t>mając na uwadze, że gatunki zwierząt z żołądkiem jednokomorowym, takie jak trzoda chlewna i drób, wytwarzają mniej emisji gazów cieplarnianych ze względu na wydajny współczynnik wykorzystania paszy i mogą dodatkowo przyczyniać się do obiegu zamkniętego dzięki temu, że w produkcji ich paszy wykorzystuje się produkty ze strumienia odpadów, a ich obornik służy jako nawóz naturalny do produkcji roślinnej; mając na uwadze, że efektywność klimatyczna szeregu europejskich modeli chowu zwierząt gospodarskich (pod względem genetyki, technologii, innowacji i wiedzy) ma kluczowe znaczenie dla produkcji światowej i jej zrównoważonego charakteru;</w:t>
      </w:r>
    </w:p>
    <w:p w14:paraId="1797F44D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bookmarkStart w:id="10" w:name="_Hlk225940951"/>
      <w:r w:rsidRPr="00AC1FC6">
        <w:t>I.</w:t>
      </w:r>
      <w:r w:rsidRPr="00AC1FC6">
        <w:tab/>
        <w:t xml:space="preserve">mając na uwadze, że UE jest drugim co do wielkości producentem mięsa na świecie, za Chinami, ale przed Stanami Zjednoczonymi, a unijne systemy hodowli wnoszą znaczny wkład w unijną gospodarkę, handel i zapewnianie powiązanych miejsc pracy oraz są zgodne z najwyższymi światowymi normami w zakresie dobrostanu zwierząt, wydajności i </w:t>
      </w:r>
      <w:proofErr w:type="spellStart"/>
      <w:r w:rsidRPr="00AC1FC6">
        <w:t>zrównoważoności</w:t>
      </w:r>
      <w:proofErr w:type="spellEnd"/>
      <w:r w:rsidRPr="00AC1FC6">
        <w:t>;</w:t>
      </w:r>
    </w:p>
    <w:p w14:paraId="3B83DDDA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J.</w:t>
      </w:r>
      <w:r w:rsidRPr="00AC1FC6">
        <w:tab/>
        <w:t xml:space="preserve">mając na uwadze, że mięso wieprzowe i drobiowe stanowi znaczną część mięsa produkowanego w UE, co odgrywa kluczową rolę w zapewnianiu bezpieczeństwa żywnościowego i oferowaniu europejskim konsumentom produktów po przystępnych cenach oraz jako źródło utrzymania wielu rolników; mając na uwadze, że zwiększenie </w:t>
      </w:r>
      <w:proofErr w:type="spellStart"/>
      <w:r w:rsidRPr="00AC1FC6">
        <w:t>zrównoważoności</w:t>
      </w:r>
      <w:proofErr w:type="spellEnd"/>
      <w:r w:rsidRPr="00AC1FC6">
        <w:t xml:space="preserve"> systemów konwencjonalnych umożliwi większą poprawę </w:t>
      </w:r>
      <w:r w:rsidRPr="00AC1FC6">
        <w:lastRenderedPageBreak/>
        <w:t>zrównoważonego charakteru, co przyniesie korzyści dużej grupie konsumentów, w tym konsumentom o niższych dochodach, dzięki temu, że białko zwierzęce pozostanie przystępne cenowo i dostępne dla wszystkich obywateli Unii;</w:t>
      </w:r>
    </w:p>
    <w:bookmarkEnd w:id="9"/>
    <w:bookmarkEnd w:id="10"/>
    <w:p w14:paraId="4CE2D0A8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K.</w:t>
      </w:r>
      <w:r w:rsidRPr="00AC1FC6">
        <w:tab/>
        <w:t>mając na uwadze, że w 2023 r. w UE było 133 mln świń, 74 mln sztuk bydła, 58 mln owiec, 11 mln kóz i szacunkowo 1,63 mld sztuk drobiu;</w:t>
      </w:r>
    </w:p>
    <w:p w14:paraId="346B9C6A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L.</w:t>
      </w:r>
      <w:r w:rsidRPr="00AC1FC6">
        <w:tab/>
        <w:t>mając na uwadze, że w 2023 r. w UE wyprodukowano 40,7 mln ton mięsa, z czego 50 % stanowiła wieprzowina, 32 % drób, 15 % wołowina, a 1 % mięso baranie i kozie;</w:t>
      </w:r>
    </w:p>
    <w:p w14:paraId="1F5C711E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M.</w:t>
      </w:r>
      <w:r w:rsidRPr="00AC1FC6">
        <w:tab/>
        <w:t>mając na uwadze, że UE jest największym na świecie producentem mleka krowiego, odpowiadającym za ponad 20 % światowej podaży mleka, i zajmuje czołową pozycję w międzynarodowym handlu przetworami mlecznymi – jej udział w światowym eksporcie przetworów mlecznych stanowi ponad 30 %;</w:t>
      </w:r>
    </w:p>
    <w:p w14:paraId="386C40E0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N.</w:t>
      </w:r>
      <w:r w:rsidRPr="00AC1FC6">
        <w:tab/>
        <w:t xml:space="preserve">mając na uwadze, że od 2000 r. eksport netto produktów pochodzenia zwierzęcego z UE wzrósł ponad trzykrotnie i w 2024 r. osiągnął 37,8 mld EUR (z wyłączeniem handlu wewnątrzunijnego), w </w:t>
      </w:r>
      <w:proofErr w:type="gramStart"/>
      <w:r w:rsidRPr="00AC1FC6">
        <w:t>sytuacji</w:t>
      </w:r>
      <w:proofErr w:type="gramEnd"/>
      <w:r w:rsidRPr="00AC1FC6">
        <w:t xml:space="preserve"> gdy według najnowszych scenariuszy FAO do 2050 r. światowy popyt na mięso, przetwory mleczarskie i jaja ma wzrosnąć od 25 % do 50 %</w:t>
      </w:r>
      <w:r w:rsidRPr="00AC1FC6">
        <w:rPr>
          <w:rStyle w:val="FootnoteReference"/>
        </w:rPr>
        <w:footnoteReference w:id="28"/>
      </w:r>
      <w:r w:rsidRPr="00AC1FC6">
        <w:t>;</w:t>
      </w:r>
    </w:p>
    <w:p w14:paraId="2C0194F6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bookmarkStart w:id="11" w:name="_Hlk225257994"/>
      <w:r w:rsidRPr="00AC1FC6">
        <w:t>O.</w:t>
      </w:r>
      <w:r w:rsidRPr="00AC1FC6">
        <w:tab/>
        <w:t>mając na uwadze, że w 2023 r. do UE przywieziono prawie 900 000 ton mięsa drobiowego, ponad 340 000 ton wołowiny i około 150 000 ton baraniny;</w:t>
      </w:r>
    </w:p>
    <w:bookmarkEnd w:id="11"/>
    <w:p w14:paraId="53BC7510" w14:textId="77777777" w:rsidR="00E527F1" w:rsidRPr="00AC1FC6" w:rsidRDefault="00E527F1" w:rsidP="008B4791">
      <w:pPr>
        <w:pStyle w:val="NormalHanging12a"/>
        <w:rPr>
          <w:rFonts w:eastAsia="Calibri"/>
          <w:snapToGrid/>
          <w:szCs w:val="24"/>
        </w:rPr>
      </w:pPr>
      <w:r w:rsidRPr="00AC1FC6">
        <w:rPr>
          <w:snapToGrid/>
        </w:rPr>
        <w:t>P.</w:t>
      </w:r>
      <w:r w:rsidRPr="00AC1FC6">
        <w:tab/>
        <w:t>mając na uwadze, że produkty pochodzenia zwierzęcego z oznaczeniami geograficznymi stanowią prawie 20 % wszystkich oznaczeń geograficznych UE i znaczną wartość dodaną dla gospodarek wiejskich, odzwierciedlając nie tylko ich znaczenie gospodarcze, ale także wartość kulturową dziedzictwa żywnościowego UE;</w:t>
      </w:r>
    </w:p>
    <w:p w14:paraId="7FE3BC87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Q.</w:t>
      </w:r>
      <w:r w:rsidRPr="00AC1FC6">
        <w:tab/>
        <w:t xml:space="preserve">mając na uwadze, że konkurencyjność </w:t>
      </w:r>
      <w:proofErr w:type="spellStart"/>
      <w:r w:rsidRPr="00AC1FC6">
        <w:t>pozacenowa</w:t>
      </w:r>
      <w:proofErr w:type="spellEnd"/>
      <w:r w:rsidRPr="00AC1FC6">
        <w:t xml:space="preserve">, w tym wysokie normy związane z bezpieczeństwem, identyfikowalnością i jakością produktów, jest kluczową cechą chowu zwierząt gospodarskich w UE, lecz skutkuje wyższymi kosztami produkcji i cenami produktów w porównaniu z partnerami handlowymi UE; mając na uwadze, że utrzymanie tych wysokich unijnych standardów dotyczących środowiska, bezpieczeństwa żywności i dobrostanu zwierząt wpływa na międzynarodową konkurencyjność sektora produkcji zwierzęcej w UE i w związku z tym wymaga szczególnej uwagi w ramach negocjowanych i zawieranych porozumień handlowych; </w:t>
      </w:r>
    </w:p>
    <w:p w14:paraId="5EC47F74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bookmarkStart w:id="12" w:name="_Hlk225946356"/>
      <w:r w:rsidRPr="00AC1FC6">
        <w:t>R.</w:t>
      </w:r>
      <w:r w:rsidRPr="00AC1FC6">
        <w:tab/>
        <w:t>mając na uwadze, że hodowcy ponoszą obciążenia regulacyjne, gdyż zapewnianie zgodności z przepisami wiąże się z kosztami, a ciągłe zmiany przepisów powodują niepewność, gdy należy przeprowadzić kosztowne inwestycje; mając na uwadze, że stabilne ramy prawne stanowią niezbędną gwarancję dla europejskich rolników w ich dążeniach do przewidywalności, utrzymania i zwiększenia potencjału produkcyjnego;</w:t>
      </w:r>
    </w:p>
    <w:p w14:paraId="335A5B16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S.</w:t>
      </w:r>
      <w:r w:rsidRPr="00AC1FC6">
        <w:tab/>
        <w:t xml:space="preserve">mając na uwadze, że unijna polityka na rzecz propagowania rolnictwa odgrywa kluczową rolę w zwiększaniu widoczności i konkurencyjności wysokiej jakości europejskich produktów rolno-spożywczych, w tym produktów pochodzenia zwierzęcego, zarówno na rynku wewnętrznym, jak i na rynkach międzynarodowych; </w:t>
      </w:r>
      <w:r w:rsidRPr="00AC1FC6">
        <w:lastRenderedPageBreak/>
        <w:t>mając na uwadze, że polityka ta (oraz wywóz na kluczowe rynki, które ona wspiera) jest ważnym czynnikiem zwiększającym dochody rolników i umożliwiającym im dalsze inwestowanie w modernizację gospodarstw;</w:t>
      </w:r>
    </w:p>
    <w:p w14:paraId="2C651B95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T.</w:t>
      </w:r>
      <w:r w:rsidRPr="00AC1FC6">
        <w:tab/>
        <w:t>mając na uwadze, że liczba zwierząt gospodarskich, wielkość gospodarstw i stad, stopień specjalizacji sektorowej i intensywność produkcji mierzona liczbą dużych jednostek przeliczeniowych inwentarza na hektar oraz udział użytków zielonych w wykorzystywanych użytkach rolnych różnią się znacznie w poszczególnych państwach członkowskich, a w obrębie państw członkowskich – w poszczególnych regionach;</w:t>
      </w:r>
    </w:p>
    <w:bookmarkEnd w:id="12"/>
    <w:p w14:paraId="3DDFECA2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U.</w:t>
      </w:r>
      <w:r w:rsidRPr="00AC1FC6">
        <w:tab/>
        <w:t>mając na uwadze, że hodowla zwierząt gospodarskich, w szczególności w małych i średnich gospodarstwach rolnych, stoi obecnie w obliczu szeregu wyzwań gospodarczych, środowiskowych i społecznych;</w:t>
      </w:r>
    </w:p>
    <w:p w14:paraId="5285E3F5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V.</w:t>
      </w:r>
      <w:r w:rsidRPr="00AC1FC6">
        <w:tab/>
        <w:t>mając na uwadze, że pogłowie zwierząt gospodarskich zmniejszyło się w ostatnich dziesięciu latach, a dane statystyczne Eurostatu wskazują na spadek w latach 2014–2024 o 8,1 % w przypadku świń, o 8,7 % w przypadku bydła (zwłaszcza w ciągu ostatnich czterech lat), o 9,4 % w przypadku owiec i o 16,3 % w przypadku kóz; mając na uwadze, że jedynym wyjątkiem jest sektor drobiarski, w którym pogłowie wzrosło;</w:t>
      </w:r>
    </w:p>
    <w:p w14:paraId="7587176D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W.</w:t>
      </w:r>
      <w:r w:rsidRPr="00AC1FC6">
        <w:tab/>
        <w:t>mając na uwadze, że w „Wizji dla rolnictwa i żywności” Komisja podkreśla, że potrzebna jest długoterminowa wizja dla sektora produkcji zwierzęcej, oraz że rozpoczęła prace dotyczące pogłowia, które polegają na zbadaniu strategii politycznych na rzecz konkurencyjnego i zrównoważonego sektora produkcji zwierzęcej w UE;</w:t>
      </w:r>
    </w:p>
    <w:p w14:paraId="5A9AA03D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X.</w:t>
      </w:r>
      <w:r w:rsidRPr="00AC1FC6">
        <w:tab/>
        <w:t>mając na uwadze, że gdy produkty pochodzenia zwierzęcego spożywa się zgodnie z wytycznymi Światowej Organizacji Zdrowia, przyczyniają się one do zrównoważonej i bogatej w składniki odżywcze diety i zapewniają stabilne źródło podstawowych składników odżywczych, takich jak wysokiej jakości białko, witaminy i minerały;</w:t>
      </w:r>
    </w:p>
    <w:p w14:paraId="790236DF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Y.</w:t>
      </w:r>
      <w:r w:rsidRPr="00AC1FC6">
        <w:tab/>
        <w:t xml:space="preserve">mając na uwadze, że w ciągu najbliższych 30 lat oczekuje się wzrostu światowego spożycia białka zwierzęcego, co w połączeniu ze wzrostem liczby ludności na świecie doprowadzi do znacznego wzrostu poziomu popytu; mając na uwadze, że chów zwierząt gospodarskich w UE – jako niezbędne źródło wysokiej jakości białka produkowanego lokalnie – należy uznać za strategiczny filar wzmacniający suwerenność białkową UE i przyczyniający się do zwiększania odporności gospodarczej, autonomii strategicznej i odpowiedzialności społecznej; </w:t>
      </w:r>
    </w:p>
    <w:p w14:paraId="65000CBC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Z.</w:t>
      </w:r>
      <w:r w:rsidRPr="00AC1FC6">
        <w:tab/>
        <w:t>mając na uwadze, że UE, która jest jednym z najbardziej wydajnych producentów białka zwierzęcego pod względem emisji gazów cieplarnianych, musi zachować zdolność do zrównoważonej produkcji białka zwierzęcego, ponieważ spadek produkcji krajowej lub przeniesienie jej do regionów o mniej wydajnych systemach prawdopodobnie doprowadziłoby do wyższych globalnych emisji gazów cieplarnianych;</w:t>
      </w:r>
    </w:p>
    <w:p w14:paraId="4DF56EB9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AA.</w:t>
      </w:r>
      <w:r w:rsidRPr="00AC1FC6">
        <w:tab/>
        <w:t>mając na uwadze, że według Komisji UE jest samowystarczalna pod względem źródeł białka surowego jedynie w 75 % i pozostaje uzależniona od przywozu ponad 70 % białka roślinnego, takiego jak śruta sojowa i inne produkty z nasion oleistych, co naraża europejski sektor rolnictwa na poważne zagrożenia, w tym niestabilność geopolityczną, ograniczenia handlowe i zakłócenia w łańcuchu dostaw;</w:t>
      </w:r>
    </w:p>
    <w:p w14:paraId="5BA594A9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lastRenderedPageBreak/>
        <w:t>AB.</w:t>
      </w:r>
      <w:r w:rsidRPr="00AC1FC6">
        <w:tab/>
        <w:t>mając na uwadze, że liczba hodowców w UE szybko maleje w wyniku trudności gospodarczych (zwłaszcza związanych z ograniczoną rentownością) oraz braku atrakcyjności sektora, wyzwań związanych z rozprzestrzenianiem się chorób wektorowych i innych chorób zwierząt oraz znacznego braku wymiany pokoleniowej; mając na uwadze, że UE boryka się z krytycznym niedoborem lekarzy weterynarii specjalizujących się w leczeniu zwierząt gospodarskich; mając na uwadze, że odchodzenie rolników od chowu zwierząt gospodarskich powiązane jest też często z koncentracją produkcji w dużych gospodarstwach i presją sąsiadów niezwiązanych z sektorem rolniczym, w tym protestów dotyczących „uciążliwości” nierozerwalnie związanych z chowem zwierząt gospodarskich i produkcją rolną, takich jak woń, hałas czy zapylenie;</w:t>
      </w:r>
    </w:p>
    <w:p w14:paraId="7A44EEFC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AC.</w:t>
      </w:r>
      <w:r w:rsidRPr="00AC1FC6">
        <w:tab/>
        <w:t>mając na uwadze, że w tym kontekście należy zwiększyć atrakcyjność sektora poprzez wsparcie dochodów, uproszczenie biurokracji, ukierunkowane zachęty i poprawę warunków życia na obszarach wiejskich, co pozwoli zapewnić rentowność hodowli zwierząt gospodarskich i pomoże zagwarantować spójność terytorialną UE;</w:t>
      </w:r>
    </w:p>
    <w:p w14:paraId="41912059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AD.</w:t>
      </w:r>
      <w:r w:rsidRPr="00AC1FC6">
        <w:tab/>
        <w:t>mając na uwadze, że jednym z głównych wyzwań stojących przed europejskim sektorem produkcji zwierzęcej jest brak włączenia młodych ludzi i nowych rolników, a także niedobór siły roboczej; mając na uwadze, że konieczne jest zatem ułatwienie zakładania i przejmowania gospodarstw dzięki oferowaniu ukierunkowanego wsparcia na rozpoczęcie działalności, przy jednoczesnym zwalczaniu nadmiernego zadłużenia hodowców; mając na uwadze, że dochód generowany przez rolnictwo nie wystarcza do przyciągnięcia wykwalifikowanej siły roboczej do tego sektora;</w:t>
      </w:r>
    </w:p>
    <w:p w14:paraId="7792D843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AE.</w:t>
      </w:r>
      <w:r w:rsidRPr="00AC1FC6">
        <w:tab/>
        <w:t>mając na uwadze, że w unijnym sektorze produkcji zwierzęcej pracuje więcej kobiet niż kiedykolwiek wcześniej, należy wspierać i propagować ich aktywny udział oraz lepiej doceniać ich wkład;</w:t>
      </w:r>
    </w:p>
    <w:p w14:paraId="577F6BB0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AF.</w:t>
      </w:r>
      <w:r w:rsidRPr="00AC1FC6">
        <w:tab/>
        <w:t>mając na uwadze, że spółdzielnie rolno-spożywcze to przedsiębiorstwa utworzone przez rolników, którzy decydują się na połączenie sił, aby wspólnie wprowadzać produkty do obrotu, prowadzić wspólne inwestycje, które generują większą wartość dla członków, oraz oferować usługi i finansowanie, które w przeciwnym razie byłyby bardzo trudne do uzyskania;</w:t>
      </w:r>
    </w:p>
    <w:p w14:paraId="4E5327C3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AG.</w:t>
      </w:r>
      <w:r w:rsidRPr="00AC1FC6">
        <w:tab/>
        <w:t>mając na uwadze, że udział płatności bezpośrednich i całkowitych dotacji, w tym wsparcia na inwestycje, stanowi znaczną część dochodu netto gospodarstw rolnych w przypadku chowu zwierząt gospodarskich i rolnictwa mieszanego, co podkreśla jego zasadniczą rolę; mając na uwadze, że wsparcie w ramach WPR nie wystarcza, aby powstrzymać spadek produkcji i liczby rolników oraz przyciągnąć młodych ludzi do hodowli zwierząt gospodarskich, oraz mając wobec tego na uwadze, że należy uzupełnić dochody rolników pochodzące zarówno ze wsparcia rynkowego, jak i publicznego dzięki dywersyfikacji (takiej jak agroturystyka) i narzędziom zarządzania ryzykiem w celu zwiększenia konkurencyjności, rentowności i długoterminowej odporności gospodarstw;</w:t>
      </w:r>
    </w:p>
    <w:p w14:paraId="67294219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AH.</w:t>
      </w:r>
      <w:r w:rsidRPr="00AC1FC6">
        <w:tab/>
        <w:t>mając na uwadze, że chociaż cena pozostaje głównym czynnikiem wpływającym na decyzje o zakupie, oczekuje się, że kwestie zrównoważonego rozwoju i zdrowia będą odgrywać coraz większą rolę, co będzie kształtować modele produkcji i konsumpcji mięsa oraz przetworów mlecznych w UE;</w:t>
      </w:r>
    </w:p>
    <w:p w14:paraId="34D9A641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lastRenderedPageBreak/>
        <w:t>AI.</w:t>
      </w:r>
      <w:r w:rsidRPr="00AC1FC6">
        <w:tab/>
        <w:t>mając na uwadze, że dobrostan zwierząt ma kluczowe znaczenie dla przyszłości chowu, który – aby poprawić warunki życia zwierząt gospodarskich – musi się zmienić; mając na uwadze, że oczekiwania konsumentów dotyczące dobrostanu zwierząt i zmiana nastawienia do systemów chowu w zamknięciu powinny stanowić zachętę do zwiększenia inwestycji niezbędnych do zapewnienia zwierzętom lepszych warunków środowiskowych, pod warunkiem że wszelkie dodatkowe wymogi będą oparte na dowodach naukowych i będą szły w parze z odpowiednim wynagrodzeniem za poniesione koszty dodatkowe oraz odpowiednimi zachętami ekonomicznymi;</w:t>
      </w:r>
    </w:p>
    <w:p w14:paraId="1CCBD80B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AJ.</w:t>
      </w:r>
      <w:r w:rsidRPr="00AC1FC6">
        <w:tab/>
        <w:t xml:space="preserve">mając na uwadze, że w UE obowiązują najbardziej ambitne normy dobrostanu zwierząt na świecie, co odzwierciedla jej zaangażowanie na rzecz bardziej etycznej i zrównoważonej produkcji; mając na uwadze, że pojęcie dobrostanu zwierząt należy interpretować i stosować z uwzględnieniem rzeczywistych warunków systemów produkcji oraz warunków </w:t>
      </w:r>
      <w:proofErr w:type="spellStart"/>
      <w:r w:rsidRPr="00AC1FC6">
        <w:t>agroklimatycznych</w:t>
      </w:r>
      <w:proofErr w:type="spellEnd"/>
      <w:r w:rsidRPr="00AC1FC6">
        <w:t>, społeczno-gospodarczych i terytorialnych państw członkowskich i regionów, które to warunki mogą się znacznie różnić;</w:t>
      </w:r>
    </w:p>
    <w:p w14:paraId="532BDBF6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AK.</w:t>
      </w:r>
      <w:r w:rsidRPr="00AC1FC6">
        <w:tab/>
        <w:t>mając na uwadze, że wymagania dotyczące zmniejszenia wpływu hodowli zwierząt gospodarskich na środowisko (zwłaszcza emisji gazów cieplarnianych), poprawy dobrostanu zwierząt i przejścia na mniej intensywną produkcję nie powinny prowadzić do ograniczenia produkcji żywności, lecz powinny zapewniać stabilny poziom produkcji i dobre dochody rolników, ponieważ oczekiwany wzrost światowego spożycia białka zwierzęcego stanowi szansę dla UE do objęcia wiodącej pozycji na świecie w zakresie rolnictwa przyjaznego dla klimatu i dobrostanu zwierząt poprzez eksport wiedzy, technologii i najlepszych praktyk do krajów partnerskich;</w:t>
      </w:r>
    </w:p>
    <w:p w14:paraId="54A24E86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AL.</w:t>
      </w:r>
      <w:r w:rsidRPr="00AC1FC6">
        <w:tab/>
        <w:t>mając na uwadze, że hodowla zwierząt gospodarskich (głównie przeżuwaczy) jest jedyną możliwością wykorzystania do produkcji żywności i do zwiększania bezpieczeństwa żywnościowego części gruntów rolnych, a zwłaszcza trwałych użytków zielonych; mając na uwadze, że przejście UE na zrównoważone modele rolnictwa pobudzi badania, innowacje, inwestycje i zatrudnienie zarówno wewnątrz UE, jak i poza jej granicami;</w:t>
      </w:r>
    </w:p>
    <w:p w14:paraId="71AB4291" w14:textId="77777777" w:rsidR="00E527F1" w:rsidRPr="00AC1FC6" w:rsidRDefault="00E527F1" w:rsidP="008B4791">
      <w:pPr>
        <w:widowControl/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AM.</w:t>
      </w:r>
      <w:r w:rsidRPr="00AC1FC6">
        <w:tab/>
        <w:t xml:space="preserve">mając na uwadze, że bardzo ważna jest lepsza integracja gospodarki o obiegu zamkniętym z powstającą </w:t>
      </w:r>
      <w:proofErr w:type="spellStart"/>
      <w:r w:rsidRPr="00AC1FC6">
        <w:t>biogospodarką</w:t>
      </w:r>
      <w:proofErr w:type="spellEnd"/>
      <w:r w:rsidRPr="00AC1FC6">
        <w:t xml:space="preserve"> dzięki optymalizacji wykorzystania surowców i materiałów wtórnych w celu wytworzenia produktów ubocznych i wykorzystania odnawialnych źródeł energii, takich jak biogaz, oraz dzięki wzmocnieniu samowystarczalności energetycznej UE; mając na uwadze, że środki te, które nie powinny prowadzić do zwiększenia obciążeń administracyjnych dla gospodarstw rolnych, zapewnią dodatkowe źródła dochodów dla rolników i stworzą nowe możliwości zatrudnienia; </w:t>
      </w:r>
    </w:p>
    <w:p w14:paraId="5225B75A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AN.</w:t>
      </w:r>
      <w:r w:rsidRPr="00AC1FC6">
        <w:tab/>
        <w:t xml:space="preserve">mając na uwadze, że hodowla zwierząt gospodarskich jest zasadniczym elementem gospodarki o obiegu zamkniętym i służy bezpieczeństwu żywnościowemu oraz transformacji energetycznej i ekologicznej Europy; mając na uwadze, że europejskie systemy hodowli, które są w dużym stopniu uzależnione od przywozu nawozów i zielonki z państw trzecich, muszą korzystać z zachęt, które umożliwiają im – bez szkody dla podstawowego celu, jakim jest produkcja mięsa – dostarczanie uzupełniającej gamy produktów i usług zapewniających rolnikom dodatkowe dochody (produkcja energii ze źródeł odnawialnych, takiej jak biogaz i </w:t>
      </w:r>
      <w:proofErr w:type="spellStart"/>
      <w:r w:rsidRPr="00AC1FC6">
        <w:t>biometan</w:t>
      </w:r>
      <w:proofErr w:type="spellEnd"/>
      <w:r w:rsidRPr="00AC1FC6">
        <w:t xml:space="preserve">, cenne nawozy organiczne, usługi ekosystemowe w hodowli zwierząt gospodarskich i towary dla szerszego przemysłu), zgodnie ze strategią UE dotyczącą </w:t>
      </w:r>
      <w:proofErr w:type="spellStart"/>
      <w:r w:rsidRPr="00AC1FC6">
        <w:t>biogospodarki</w:t>
      </w:r>
      <w:proofErr w:type="spellEnd"/>
      <w:r w:rsidRPr="00AC1FC6">
        <w:t>;</w:t>
      </w:r>
    </w:p>
    <w:p w14:paraId="0BF7C925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lastRenderedPageBreak/>
        <w:t>AO.</w:t>
      </w:r>
      <w:r w:rsidRPr="00AC1FC6">
        <w:tab/>
        <w:t xml:space="preserve">mając na uwadze, że różnorodność europejskich systemów rolniczych jest strategicznym atutem i ma ogromny potencjał dla transformacji energetycznej i ekologicznej UE; mając na uwadze, że hodowla zwierząt może odegrać kluczową rolę w osiągnięciu celów klimatycznych UE i w dekarbonizacji europejskiego koszyka energetycznego, w szczególności dzięki wykorzystaniu odchodów zwierzęcych; </w:t>
      </w:r>
    </w:p>
    <w:p w14:paraId="3BEC54ED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AP.</w:t>
      </w:r>
      <w:r w:rsidRPr="00AC1FC6">
        <w:tab/>
        <w:t xml:space="preserve">mając na uwadze, że obornik produkowany przez gospodarstwa hodowlane przyczynia się do zwiększenia żyzności gleb, ponieważ stanowi źródło materii organicznej i niezbędnych składników odżywczych, a także można go przekształcić w biogaz za pośrednictwem instalacji do </w:t>
      </w:r>
      <w:proofErr w:type="spellStart"/>
      <w:r w:rsidRPr="00AC1FC6">
        <w:t>metanizacji</w:t>
      </w:r>
      <w:proofErr w:type="spellEnd"/>
      <w:r w:rsidRPr="00AC1FC6">
        <w:t xml:space="preserve">, także na poziomie gospodarstwa, co pozwala zastąpić i ograniczyć zależność od kopalnych źródeł energii oraz ograniczyć zależność UE od nawozów importowanych z państw trzecich; mając na uwadze, że proces </w:t>
      </w:r>
      <w:proofErr w:type="spellStart"/>
      <w:r w:rsidRPr="00AC1FC6">
        <w:t>metanizacji</w:t>
      </w:r>
      <w:proofErr w:type="spellEnd"/>
      <w:r w:rsidRPr="00AC1FC6">
        <w:t xml:space="preserve"> nie tylko umożliwia produkcję energii ze źródeł odnawialnych, ale także pozwala uzyskać masę pofermentacyjną (produkt uboczny wykorzystywany przez rolników jako naturalny nawóz) i może zostać przekształcony w produkty RENURE – oba te procesy sprzyjają gospodarce o obiegu zamkniętym w sektorze produkcji zwierzęcej;</w:t>
      </w:r>
    </w:p>
    <w:p w14:paraId="7482E2AF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AQ.</w:t>
      </w:r>
      <w:r w:rsidRPr="00AC1FC6">
        <w:tab/>
        <w:t>mając na uwadze, że w kontekście trudnej sytuacji rynkowej zmieniające się modele konsumpcji sprawiają, że należy podjąć szybkie działania, aby na szczeblu UE zapewnić ochronę nazw stosowanych do oznaczania żywności pochodzenia zwierzęcego;</w:t>
      </w:r>
    </w:p>
    <w:p w14:paraId="5C3F4491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AR.</w:t>
      </w:r>
      <w:r w:rsidRPr="00AC1FC6">
        <w:tab/>
        <w:t xml:space="preserve">mając na uwadze, że w wielu częściach Europy niektóre duże drapieżniki, zwłaszcza wilki i niedźwiedzie, rozszerzają swoje terytoria lub ponownie zasiedlają obszary, co powoduje ich konflikt z działalnością człowieka, zwłaszcza z ekstensywnym wypasem owiec i bydła; mając na uwadze, że pasterze i inni hodowcy zwierząt gospodarskich ponoszą znaczne koszty wynikające z ataków drapieżników na stada, takie jak koszty środków zapobiegawczych, zastąpienia utraconych zwierząt, dodatkowej opieki weterynaryjnej i strat wynikających z aborcji; mając na uwadze, że istnieje duże zróżnicowanie między państwami członkowskimi i regionami pod względem środków wsparcia dla rolników (które w niektórych przypadkach są całkowicie nieobecne) oraz funduszy publicznych udostępnionych na rekompensaty i dostosowanie; </w:t>
      </w:r>
    </w:p>
    <w:p w14:paraId="02364539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AS.</w:t>
      </w:r>
      <w:r w:rsidRPr="00AC1FC6">
        <w:tab/>
        <w:t>mając na uwadze, że choroby zwierząt, a w szczególności choroby zakaźne oraz choroby przenoszone na ludzi („odzwierzęce”) mogą powodować poważne szkody społeczne, gospodarcze i środowiskowe, a w niektórych przypadkach zagrażać zdrowiu ludzkiemu;</w:t>
      </w:r>
    </w:p>
    <w:p w14:paraId="770A4750" w14:textId="1F75FBE0" w:rsidR="00E527F1" w:rsidRPr="00AC1FC6" w:rsidRDefault="00465BD8" w:rsidP="008B4791">
      <w:pPr>
        <w:spacing w:after="240"/>
        <w:ind w:left="567" w:hanging="567"/>
        <w:rPr>
          <w:rFonts w:eastAsia="Calibri"/>
          <w:szCs w:val="24"/>
        </w:rPr>
      </w:pPr>
      <w:r>
        <w:t>AT</w:t>
      </w:r>
      <w:r w:rsidR="00E527F1" w:rsidRPr="00AC1FC6">
        <w:t>.</w:t>
      </w:r>
      <w:r w:rsidR="00E527F1" w:rsidRPr="00AC1FC6">
        <w:tab/>
        <w:t>mając na uwadze, że wszystkie nici z łańcucha produkcji zbiegają się w ubojni i dlatego struktury regionalnych rzeźni mogą mieć pozytywny wpływ na identyfikowalność, zapobieganie chorobom i dobrostan zwierząt; mając na uwadze, że należy zatem wspierać – z funduszu WPR i innych funduszy – zakładanie i rozwój rzeźni w celu stymulowania lokalnej gospodarki, tworzenia miejsc pracy i wzmacniania krótkich łańcuchów dostaw;</w:t>
      </w:r>
    </w:p>
    <w:p w14:paraId="605EBD53" w14:textId="77777777" w:rsidR="00E527F1" w:rsidRPr="00AC1FC6" w:rsidRDefault="00E527F1" w:rsidP="008B4791">
      <w:pPr>
        <w:spacing w:after="240"/>
        <w:ind w:left="567" w:hanging="567"/>
        <w:rPr>
          <w:rFonts w:eastAsia="Calibri"/>
          <w:szCs w:val="24"/>
        </w:rPr>
      </w:pPr>
      <w:r w:rsidRPr="00AC1FC6">
        <w:t>AU.</w:t>
      </w:r>
      <w:r w:rsidRPr="00AC1FC6">
        <w:tab/>
        <w:t xml:space="preserve">mając na uwadze, że zmiana klimatu może mieć wpływ na pojawienie się nowych chorób zwierząt oraz na częstość występowania istniejących chorób i ich rozmieszczenie geograficzne, w szczególności w przypadku chorób wektorowych, takich jak choroba niebieskiego języka i gorączka Zachodniego Nilu, co uwypukla potrzebę wyprzedzających strategii weterynaryjnych; mając na uwadze, że sytuację tę </w:t>
      </w:r>
      <w:r w:rsidRPr="00AC1FC6">
        <w:lastRenderedPageBreak/>
        <w:t>pogarsza niedobór lekarzy weterynarii specjalizujących się w leczeniu zwierząt gospodarskich, co ma wpływ na profilaktyczną opiekę weterynaryjną oraz na wczesne wykrywanie i szybką kontrolę chorób;</w:t>
      </w:r>
    </w:p>
    <w:p w14:paraId="2D921443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AV.</w:t>
      </w:r>
      <w:r w:rsidRPr="00AC1FC6">
        <w:tab/>
        <w:t>mając na uwadze, że podatność systemów hodowli w UE uwypukliły niedawne ogniska chorób zwierząt i coraz częstsze występowanie chorób takich jak gruźlica bydła, afrykański pomór świń, guzowata choroba skóry bydła, choroba niebieskiego języka, grypa ptaków, pryszczyca, krwotoczna choroba zwierzyny płowej oraz zakaźne zapalenie nosa i tchawicy bydła, w połączeniu ze spadkiem liczby lekarzy weterynarii specjalizujących się w zwierzętach gospodarskich, bez których niemożliwe będzie zwalczanie chorób zwierząt i zagwarantowanie dobrostanu zwierząt; mając na uwadze, że podatność ta przejawia się w niszczycielskim wpływie na poziomy produkcji, co ma konsekwencje dla zdrowia psychicznego rolników ze względu na stres, niepokój i obciążenie emocjonalne;</w:t>
      </w:r>
    </w:p>
    <w:p w14:paraId="58201286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AW.</w:t>
      </w:r>
      <w:r w:rsidRPr="00AC1FC6">
        <w:tab/>
        <w:t>mając na uwadze, że zapobieganie chorobom zwierząt dzięki szczepieniom, o ile są dostępne, jest w niektórych przypadkach niezbędne, w celu uniknięcia drastycznych, ale nieuniknionych środków kontroli, takich jak masowy ubój; mając na uwadze, że finansowanie działań, które mają na celu zapobieganie niektórym chorobom zwierząt oraz kontrolę i zwalczanie tych chorób w ramach programu na rzecz jednolitego rynku, jest niewystarczające, aby pomóc rolnikom i państwom członkowskim w zarządzaniu nowymi chorobami zwierząt;</w:t>
      </w:r>
    </w:p>
    <w:p w14:paraId="617383C2" w14:textId="77777777" w:rsidR="00E527F1" w:rsidRPr="00AC1FC6" w:rsidRDefault="00E527F1" w:rsidP="008B4791">
      <w:pPr>
        <w:pStyle w:val="NormalHanging12a"/>
      </w:pPr>
      <w:r w:rsidRPr="00AC1FC6">
        <w:t>AX.</w:t>
      </w:r>
      <w:r w:rsidRPr="00AC1FC6">
        <w:tab/>
        <w:t>mając na uwadze, że zagrożenia stwarzane przez choroby zwierząt mają zasadnicze znaczenie dla międzynarodowego handlu zwierzętami i produktami pochodzenia zwierzęcego z UE i sprawiają, że partnerzy handlowi UE muszą uznać unijny system regionalizacji ustanowiony zgodnie ze standardami WOAH i zasadami Światowej Organizacji Handlu (WTO) w celu zwalczania chorób lub utrzymania bezpiecznego handlu przez ograniczenie handlu z obszarów dotkniętych chorobą, przy jednoczesnym unikaniu zbędnych przeszkód i zakłóceń w handlu towarami pochodzącymi z obszarów niedotkniętych chorobą;</w:t>
      </w:r>
    </w:p>
    <w:p w14:paraId="27928497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AY.</w:t>
      </w:r>
      <w:r w:rsidRPr="00AC1FC6">
        <w:tab/>
        <w:t>mając na uwadze, że chociaż szczepienia są skutecznym narzędziem zapobiegającym rozprzestrzenianiu się chorób zwierząt, wykorzystuje się je raczej jako narzędzie ograniczania handlu między państwami członkowskimi UE a państwami nienależącymi do UE, a nie ułatwiania go;</w:t>
      </w:r>
    </w:p>
    <w:p w14:paraId="3AF569E6" w14:textId="77777777" w:rsidR="00E527F1" w:rsidRPr="00AC1FC6" w:rsidRDefault="00E527F1" w:rsidP="008B4791">
      <w:pPr>
        <w:spacing w:after="240"/>
        <w:ind w:left="567" w:hanging="567"/>
        <w:rPr>
          <w:iCs/>
        </w:rPr>
      </w:pPr>
      <w:r w:rsidRPr="00AC1FC6">
        <w:t>AZ.</w:t>
      </w:r>
      <w:r w:rsidRPr="00AC1FC6">
        <w:tab/>
        <w:t>mając na uwadze, że całościowe podejście UE do zwalczania chorób zwierząt składa się z kilku elementów, a mianowicie szczególnych środków kontroli stosowanych w odniesieniu do nadzoru nad każdą chorobą, wkładu finansowego UE, systemu powiadamiania, unijnego zespołu reagowania kryzysowego, systemu identyfikowalności i unijnych laboratoriów referencyjnych dla wybranych chorób;</w:t>
      </w:r>
    </w:p>
    <w:p w14:paraId="73EC7C9C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BA.</w:t>
      </w:r>
      <w:r w:rsidRPr="00AC1FC6">
        <w:tab/>
        <w:t xml:space="preserve">mając na uwadze, że oporność na środki przeciwdrobnoustrojowe – która jest kwestią „jednego zdrowia” obejmującą zdrowie ludzi, zdrowie zwierząt, zdrowie roślin i środowisko – jest jednym z trzech głównych zagrożeń dla zdrowia zidentyfikowanych przez Komisję w lipcu 2022 r. i ma poważny wpływ społeczno-gospodarczy na sektor rolnictwa, ponieważ prowadzi do zwiększonej zachorowalności i śmiertelności zwierząt oraz zagraża zdrowiu i dobrostanowi zwierząt, a tym samym produktywności zwierząt; mając na uwadze, że WPR i inne programy UE powinny wspierać poprawę bezpieczeństwa biologicznego w gospodarstwach hodowlanych, propagowanie </w:t>
      </w:r>
      <w:r w:rsidRPr="00AC1FC6">
        <w:lastRenderedPageBreak/>
        <w:t>szczepień zapobiegawczych, szkolenia i wsparcie techniczne dla rolników oraz prace badawczo-rozwojowe nad skutecznymi i przystępnymi cenowo alternatywami dla stosowania środków przeciwdrobnoustrojowych u zwierząt gospodarskich;</w:t>
      </w:r>
    </w:p>
    <w:p w14:paraId="527567A1" w14:textId="77777777" w:rsidR="00E527F1" w:rsidRPr="00AC1FC6" w:rsidRDefault="00E527F1" w:rsidP="008B4791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AC1FC6">
        <w:t>BB.</w:t>
      </w:r>
      <w:r w:rsidRPr="00AC1FC6">
        <w:tab/>
        <w:t>mając na uwadze, że z pierwszego sprawozdania rocznego z nadzoru nad sprzedażą i stosowaniem środków przeciwdrobnoustrojowych w medycynie weterynaryjnej w Europie (</w:t>
      </w:r>
      <w:proofErr w:type="spellStart"/>
      <w:r w:rsidRPr="00AC1FC6">
        <w:t>ESUAvet</w:t>
      </w:r>
      <w:proofErr w:type="spellEnd"/>
      <w:r w:rsidRPr="00AC1FC6">
        <w:t xml:space="preserve"> 2023)</w:t>
      </w:r>
      <w:r w:rsidRPr="00AC1FC6">
        <w:rPr>
          <w:rFonts w:eastAsia="Aptos"/>
          <w:kern w:val="2"/>
          <w:szCs w:val="24"/>
          <w:vertAlign w:val="superscript"/>
        </w:rPr>
        <w:footnoteReference w:id="29"/>
      </w:r>
      <w:r w:rsidRPr="00AC1FC6">
        <w:t xml:space="preserve"> wynika, że cel redukcji o 50 % sprzedaży środków przeciwdrobnoustrojowych już osiągnięto (w przybliżeniu w połowie) do 2023 r., ale w sprawozdaniu tym ostrzega się, że te pozytywne zmiany mogą zostać osłabione przez wzrost częstotliwości występowania chorób zwierząt oraz brak skoordynowanego unijnego podejścia do szczepień, wczesnego monitorowania, </w:t>
      </w:r>
      <w:proofErr w:type="spellStart"/>
      <w:r w:rsidRPr="00AC1FC6">
        <w:t>bioasekuracji</w:t>
      </w:r>
      <w:proofErr w:type="spellEnd"/>
      <w:r w:rsidRPr="00AC1FC6">
        <w:t xml:space="preserve"> oraz ogólnego zapobiegania chorobom i gotowości na nie;</w:t>
      </w:r>
    </w:p>
    <w:p w14:paraId="7D15682C" w14:textId="77777777" w:rsidR="00E527F1" w:rsidRPr="00AC1FC6" w:rsidRDefault="00E527F1" w:rsidP="008B4791">
      <w:pPr>
        <w:pStyle w:val="NormalHanging12a"/>
        <w:rPr>
          <w:iCs/>
        </w:rPr>
      </w:pPr>
      <w:r w:rsidRPr="00AC1FC6">
        <w:t>BC.</w:t>
      </w:r>
      <w:r w:rsidRPr="00AC1FC6">
        <w:tab/>
        <w:t>mając na uwadze, że unijne prawo o zdrowiu zwierząt ustanawia ramy prawne, których celem jest harmonizacja przepisów w całym sektorze, mających zastosowanie do handlu wewnątrzunijnego, wprowadzania zwierząt i produktów do UE, zwalczania chorób, kontroli weterynaryjnych, powiadamiania o chorobach i wsparcia finansowego w odniesieniu do różnych gatunków zwierząt;</w:t>
      </w:r>
    </w:p>
    <w:p w14:paraId="394A5446" w14:textId="77777777" w:rsidR="00E527F1" w:rsidRPr="00AC1FC6" w:rsidRDefault="00E527F1" w:rsidP="008B4791">
      <w:pPr>
        <w:pStyle w:val="NormalHanging12a"/>
      </w:pPr>
      <w:r w:rsidRPr="00AC1FC6">
        <w:t>BD.</w:t>
      </w:r>
      <w:r w:rsidRPr="00AC1FC6">
        <w:tab/>
        <w:t>mając na uwadze, że obowiązujące prawodawstwo dotyczące przenośnych chorób zwierząt obejmuje kompleksowy zestaw przepisów dotyczących nadzoru, programów likwidacji choroby i statusu obszaru wolnego od choroby oraz zobowiązuje państwa członkowskie do ustanowienia i prowadzenia aktualnego wykazu ich terytoriów lub stref oraz regionów o statusie obszaru wolnego od choroby, zgodnie z obowiązującym prawodawstwem dotyczącym weterynaryjnych produktów leczniczych, które umożliwia wydawanie pozwoleń na szczepionki i inne produkty związane ze zdrowiem zwierząt; mając na uwadze, że przepisy te stanowią podstawę zapobiegania chorobom zwierząt i zarządzania nimi w UE;</w:t>
      </w:r>
    </w:p>
    <w:p w14:paraId="738FD7AB" w14:textId="77777777" w:rsidR="00E527F1" w:rsidRPr="00AC1FC6" w:rsidRDefault="00E527F1" w:rsidP="008B4791">
      <w:pPr>
        <w:pStyle w:val="NormalHanging12a"/>
        <w:rPr>
          <w:iCs/>
        </w:rPr>
      </w:pPr>
      <w:r w:rsidRPr="00AC1FC6">
        <w:t>BE.</w:t>
      </w:r>
      <w:r w:rsidRPr="00AC1FC6">
        <w:tab/>
        <w:t>mając na uwadze, że środki zapobiegawcze i kontrolne w odniesieniu do każdej choroby zwierząt należy dostosować do jej profilu epidemiologicznego, skutków i rozmieszczenia geograficznego w UE;</w:t>
      </w:r>
    </w:p>
    <w:p w14:paraId="7051BDF1" w14:textId="77777777" w:rsidR="00E527F1" w:rsidRPr="00AC1FC6" w:rsidRDefault="00E527F1" w:rsidP="008B4791">
      <w:pPr>
        <w:pStyle w:val="NormalHanging12a"/>
        <w:rPr>
          <w:iCs/>
        </w:rPr>
      </w:pPr>
      <w:r w:rsidRPr="00AC1FC6">
        <w:t>BF.</w:t>
      </w:r>
      <w:r w:rsidRPr="00AC1FC6">
        <w:tab/>
        <w:t>mając na uwadze, że wczesne wykrywanie chorób i jasny łańcuch powiadamiania o chorobach i sprawozdawczości w ich zakresie mają kluczowe znaczenie dla skutecznej kontroli; mając na uwadze, że państwa członkowskie powinny zadbać o to, by o każdym podejrzeniu lub potwierdzeniu ogniska choroby niezwłocznie powiadamiano właściwy organ;</w:t>
      </w:r>
    </w:p>
    <w:p w14:paraId="0AF0CC74" w14:textId="77777777" w:rsidR="00E527F1" w:rsidRPr="00AC1FC6" w:rsidRDefault="00E527F1" w:rsidP="008B4791">
      <w:pPr>
        <w:pStyle w:val="NormalHanging12a"/>
        <w:rPr>
          <w:iCs/>
        </w:rPr>
      </w:pPr>
      <w:r w:rsidRPr="00AC1FC6">
        <w:t>BG.</w:t>
      </w:r>
      <w:r w:rsidRPr="00AC1FC6">
        <w:tab/>
        <w:t xml:space="preserve">mając na uwadze, że zapewnienie jednolitych warunków powiadamiania o chorobach i sprawozdawczości w zakresie chorób w UE jest ważne, aby utrzymać równe warunki działania między państwami członkowskimi oraz aby uniknąć zakłóceń konkurencji; mając na uwadze, że Komisja jest uprawniona do ustanowienia wykazu chorób podlegających obowiązkowi powiadamiania i sprawozdawczości w UE, a także </w:t>
      </w:r>
      <w:r w:rsidRPr="00AC1FC6">
        <w:lastRenderedPageBreak/>
        <w:t>niezbędnych procedur i formatu powiadamiania o chorobach i sprawozdawczości za pośrednictwem systemu informacji o chorobach zwierzęcych (ADIS);</w:t>
      </w:r>
    </w:p>
    <w:p w14:paraId="52E02208" w14:textId="77777777" w:rsidR="00E527F1" w:rsidRPr="00AC1FC6" w:rsidRDefault="00E527F1" w:rsidP="008B4791">
      <w:pPr>
        <w:pStyle w:val="NormalHanging12a"/>
      </w:pPr>
      <w:r w:rsidRPr="00AC1FC6">
        <w:t>BH.</w:t>
      </w:r>
      <w:r w:rsidRPr="00AC1FC6">
        <w:tab/>
        <w:t>mając na uwadze, że w 2012 r. liczbę dużych drapieżników w Europie kontynentalnej szacowano na 9 000 rysi euroazjatyckich, 17 000 niedźwiedzi brunatnych, 1 250 rosomaków i 12 000 wilków; mając na uwadze, że nie istnieją jednolite i aktualne szacunki unijne dotyczące liczby dużych drapieżników;</w:t>
      </w:r>
    </w:p>
    <w:p w14:paraId="7B8666F7" w14:textId="77777777" w:rsidR="00E527F1" w:rsidRPr="00AC1FC6" w:rsidRDefault="00E527F1" w:rsidP="008B4791">
      <w:pPr>
        <w:pStyle w:val="Normal12a24b"/>
        <w:spacing w:before="0"/>
        <w:ind w:left="567" w:hanging="567"/>
      </w:pPr>
      <w:r w:rsidRPr="00AC1FC6">
        <w:rPr>
          <w:rStyle w:val="BoldItalic"/>
        </w:rPr>
        <w:t>Uwagi ogólne</w:t>
      </w:r>
    </w:p>
    <w:p w14:paraId="6E291EAB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1.</w:t>
      </w:r>
      <w:r w:rsidRPr="00AC1FC6">
        <w:tab/>
        <w:t xml:space="preserve">z zadowoleniem przyjmuje i popiera inicjatywę Komisji zawartą w „Wizji dla rolnictwa i żywności”, zgodnie z którą należy rozpocząć prace dotyczące produkcji zwierzęcej w celu określenia i opracowania odpowiednich strategii politycznych wspierających hodowlę zwierząt gospodarskich i zwiększających jej konkurencyjność za pomocą ukierunkowanych i terytorialnych rozwiązań, a nie w drodze uniwersalnej polityki, z uwzględnieniem nie tylko aspektów bezpieczeństwa żywności, odporności i zarządzania chorobami zwierząt, ale także kwestii ochrony klimatu, przyrody i dobrostanu zwierząt; podkreśla, że różnorodność chowu zwierząt gospodarskich, potrzeby poszczególnych gatunków i różnice między warunkami lokalnymi wymagają rozwiązań dostosowanych do skali krajowej, regionalnej lub </w:t>
      </w:r>
      <w:proofErr w:type="spellStart"/>
      <w:r w:rsidRPr="00AC1FC6">
        <w:t>subregionalnej</w:t>
      </w:r>
      <w:proofErr w:type="spellEnd"/>
      <w:r w:rsidRPr="00AC1FC6">
        <w:t>; wzywa Komisję, aby podjęła konkretne działania w odniesieniu do hodowli zwierząt gospodarskich na obszarach górskich, oddalonych i znajdujących się w niekorzystnej sytuacji;</w:t>
      </w:r>
    </w:p>
    <w:p w14:paraId="3A8A7996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2.</w:t>
      </w:r>
      <w:r w:rsidRPr="00AC1FC6">
        <w:tab/>
        <w:t>wyraża zaniepokojenie inicjatywami lub wnioskami ustawodawczymi, które za pomocą środków bezpośrednich lub pośrednich zniechęcają do hodowli zwierząt gospodarskich; nalega, aby sektor produkcji zwierzęcej nie został objęty systemem regulacyjnym przeznaczonym dla przemysłu ciężkiego;</w:t>
      </w:r>
    </w:p>
    <w:p w14:paraId="6D6745E2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3.</w:t>
      </w:r>
      <w:r w:rsidRPr="00AC1FC6">
        <w:tab/>
        <w:t xml:space="preserve">wzywa Komisję, aby w oparciu o prace dotyczące produkcji zwierzęcej w UE powołała grupę wysokiego szczebla ds. zwierząt gospodarskich, wzorowaną na grupie wysokiego szczebla ds. polityki w zakresie wina, z udziałem wszystkich właściwych zainteresowanych stron, w tym rolników, przedstawicieli państw członkowskich z sektora produkcji zwierzęcej, środowisk akademickich i zawodów weterynaryjnych, stowarzyszeń przedstawicielskich i właściwych organizacji ds. zdrowia zwierząt, przedstawicieli przemysłu oraz przedstawicieli władz lokalnych; zwraca uwagę, że skład tej grupy powinien odzwierciedlać różnorodność terytoriów UE i zapewniać zrównoważoną reprezentację różnych uwarunkowań regionalnych, w tym obszarów o wysokim zagęszczeniu zwierząt gospodarskich; </w:t>
      </w:r>
    </w:p>
    <w:p w14:paraId="2DF0D980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4.</w:t>
      </w:r>
      <w:r w:rsidRPr="00AC1FC6">
        <w:tab/>
        <w:t>uważa, że grupa wysokiego szczebla – dzięki temu, że skupia państwa członkowskie i zainteresowane strony – powinna zastanowić się nad wyzwaniami stojącymi przed sektorem produkcji zwierzęcej i zapewnić konkretne rozwiązania społeczne, w szczególności w oparciu o badania prowadzone w tej dziedzinie; apeluje o otwarty i konstruktywny dialog wszystkich zainteresowanych stron, który zachęci do współpracy, opracowania praktycznych rozwiązań i zapewni opartą na faktach komunikację na temat hodowli zwierząt gospodarskich; uważa, że rozwiązania te powinny dotyczyć w szczególności przenoszenia produkcji poza Europę, wymiany pokoleń i promowania inwestycji wspierających konkurencyjność hodowli zwierząt gospodarskich;</w:t>
      </w:r>
    </w:p>
    <w:p w14:paraId="0BD4DAA5" w14:textId="77777777" w:rsidR="00E527F1" w:rsidRPr="00AC1FC6" w:rsidRDefault="00E527F1" w:rsidP="008B4791">
      <w:pPr>
        <w:spacing w:after="240"/>
        <w:ind w:left="567" w:hanging="567"/>
        <w:rPr>
          <w:bCs/>
          <w:iCs/>
        </w:rPr>
      </w:pPr>
      <w:r w:rsidRPr="00AC1FC6">
        <w:t>5.</w:t>
      </w:r>
      <w:r w:rsidRPr="00AC1FC6">
        <w:tab/>
        <w:t xml:space="preserve">podkreśla, że szczególne wyzwania stojące przed sektorem produkcji zwierzęcej wymagają wielowymiarowej reakcji politycznej, która – unikając kompromisów między </w:t>
      </w:r>
      <w:r w:rsidRPr="00AC1FC6">
        <w:lastRenderedPageBreak/>
        <w:t xml:space="preserve">wyzwaniami – będzie w pełni odzwierciedlała gospodarcze, środowiskowe i społeczne znaczenie hodowli zwierząt gospodarskich w UE i na jej obszarach wiejskich; uważa ponadto, że ta reakcja polityczna powinna również odzwierciedlać wkład sektora w spójność obszarów wiejskich, bezpieczeństwo żywnościowe, zrównoważone gospodarowanie gruntami, dobrostan zwierząt i dostawy białka zwierzęcego na rynek UE; </w:t>
      </w:r>
    </w:p>
    <w:p w14:paraId="7FD4A8EE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6.</w:t>
      </w:r>
      <w:r w:rsidRPr="00AC1FC6">
        <w:tab/>
        <w:t>wzywa Komisję, aby zapewniła rolnikom stabilne i przewidywalne ramy dzięki ograniczeniu zbędnych obciążeń regulacyjnych i uproszczeniu przepisów dotyczących zwierząt gospodarskich, zwłaszcza w przypadku małych i rodzinnych gospodarstw rolnych, co ułatwi działalność i wesprze rozwój sektora; podkreśla, że należy ocenić skumulowany wpływ prawodawstwa UE oraz zapobiegać niepewności prawa i obciążeniom administracyjnym powodowanym przez prawo UE i nadmiernie rygorystyczne wdrażanie na szczeblu krajowym;</w:t>
      </w:r>
    </w:p>
    <w:p w14:paraId="1C61AD1F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7.</w:t>
      </w:r>
      <w:r w:rsidRPr="00AC1FC6">
        <w:tab/>
        <w:t xml:space="preserve">zwraca uwagę, że poprawa zrównoważonego rozwoju społecznego, stabilności gospodarczej i zrównoważenia środowiskowego hodowli zwierząt gospodarskich zależy od długoterminowej wizji uwzględniającej szeroki i wzajemnie powiązany zakres czynników, w tym konkurencyjność cenową i </w:t>
      </w:r>
      <w:proofErr w:type="spellStart"/>
      <w:r w:rsidRPr="00AC1FC6">
        <w:t>pozacenową</w:t>
      </w:r>
      <w:proofErr w:type="spellEnd"/>
      <w:r w:rsidRPr="00AC1FC6">
        <w:t>, zdolność do przystosowania się do zmiany klimatu i związanych z nią ekstremalnych zdarzeń pogodowych oraz choroby zwierząt; uważa, że do innych bardzo istotnych czynników należy zaliczyć zanieczyszczenie substancjami biogennymi, rozwój i świadczenie odpłatnych usług ekosystemowych, ukierunkowane wsparcie inwestycji, propagowanie dobrostanu zwierząt, zachęty do innowacji i cyfryzacji, a także wymianę pokoleń, dostęp do usług wsparcia i doradztwa oraz poprawę warunków życia i pracy hodowców zwierząt gospodarskich;</w:t>
      </w:r>
    </w:p>
    <w:p w14:paraId="6A3B3F13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8.</w:t>
      </w:r>
      <w:r w:rsidRPr="00AC1FC6">
        <w:tab/>
        <w:t>podkreśla, że rolnicy są wielce zainteresowani zapewnieniem dobrego zdrowia i dobrostanu swoich zwierząt, ponieważ jest to imperatyw zarówno etyczny, jak i ekonomiczny; podkreśla, że dobrostan zwierząt w gospodarstwach rolnych jest także związany z kompetencjami danego hodowcy; podkreśla w tym kontekście, że ważne jest kształcenie i regularne podnoszenie kwalifikacji;</w:t>
      </w:r>
    </w:p>
    <w:p w14:paraId="7DEF9A4F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9.</w:t>
      </w:r>
      <w:r w:rsidRPr="00AC1FC6">
        <w:tab/>
        <w:t>podkreśla, że różnorodność europejskich systemów hodowli zwierząt gospodarskich – od chowu na wolnym wybiegu, często obejmującego pastwiska o wysokiej wartości środowiskowej oraz zagrożone gatunki i rasy hodowlane, po duże wyspecjalizowane i wysokowydajne gospodarstwa, systemy łączące uprawy rolne z hodowlą zwierząt, rolnictwo regeneracyjne i ekologiczne oraz pasterstwo, wypas sezonowy, systemy leśno-pastwiskowe i chów na małą skalę do użytku osobistego, a także różnorodność ras hodowanych zwierząt gospodarskich – pozwala gospodarstwom na zapewnianie szeregu uzupełniających się towarów i usług, a tym samym zwiększa odporność całego sektora produkcji zwierzęcej, jednocześnie zaspokajając szeroki zakres potrzeb konsumentów; wzywa Komisję Europejską, aby propagowała i umożliwiała różnorodność systemów produkcji;</w:t>
      </w:r>
    </w:p>
    <w:p w14:paraId="6BFFC3CE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10.</w:t>
      </w:r>
      <w:r w:rsidRPr="00AC1FC6">
        <w:tab/>
        <w:t xml:space="preserve">podkreśla potrzebę większej przejrzystości w przyznawaniu i wykorzystywaniu funduszy europejskich przeznaczonych dla organizacji pozarządowych z myślą o zapobieganiu wszelkiemu ryzyku nadużyć lub wywierania niewłaściwego wpływu na politykę Unii; wzywa Komisję, aby utworzyła publiczny rejestr zawierający informacje o kwocie i przeznaczeniu środków finansowych otrzymanych przez organizacje pozarządowe; wyraża zaniepokojenie przyznawaniem środków finansowych, w </w:t>
      </w:r>
      <w:r w:rsidRPr="00AC1FC6">
        <w:lastRenderedPageBreak/>
        <w:t>szczególności w ramach Programu działań na rzecz środowiska i klimatu (LIFE), organizacjom pozarządowym prowadzącym działalność lobbingową, zwłaszcza w zakresie dobrostanu zwierząt, wobec instytucji UE, co może naruszać zasady podziału uprawnień i lojalnej współpracy; wzywa Komisję, aby zaprzestała finansowania organizacji pozarządowych prowadzących ukierunkowane działania lobbingowe i propagujących mylący, bojowy i ideologiczny obraz hodowli w Europie; zwraca się również do Komisji o to, aby wszyscy beneficjenci środków skonsolidowanych ujawniali informacje o swoich spotkaniach z przedstawicielami instytucji europejskich, jeżeli mają one na celu wywarcie wpływu na politykę Unii;</w:t>
      </w:r>
    </w:p>
    <w:p w14:paraId="4E07A075" w14:textId="77777777" w:rsidR="00E527F1" w:rsidRPr="00AC1FC6" w:rsidRDefault="00E527F1" w:rsidP="008B4791">
      <w:pPr>
        <w:pStyle w:val="NormalHanging12a"/>
        <w:rPr>
          <w:b/>
          <w:i/>
        </w:rPr>
      </w:pPr>
      <w:r w:rsidRPr="00AC1FC6">
        <w:rPr>
          <w:b/>
          <w:i/>
        </w:rPr>
        <w:t>Stabilność gospodarcza i bezpieczeństwo żywnościowe</w:t>
      </w:r>
    </w:p>
    <w:p w14:paraId="15A394A1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11.</w:t>
      </w:r>
      <w:r w:rsidRPr="00AC1FC6">
        <w:tab/>
        <w:t>zauważa, że utrzymanie dobrze prosperującego, zrównoważonego i odpornego sektora produkcji zwierzęcej w UE będzie korzystne dla globalnego bezpieczeństwa żywnościowego, wzmocni suwerenność żywnościową i wzrost gospodarczy UE oraz przyczyni się do zrównoważonej i zróżnicowanej diety europejskiej dzięki spożywaniu produktów pochodzenia zwierzęcego o wysokiej jakości odżywczej, które są unikalnym źródłem wielu mikroskładników odżywczych i związków bioaktywnych, których wartości odżywczej nie można w odpowiedni sposób zastąpić substytutami pochodzenia roślinnego lub sztucznego, co należy uznać przy opracowywaniu wytycznych żywieniowych opartych na dowodach naukowych;</w:t>
      </w:r>
    </w:p>
    <w:p w14:paraId="3F899C16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12.</w:t>
      </w:r>
      <w:r w:rsidRPr="00AC1FC6">
        <w:tab/>
        <w:t>zauważa, że w sprawozdaniu FAO z 2023 r. pt. „</w:t>
      </w:r>
      <w:proofErr w:type="spellStart"/>
      <w:r w:rsidRPr="00AC1FC6">
        <w:t>Contribution</w:t>
      </w:r>
      <w:proofErr w:type="spellEnd"/>
      <w:r w:rsidRPr="00AC1FC6">
        <w:t xml:space="preserve"> of </w:t>
      </w:r>
      <w:proofErr w:type="spellStart"/>
      <w:r w:rsidRPr="00AC1FC6">
        <w:t>terrestrial</w:t>
      </w:r>
      <w:proofErr w:type="spellEnd"/>
      <w:r w:rsidRPr="00AC1FC6">
        <w:t xml:space="preserve"> </w:t>
      </w:r>
      <w:proofErr w:type="spellStart"/>
      <w:r w:rsidRPr="00AC1FC6">
        <w:t>animal</w:t>
      </w:r>
      <w:proofErr w:type="spellEnd"/>
      <w:r w:rsidRPr="00AC1FC6">
        <w:t xml:space="preserve"> </w:t>
      </w:r>
      <w:proofErr w:type="spellStart"/>
      <w:r w:rsidRPr="00AC1FC6">
        <w:t>source</w:t>
      </w:r>
      <w:proofErr w:type="spellEnd"/>
      <w:r w:rsidRPr="00AC1FC6">
        <w:t xml:space="preserve"> </w:t>
      </w:r>
      <w:proofErr w:type="spellStart"/>
      <w:r w:rsidRPr="00AC1FC6">
        <w:t>foods</w:t>
      </w:r>
      <w:proofErr w:type="spellEnd"/>
      <w:r w:rsidRPr="00AC1FC6">
        <w:t xml:space="preserve"> to </w:t>
      </w:r>
      <w:proofErr w:type="spellStart"/>
      <w:r w:rsidRPr="00AC1FC6">
        <w:t>healthy</w:t>
      </w:r>
      <w:proofErr w:type="spellEnd"/>
      <w:r w:rsidRPr="00AC1FC6">
        <w:t xml:space="preserve"> </w:t>
      </w:r>
      <w:proofErr w:type="spellStart"/>
      <w:r w:rsidRPr="00AC1FC6">
        <w:t>diets</w:t>
      </w:r>
      <w:proofErr w:type="spellEnd"/>
      <w:r w:rsidRPr="00AC1FC6">
        <w:t xml:space="preserve"> for </w:t>
      </w:r>
      <w:proofErr w:type="spellStart"/>
      <w:r w:rsidRPr="00AC1FC6">
        <w:t>improved</w:t>
      </w:r>
      <w:proofErr w:type="spellEnd"/>
      <w:r w:rsidRPr="00AC1FC6">
        <w:t xml:space="preserve"> </w:t>
      </w:r>
      <w:proofErr w:type="spellStart"/>
      <w:r w:rsidRPr="00AC1FC6">
        <w:t>nutrition</w:t>
      </w:r>
      <w:proofErr w:type="spellEnd"/>
      <w:r w:rsidRPr="00AC1FC6">
        <w:t xml:space="preserve"> and </w:t>
      </w:r>
      <w:proofErr w:type="spellStart"/>
      <w:r w:rsidRPr="00AC1FC6">
        <w:t>health</w:t>
      </w:r>
      <w:proofErr w:type="spellEnd"/>
      <w:r w:rsidRPr="00AC1FC6">
        <w:t xml:space="preserve"> </w:t>
      </w:r>
      <w:proofErr w:type="spellStart"/>
      <w:r w:rsidRPr="00AC1FC6">
        <w:t>outcomes</w:t>
      </w:r>
      <w:proofErr w:type="spellEnd"/>
      <w:r w:rsidRPr="00AC1FC6">
        <w:t>” [Wkład żywności pochodzenia zwierzęcego w zdrową dietę z myślą o poprawie odżywiania i skutkach dla zdrowia] podkreślono rolę żywności pochodzenia zwierzęcego w dostarczaniu wysokiej jakości białka i niezbędnych mikroskładników odżywczych, których może brakować w diecie pochodzenia roślinnego; podkreśla, że żywność ta ma zasadnicze znaczenie dla dzieci, nastolatków, kobiet w ciąży i karmiących piersią, kobiet w wieku rozrodczym, osób starszych i osób z chorobami przewlekłymi oraz że może być ona trudna do zastąpienia substytutami roślinnymi;</w:t>
      </w:r>
    </w:p>
    <w:p w14:paraId="1D35C94B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13.</w:t>
      </w:r>
      <w:r w:rsidRPr="00AC1FC6">
        <w:tab/>
        <w:t>zdecydowanie podkreśla znaczenie hodowli zwierząt gospodarskich dla regionalnych łańcuchów wartości i rynków lokalnych; wzywa Komisję, aby sporządziła ocenę skutków badającą, do jakich skutków społecznych i ekonomicznych doprowadziłoby dalsze kurczenie się sieci regionalnych ubojni;</w:t>
      </w:r>
    </w:p>
    <w:p w14:paraId="3377F8CC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14.</w:t>
      </w:r>
      <w:r w:rsidRPr="00AC1FC6">
        <w:tab/>
        <w:t xml:space="preserve">apeluje o zrównoważone podejście, w którym uznaje się zasadniczą rolę produktów pochodzenia zwierzęcego w globalnym żywieniu, przy jednoczesnym uwzględnieniu znaczenia takiej produkcji dla dochodów i stabilności gospodarczej gospodarstw; przypomina, że zwierzęta gospodarskie odgrywają ważną rolę w gospodarce o obiegu zamkniętym i </w:t>
      </w:r>
      <w:proofErr w:type="spellStart"/>
      <w:r w:rsidRPr="00AC1FC6">
        <w:t>upcyklingu</w:t>
      </w:r>
      <w:proofErr w:type="spellEnd"/>
      <w:r w:rsidRPr="00AC1FC6">
        <w:t xml:space="preserve"> strumieni odpadów z przemysłu spożywczego oraz w wielu sektorach, takich jak przemysł włókienniczy, odzieżowy, obuwniczy, skórzany, budowlany, kosmetyczny i farmaceutyczny; zauważa, że jednocześnie należy zająć się poszczególnymi skutkami systemów produkcji dla środowiska, klimatu i dobrostanu zwierząt; </w:t>
      </w:r>
    </w:p>
    <w:p w14:paraId="1C906694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15.</w:t>
      </w:r>
      <w:r w:rsidRPr="00AC1FC6">
        <w:tab/>
        <w:t>podkreśla, że nadal należy zapewniać bezpieczeństwo żywnościowe w Europie przy jednoczesnym ograniczaniu wpływu na środowisko, co stanowi wyzwanie, któremu trzeba sprostać za pomocą przejrzystych, opartych na dowodach naukowych podejściach i innowacjach;</w:t>
      </w:r>
    </w:p>
    <w:p w14:paraId="6ABC05A5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lastRenderedPageBreak/>
        <w:t>16.</w:t>
      </w:r>
      <w:r w:rsidRPr="00AC1FC6">
        <w:tab/>
        <w:t xml:space="preserve">podkreśla, że poprawa wydajności, odporności, skuteczności i </w:t>
      </w:r>
      <w:proofErr w:type="spellStart"/>
      <w:r w:rsidRPr="00AC1FC6">
        <w:t>zrównoważoności</w:t>
      </w:r>
      <w:proofErr w:type="spellEnd"/>
      <w:r w:rsidRPr="00AC1FC6">
        <w:t xml:space="preserve"> unijnego sektora produkcji zwierzęcej ma zasadnicze znaczenie dla zwiększenia krajowej podaży wysokiej jakości białka, która zaspokaja potrzeby konsumentów w UE i zwiększa bezpieczeństwo żywnościowe, zwłaszcza w kontekście zmienności rynków światowych, napięć geopolitycznych i spodziewanego wzrostu światowego popytu na białko w ciągu najbliższych 30 lat; zauważa, że UE pozostaje w dużym stopniu zależna od przywozu białka roślinnego przeznaczonego na paszę z ograniczonej liczby krajów partnerskich, co podważa suwerenność białkową i sprawia, że system żywnościowy jest podatny na wahania na rynku światowym;</w:t>
      </w:r>
    </w:p>
    <w:p w14:paraId="4A316887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17.</w:t>
      </w:r>
      <w:r w:rsidRPr="00AC1FC6">
        <w:tab/>
        <w:t>podkreśla, że zrównoważona, zróżnicowana i krajowa produkcja białka ma zasadnicze znaczenie dla zapewnienia wystarczającej, bezpiecznej i wysokiej jakości żywności i paszy; podkreśla, że sektor białka zwierzęcego może wspierać taką produkcję poprzez wykorzystanie odchodów zwierzęcych jako nawozów naturalnych oraz odzyskiwanie produktów ubocznych pochodzenia roślinnego do produkcji paszy i strumieni odpadów z żywności z myślą o propagowaniu bardziej zintegrowanego, zrównoważonego systemu o obiegu zamkniętym; z zadowoleniem przyjmuje zapowiedź Komisji zawartą w „Wizji dla rolnictwa i żywności”, zgodnie z którą opracuje ona kompleksowy plan na rzecz bardziej samowystarczalnego i zrównoważonego systemu białka w UE, obejmujący produkcję oraz przywóz i spożycie białek w UE w celu zapewnienia długoterminowej odporności systemu rolno-spożywczego;</w:t>
      </w:r>
    </w:p>
    <w:p w14:paraId="6483D7DC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18.</w:t>
      </w:r>
      <w:r w:rsidRPr="00AC1FC6">
        <w:tab/>
        <w:t>podkreśla, że należy wzmocnić pozycję rolników w rolno-spożywczym łańcuchu wartości, także za pośrednictwem spółdzielni, organizacji i stowarzyszeń producentów, oraz wzywa Komisję i państwa członkowskie, aby zbadały mechanizmy zapewniające rolnikom ceny, które pokryją co najmniej ponoszone przez nich koszty produkcji; przypomina, że zapewnienie hodowcom zwierząt gospodarskich godziwych, sprawiedliwych i bardziej stabilnych dochodów, lepszych warunków pracy, uznania społecznego, lepszego dostępu do kredytów oraz zrównoważonego finansowania badań naukowych i inwestycji w jakość produkcji zwierzęcej ma kluczowe znaczenie dla zapewnienia stabilności gospodarczej sektora, właściwego docenienia roli rolników w zapewnianiu dostaw żywności w UE i przyciągania młodszych pokoleń;</w:t>
      </w:r>
    </w:p>
    <w:p w14:paraId="30FD0471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19.</w:t>
      </w:r>
      <w:r w:rsidRPr="00AC1FC6">
        <w:tab/>
        <w:t>zaznacza, że niestabilność cen, wysokie koszty produkcji, nadmierna biurokracja oraz brak uznania dla zawodu ze strony społeczeństwa przyczyniły się do rezygnacji ludzi z pracy w rolnictwie i starzenia się tego sektora; zwraca uwagę, że małe i średnie gospodarstwa już muszą wypełniać wiele obowiązków, których skutki nie są opłacalne z perspektywy uzyskiwanych w ich wyniku rezultatów; ponownie podkreśla zatem, że należy opracować skuteczne instrumenty wspierające dochody, ograniczyć formalności administracyjne, uprościć istniejące przepisy i zwiększyć uznanie społeczeństwa dla pracy rolniczej, co stanowi kluczowe elementy zapewniające długofalową rentowność hodowli zwierząt gospodarskich w UE; wzywa Komisję, aby wspierała sektor produkcji zwierzęcej i przystąpiła do przyjęcia strategii dotyczącej zwierząt gospodarskich;</w:t>
      </w:r>
    </w:p>
    <w:p w14:paraId="75A01DA4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20.</w:t>
      </w:r>
      <w:r w:rsidRPr="00AC1FC6">
        <w:tab/>
        <w:t xml:space="preserve">zwraca uwagę, że inwestycje w nowe gospodarstwa chowu zwierząt i renowacja istniejących pociągają za sobą znaczne koszty i wymagają długoterminowego planowania oraz długofalowej realizacji; ostrzega, że przegląd ustawodawstwa w zakresie dobrostanu zwierząt mógłby doprowadzić do sytuacji, w której gospodarstwa chowu zwierząt straciłyby zezwolenia, co oznaczałoby, że musiałyby zostać poddane kosztownej przebudowie na wiele lat przed upływem okresu ich użytkowania; wzywa Komisję, aby wspierała, w zakresie swoich kompetencji, dobre praktyki wydawania </w:t>
      </w:r>
      <w:r w:rsidRPr="00AC1FC6">
        <w:lastRenderedPageBreak/>
        <w:t>zezwoleń w państwach członkowskich oraz by tworzyła odpowiednie zachęty;</w:t>
      </w:r>
    </w:p>
    <w:p w14:paraId="1A9E1E6E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21.</w:t>
      </w:r>
      <w:r w:rsidRPr="00AC1FC6">
        <w:tab/>
        <w:t>podkreśla, że zrównoważona hodowla zwierząt gospodarskich, zwłaszcza w małych i średnich gospodarstwach rolnych, ma zasadnicze znaczenie dla społeczno-gospodarczej witalności obszarów wiejskich, w szczególności obszarów górskich, obszarów o dużym zagęszczeniu zwierząt gospodarskich i obszarów o niekorzystnych warunkach gospodarowania, takich jak trwałe użytki zielone, torfowiska i łąki, na których hodowla jest często główną lub nawet jedyną rentowną działalnością gospodarczą podtrzymującą produkcję, wzrost gospodarczy i utrzymanie krajobrazu; podkreśla, że hodowla zwierząt gospodarskich nie tylko tworzy miejsca pracy i pomaga zapobiegać wyludnieniu na obszarach wiejskich, lecz także przyczynia się do aktywnego zarządzania gruntami, zapobiegania pożarom, ochrony bioróżnorodności oraz zachowania dziedzictwa kulturowego i krajobrazowego; podkreśla, że w wielu regionach hodowla ta odgrywa niezastąpioną rolę w spójności terytorialnej i podtrzymywaniu życia społeczności; podkreśla, że pasterstwo ekstensywne jest skutecznym sposobem nagradzania rolników za świadczone przez nich usługi ekosystemowe;</w:t>
      </w:r>
      <w:bookmarkStart w:id="13" w:name="_Hlk211233517"/>
    </w:p>
    <w:p w14:paraId="3F02338F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22.</w:t>
      </w:r>
      <w:r w:rsidRPr="00AC1FC6">
        <w:tab/>
        <w:t xml:space="preserve">wzywa Komisję, aby uruchomiła plan wspierający nowe technologie, innowacje dotyczące paszy oraz genetyczne doskonalenie stad, aby zwiększyła inwestycje w publiczne i prywatne badania nad hodowlą zwierząt i genetyką, aby ułatwiała rozpowszechnianie dobrych praktyk zamiast narzucania zakrojonych na szeroką skalę liczbowych środków restrukturyzacji stad, które ograniczyłyby europejską suwerenność żywnościową i europejskie bezpieczeństwo żywnościowe oraz zagrażałyby im, a także aby zoptymalizowała produkcję i wydajność; podkreśla, że hodowla zwierząt jest ważnym narzędziem służącym poprawie produktywności, wydajności i stanu zdrowia zwierząt; podkreśla, że UE jest liderem pod względem badań naukowych i innowacji w dziedzinie hodowli zwierząt i genetyki; </w:t>
      </w:r>
    </w:p>
    <w:p w14:paraId="5280C75F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23.</w:t>
      </w:r>
      <w:r w:rsidRPr="00AC1FC6">
        <w:tab/>
        <w:t>apeluje o uruchomienie planu na rzecz zabezpieczenia puli genetycznej różnych zagrożonych ras tradycyjnych, wspierania odmian lokalnych i chowu ras tradycyjnych, które są lepiej dostosowane do danego klimatu, i rozpowszechniania dobrych praktyk przy jednoczesnym zachowaniu różnorodności genetycznej; podkreśla, że należy utrzymać pomoc na podstawie art. 27 rozporządzenia Komisji (UE) 2022/2472</w:t>
      </w:r>
      <w:r w:rsidRPr="00AC1FC6">
        <w:rPr>
          <w:rStyle w:val="FootnoteReference"/>
        </w:rPr>
        <w:footnoteReference w:id="30"/>
      </w:r>
      <w:r w:rsidRPr="00AC1FC6">
        <w:t xml:space="preserve"> z myślą o wspieraniu postępu genetycznego w produkcji zwierzęcej; podkreśla, że należy pilnie propagować badania, innowacje i przyjmowanie popartych dowodami naukowymi praktyk poprawiających </w:t>
      </w:r>
      <w:proofErr w:type="spellStart"/>
      <w:r w:rsidRPr="00AC1FC6">
        <w:t>zrównoważoność</w:t>
      </w:r>
      <w:proofErr w:type="spellEnd"/>
      <w:r w:rsidRPr="00AC1FC6">
        <w:t xml:space="preserve"> produkcji zwierzęcej w wymiarze środowiskowym, społecznym i gospodarczym, w tym poprzez ukierunkowane inwestycje w badania genetyczne, efektywność składników pokarmowych i selekcję cech sprzyjających długotrwałej wydajności produkcyjnej, oraz że należy zachęcać do badań i innowacji na obszarach o dużym zagęszczeniu zwierząt gospodarskich i finansować te badania i innowacje w celu ograniczenia skutków środowiskowych, a jednocześnie propagować wysokie normy dobrostanu zwierząt oraz wspierać zintegrowane i odporne łańcuchy dostaw w produkcji zwierzęcej; zauważa, że doskonalenie genetyczne wraz z dobrym zarządzaniem i innowacjami może ograniczyć emisje i stanowić zrównoważoną alternatywę dla nagłej restrukturyzacji, która zagraża </w:t>
      </w:r>
      <w:r w:rsidRPr="00AC1FC6">
        <w:lastRenderedPageBreak/>
        <w:t>rentowności gospodarstw i suwerenności żywnościowej UE;</w:t>
      </w:r>
      <w:bookmarkStart w:id="14" w:name="_Hlk219039639"/>
      <w:r w:rsidRPr="00AC1FC6">
        <w:t xml:space="preserve"> </w:t>
      </w:r>
    </w:p>
    <w:p w14:paraId="316D59DC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24.</w:t>
      </w:r>
      <w:r w:rsidRPr="00AC1FC6">
        <w:tab/>
        <w:t xml:space="preserve">przyznaje, że w swojej Wizji dla rolnictwa i żywności Komisja wskazała, że WPR nadal ma zasadnicze znaczenie dla wspierania dochodów rolników oraz że płatności bezpośrednie w ramach WPR nadal odgrywają kluczową rolę we wspieraniu i stabilizowaniu dochodów z działalności rolniczej na poziomie gospodarstw rolnych; </w:t>
      </w:r>
      <w:r w:rsidRPr="00AC1FC6">
        <w:rPr>
          <w:shd w:val="clear" w:color="auto" w:fill="FFFFFF"/>
        </w:rPr>
        <w:t>podkreśla, jak ważne jest utrzymanie bezpośredniego wsparcia dochodów oraz wszystkich programów finansowanych obecnie w ramach WPR</w:t>
      </w:r>
      <w:r w:rsidRPr="00AC1FC6">
        <w:t>, jako że sektory chowu zwierząt gospodarskich i rolnictwa mieszanego należą do dużych beneficjentów obecnych WPR w pierwszym filarze (płatności bezpośrednie, płatności związane z produkcją wołowiny, cielęciny, baraniny i koźliny) i drugim filarze, w szczególności dzięki wsparciu na rzecz inwestycji, płatnościom z tytułu ograniczeń naturalnych lub innych szczególnych ograniczeń dla danego obszaru oraz zobowiązaniom rolno-środowiskowo-klimatycznym;</w:t>
      </w:r>
      <w:bookmarkEnd w:id="14"/>
      <w:r w:rsidRPr="00AC1FC6">
        <w:t xml:space="preserve"> zauważa, że rentowność i niewystarczająca wymiana pokoleń stanowią wyzwanie dla wielu gospodarstw, które potrzebują szczególnej uwagi i </w:t>
      </w:r>
      <w:bookmarkStart w:id="15" w:name="_Hlk216446031"/>
      <w:r w:rsidRPr="00AC1FC6">
        <w:t>dotacji powiązanych z produkcją</w:t>
      </w:r>
      <w:bookmarkEnd w:id="15"/>
      <w:r w:rsidRPr="00AC1FC6">
        <w:t xml:space="preserve">, oraz podkreśla znaczenie płatności związanych z produkcją dla rolników aktywnych zawodowo; apeluje o specjalny, solidny budżet na WPR w kolejnych wieloletnich ramach finansowych i zauważa, że należy go wyodrębnić i utrzymać co najmniej na poziomie obecnego budżetu WPR w ujęciu realnym, przy jednoczesnym uwzględnieniu inflacji; </w:t>
      </w:r>
    </w:p>
    <w:p w14:paraId="4B1D184D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25.</w:t>
      </w:r>
      <w:r w:rsidRPr="00AC1FC6">
        <w:tab/>
        <w:t xml:space="preserve">podkreśla kluczową rolę spółdzielni, biorąc pod uwagę łatwe psucie się produktów pochodzenia zwierzęcego i wysokie koszty transakcji, oraz wzywa Komisję do wspierania ich w celu wzmocnienia odporności, pozycji producentów, waloryzacji produktów ubocznych i wymiany pokoleń oraz do promowania podejść opartych na obiegu zamkniętym; apeluje o dostosowanie wsparcia w ramach WPR do sytuacji gospodarstw rolnych, zwłaszcza małych i rodzinnych, oraz o umożliwienie płatności uzależnionych od liczby zwierząt w sektorze produkcji zwierzęcej; podkreśla potrzebę zwiększenia rentowności rolników za pomocą narzędzi dywersyfikacji i zarządzania ryzykiem w celu poprawy konkurencyjności, rentowności i długoterminowej odporności; </w:t>
      </w:r>
    </w:p>
    <w:p w14:paraId="363A1179" w14:textId="77777777" w:rsidR="00E527F1" w:rsidRPr="00AC1FC6" w:rsidRDefault="00E527F1" w:rsidP="008B4791">
      <w:pPr>
        <w:spacing w:after="240"/>
        <w:ind w:left="567" w:hanging="567"/>
        <w:rPr>
          <w:szCs w:val="24"/>
        </w:rPr>
      </w:pPr>
      <w:r w:rsidRPr="00AC1FC6">
        <w:t>26.</w:t>
      </w:r>
      <w:r w:rsidRPr="00AC1FC6">
        <w:tab/>
        <w:t>zauważa, że rolnicy stoją w obliczu rosnących i zróżnicowanych zagrożeń, takich jak nieprzewidywalne rynki, zmiana klimatu i związane z nią ekstremalne zdarzenia pogodowe, choroby zwierząt, napięcia geopolityczne i niepewne konsekwencje umów handlowych; w związku z tym wzywa Komisję, by zarówno wzmocniła narzędzia zarządzania kryzysowego, jak i zwiększyła rezerwę na wypadek kryzysów w sektorze rolnym w WPR na okres po 2027 r., a zarazem by jednocześnie stworzyła nowe specjalne instrumenty finansowe finansowane ze źródeł innych niż WPR, ponieważ środki te mają zasadnicze znaczenie dla rozwiązania problemu strat gospodarczych i dodatkowych kosztów, z którymi borykają się rolnicy w UE, oraz dla zapewnienia im większej stabilności;</w:t>
      </w:r>
    </w:p>
    <w:p w14:paraId="6CBD1E14" w14:textId="77777777" w:rsidR="00E527F1" w:rsidRDefault="00E527F1" w:rsidP="008B4791">
      <w:pPr>
        <w:spacing w:after="240"/>
        <w:ind w:left="567" w:hanging="567"/>
      </w:pPr>
      <w:r w:rsidRPr="00AC1FC6">
        <w:t>27.</w:t>
      </w:r>
      <w:r w:rsidRPr="00AC1FC6">
        <w:tab/>
        <w:t xml:space="preserve">wzywa Komisję, by wykorzystała istniejące wsparcie w ramach WPR do wzmocnienia mechanizmów finansowych i społeczno-gospodarczych; podkreśla, że płatności w ramach WPR nadal mają zasadnicze znaczenie dla ciągłości dochodów w sektorze produkcji zwierzęcej, zwłaszcza dla dochodów gospodarstw specjalizujących się w produkcji wołowiny, przetworów mlecznych, baraniny i koźliny oraz tych, które świadczą usługi środowiskowe przez ekstensywny wypas; podkreśla potrzebę wprowadzenia okresu przejściowego w okresie po 2027 r., aby umożliwić dostosowanie się do nowych przepisów; </w:t>
      </w:r>
      <w:bookmarkStart w:id="16" w:name="_Hlk219036154"/>
      <w:r w:rsidRPr="00AC1FC6">
        <w:t xml:space="preserve">wyraża zadowolenie, że w pakiecie zbiorczym dotyczącym </w:t>
      </w:r>
      <w:r w:rsidRPr="00AC1FC6">
        <w:lastRenderedPageBreak/>
        <w:t xml:space="preserve">WPR uznano nabywanie bydła, owiec i kóz o wysokiej wartości genetycznej za wydatki kwalifikowalne do celów otrzymania wsparcia z Europejskiego Funduszu Rolnego na rzecz Rozwoju Obszarów Wiejskich; wzywa Komisję do rozszerzenia tego przepisu na świnie o wysokiej wartości genetycznej przeznaczone do celów hodowlanych, biorąc pod uwagę ich znaczenie dla konkurencyjności i odporności europejskiego sektora produkcji zwierzęcej; podkreśla, że należy utrzymać co najmniej taki sam poziom ambicji w WPR na okres 2027 r.;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16"/>
      <w:r w:rsidRPr="00AC1FC6">
        <w:t>ponadto wzywa Komisję do uznania szczególnych potrzeb hodowców zwierząt gospodarskich na gęsto zaludnionych obszarach oraz do zapewnienia odpowiedniego wsparcia w ramach WPR, zauważając, że zrównoważony rozwój regionalny można wzmocnić przez utrzymanie liczby gospodarstw i lokalnej infrastruktury, takiej jak rzeźnie, wytwórnie pasz i zakłady przetwórcze;</w:t>
      </w:r>
      <w:bookmarkEnd w:id="13"/>
    </w:p>
    <w:p w14:paraId="7AA4F393" w14:textId="6139785C" w:rsidR="00802AD3" w:rsidRPr="00802AD3" w:rsidRDefault="00802AD3" w:rsidP="008B4791">
      <w:pPr>
        <w:spacing w:after="240"/>
        <w:ind w:left="567" w:hanging="567"/>
        <w:rPr>
          <w:bCs/>
          <w:iCs/>
          <w:szCs w:val="24"/>
        </w:rPr>
      </w:pPr>
      <w:r>
        <w:rPr>
          <w:bCs/>
          <w:iCs/>
          <w:szCs w:val="24"/>
        </w:rPr>
        <w:t>28</w:t>
      </w:r>
      <w:r w:rsidRPr="00802AD3">
        <w:rPr>
          <w:bCs/>
          <w:iCs/>
          <w:szCs w:val="24"/>
        </w:rPr>
        <w:t>.</w:t>
      </w:r>
      <w:r w:rsidRPr="00802AD3">
        <w:rPr>
          <w:bCs/>
          <w:iCs/>
          <w:szCs w:val="24"/>
        </w:rPr>
        <w:tab/>
        <w:t>apeluje, by zachęcać do ekstensywnego chowu zwierząt gospodarskich opartego na użytkach zielonych, zwłaszcza w ramach WPR;</w:t>
      </w:r>
    </w:p>
    <w:p w14:paraId="2E37DE47" w14:textId="511814C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29</w:t>
      </w:r>
      <w:r w:rsidR="00E527F1" w:rsidRPr="00AC1FC6">
        <w:t>.</w:t>
      </w:r>
      <w:r w:rsidR="00E527F1" w:rsidRPr="00AC1FC6">
        <w:tab/>
        <w:t xml:space="preserve">podkreśla potrzebę powstrzymania i odwrócenia spadku pogłowia w sektorze produkcji zwierzęcej oraz zapewnienia pełnej wzajemności norm UE dla wszystkich produktów importowanych; wzywa Komisję do opracowania konkretnych strategii w celu zapewnienia równych warunków działania i większej spójności między jej polityką handlową a polityką zrównoważonego rozwoju; wzywa Komisję i państwa członkowskie, by lepiej uwzględniały specyfikę sektora rolnego, zapewniały pełną wzajemność norm UE przez włączanie klauzul „lustrzanych” do zawieranych umów handlowych oraz chroniły europejskie rolnictwo, produkcję żywności i zdrowie publiczne we wszystkich umowach handlowych; podkreśla w związku z tym, że międzynarodowe umowy handlowe nie powinny wpływać negatywnie na europejskie rolnictwo oraz powinny gwarantować wzajemność i nie stwarzać zagrożenia dla zdrowia publicznego; podkreśla pilną potrzebę dostosowania interwencji rynkowych przez aktualizację cen referencyjnych w klauzulach ochronnych zgodnie z nowymi warunkami rynkowymi i narzędziami zarządzania; </w:t>
      </w:r>
      <w:bookmarkStart w:id="17" w:name="_Hlk211234131"/>
    </w:p>
    <w:p w14:paraId="30570AC2" w14:textId="3EB6A2D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30</w:t>
      </w:r>
      <w:r w:rsidR="00E527F1" w:rsidRPr="00AC1FC6">
        <w:t>.</w:t>
      </w:r>
      <w:r w:rsidR="00E527F1" w:rsidRPr="00AC1FC6">
        <w:tab/>
        <w:t xml:space="preserve">podkreśla, że hodowcy zwierząt gospodarskich powinni również móc korzystać z dodatkowego źródła dochodów, jakie stwarzają techniki </w:t>
      </w:r>
      <w:proofErr w:type="spellStart"/>
      <w:r w:rsidR="00E527F1" w:rsidRPr="00AC1FC6">
        <w:t>węglochłonne</w:t>
      </w:r>
      <w:proofErr w:type="spellEnd"/>
      <w:r w:rsidR="00E527F1" w:rsidRPr="00AC1FC6">
        <w:t>; apeluje w związku z tym o stopniowe odchodzenie od obecnego systemu skoncentrowanego na zalecanych praktykach i uprzednich zezwoleniach administracyjnych na rzecz ram zarządzania emisjami ukierunkowanych na wyniki, przy jednoczesnym umożliwieniu hodowcom zwierząt gospodarskich wyboru metod i technologii, co pozwoli zachować swobodę przedsiębiorczości oraz umożliwi rozliczanie hodowców z osiągania wyznaczonych celów;</w:t>
      </w:r>
      <w:bookmarkEnd w:id="17"/>
    </w:p>
    <w:p w14:paraId="16447A76" w14:textId="66B689E5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31</w:t>
      </w:r>
      <w:r w:rsidR="00E527F1" w:rsidRPr="00AC1FC6">
        <w:t>.</w:t>
      </w:r>
      <w:r w:rsidR="00E527F1" w:rsidRPr="00AC1FC6">
        <w:tab/>
        <w:t xml:space="preserve">wzywa Komisję, by przeprowadziła przegląd przepisów dotyczących przetwórstwa mięsa, takich jak przepisy o technologii stosowanej do kontroli </w:t>
      </w:r>
      <w:proofErr w:type="gramStart"/>
      <w:r w:rsidR="00E527F1" w:rsidRPr="00AC1FC6">
        <w:t>mięsa,</w:t>
      </w:r>
      <w:proofErr w:type="gramEnd"/>
      <w:r w:rsidR="00E527F1" w:rsidRPr="00AC1FC6">
        <w:t xml:space="preserve"> oraz zharmonizowała minimalne wytyczne dotyczące oceny zawartości mięsa, które obecnie ograniczają maksymalne wykorzystanie tusz zwierzęcych, tak aby zwiększyć przejrzystość łańcucha dostaw i zapewnić rolnikom wyższe dochody;</w:t>
      </w:r>
    </w:p>
    <w:p w14:paraId="5C1ACD5E" w14:textId="3C8C6E88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32</w:t>
      </w:r>
      <w:r w:rsidR="00E527F1" w:rsidRPr="00AC1FC6">
        <w:t>.</w:t>
      </w:r>
      <w:r w:rsidR="00E527F1" w:rsidRPr="00AC1FC6">
        <w:tab/>
        <w:t xml:space="preserve">zauważa, że w chowie zwierząt gospodarskich można by stosować w szczególności praktyki i technologie mające na celu poprawę zdrowia i dobrostanu zwierząt oraz osiągnięcie lepszej wydajności, w tym np. systemy </w:t>
      </w:r>
      <w:proofErr w:type="spellStart"/>
      <w:r w:rsidR="00E527F1" w:rsidRPr="00AC1FC6">
        <w:t>niskokosztowe</w:t>
      </w:r>
      <w:proofErr w:type="spellEnd"/>
      <w:r w:rsidR="00E527F1" w:rsidRPr="00AC1FC6">
        <w:t xml:space="preserve">, systemy dwukierunkowe oraz chów precyzyjny, a także korzystać z nowych technologii </w:t>
      </w:r>
      <w:r w:rsidR="00E527F1" w:rsidRPr="00AC1FC6">
        <w:lastRenderedPageBreak/>
        <w:t xml:space="preserve">cyfrowych, które mogą poprawić zarządzanie zwierzętami i systemami, przetwarzanie danych i identyfikowalność; zwraca się do Komisji o przedstawienie sprawozdania na temat najlepszych praktyk w zakresie zrównoważonej produkcji zwierzęcej i zaproponowanie konkretnych środków wspierających innowacje, wydajność i odporność sektora, w tym lepsze wykorzystanie istniejących wspólnych baz danych i banków genów ras pierwotnych, aby umożliwić chętnym hodowcom dalszą hodowlę niektórych starych gatunków; zwraca uwagę na lukę w umiejętnościach cyfrowych między obszarami wiejskimi i miejskimi; wzywa Komisję i państwa członkowskie do dopilnowania, by transformacja cyfrowa przynosiła korzyści rolnikom; </w:t>
      </w:r>
    </w:p>
    <w:p w14:paraId="0B457A73" w14:textId="68270E3E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33</w:t>
      </w:r>
      <w:r w:rsidR="00E527F1" w:rsidRPr="00AC1FC6">
        <w:t>.</w:t>
      </w:r>
      <w:r w:rsidR="00E527F1" w:rsidRPr="00AC1FC6">
        <w:tab/>
        <w:t>podkreśla, że dążenie do poprawy wydajności zwierząt lub osiągnięcia celów klimatycznych nie może odbywać się kosztem zdrowia i dobrostanu zwierząt;</w:t>
      </w:r>
      <w:bookmarkStart w:id="18" w:name="_Hlk219044080"/>
    </w:p>
    <w:p w14:paraId="03774574" w14:textId="02E0B64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34</w:t>
      </w:r>
      <w:r w:rsidR="00E527F1" w:rsidRPr="00AC1FC6">
        <w:t>.</w:t>
      </w:r>
      <w:r w:rsidR="00E527F1" w:rsidRPr="00AC1FC6">
        <w:tab/>
        <w:t xml:space="preserve">apeluje, by opracowano polityki wspierania gospodarstw rodzinnych oraz młodych i nowych rolników w utrzymaniu i poprawie </w:t>
      </w:r>
      <w:bookmarkEnd w:id="18"/>
      <w:r w:rsidR="00E527F1" w:rsidRPr="00AC1FC6">
        <w:t>zrównoważonego chowu zwierząt gospodarskich i chowu zwierząt gospodarskich na mała skalę jako środka utrzymania i bezpieczeństwa żywnościowego; zwraca uwagę, że w związku z tym konieczne jest wspieranie rolników w osiągnięciu ugruntowanej pozycji za pomocą silnych, specjalnych narzędzi finansowych, które pozwolą im lepiej stawiać czoła presji finansowej; podkreśla znaczenie struktur zbiorowych, takich jak spółdzielnie będące własnością rolników i przez nich zarządzane oraz organizacje producentów;</w:t>
      </w:r>
    </w:p>
    <w:p w14:paraId="11B0250C" w14:textId="0C8505B6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35</w:t>
      </w:r>
      <w:r w:rsidR="00E527F1" w:rsidRPr="00AC1FC6">
        <w:t>.</w:t>
      </w:r>
      <w:r w:rsidR="00E527F1" w:rsidRPr="00AC1FC6">
        <w:tab/>
        <w:t xml:space="preserve">podkreśla potrzebę zwiększenia wsparcia dla regionów najbardziej oddalonych, w których uwarunkowania strukturalne i geograficzne sprawiają, że produkcja rolna wiąże się z wyższymi kosztami; wzywa Komisję do zaktualizowania finansowania z POSEI w kolejnych wieloletnich ramach finansowych w celu odzwierciedlenia inflacji od 2007 r.; zauważa, że sama indeksacja nie wystarczy, aby zaradzić rosnącym kosztom produkcji, transportu i dostaw; podkreśla, że odpowiednie finansowanie POSEI ma zasadnicze znaczenie dla podtrzymania rolnictwa, zapewnienia rentowności gospodarstw rolnych i utrzymania spójności gospodarczej, społecznej i terytorialnej UE zgodnie z art. 349 TFUE; </w:t>
      </w:r>
    </w:p>
    <w:p w14:paraId="2D89EFCA" w14:textId="2EAA105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36</w:t>
      </w:r>
      <w:r w:rsidR="00E527F1" w:rsidRPr="00AC1FC6">
        <w:t>.</w:t>
      </w:r>
      <w:r w:rsidR="00E527F1" w:rsidRPr="00AC1FC6">
        <w:tab/>
        <w:t>wzywa Komisję, aby przyznała, że rolnicy, którzy prowadzą chów zwierząt na obszarach górskich i obszarach o niekorzystnych warunkach gospodarowania – w tym regionach wyspiarskich, śródlądowych, oddalonych i najbardziej oddalonych – mają szczególne potrzeby i wyzwania, oraz zapewniła odpowiednie wsparcie w ramach WPR, w szczególności wsparcie związane z produkcją, interwencje sektorowe i ukierunkowane działania dotyczące rozwoju obszarów wiejskich; podkreśla, że podtrzymywanie chowu zwierząt gospodarskich na obszarach oddalonych i wyspiarskich oraz obszarach o niekorzystnych warunkach gospodarowania służy zrównoważeniu środowiskowemu, gdyż zapobiega porzucaniu gruntów rolnych, wspiera bioróżnorodność i chroni tradycyjne krajobrazy, wspiera dochody rolników i źródła utrzymania oraz pomaga ponownie zaludnić obszary wiejskie; podkreśla, że należy zapewnić aktywny udział przedstawicieli regionów najbardziej oddalonych w grupie wysokiego szczebla, ponieważ szczególne uwarunkowania geograficzne, społeczno-gospodarcze i produkcyjne tych stanowią wyzwania wymagające większej uwagi w procesie opracowywania unijnych strategii politycznych;</w:t>
      </w:r>
    </w:p>
    <w:p w14:paraId="1FC0D53A" w14:textId="2BDC28B9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37</w:t>
      </w:r>
      <w:r w:rsidR="00E527F1" w:rsidRPr="00AC1FC6">
        <w:t>.</w:t>
      </w:r>
      <w:r w:rsidR="00E527F1" w:rsidRPr="00AC1FC6">
        <w:tab/>
        <w:t xml:space="preserve">podkreśla potrzebę globalnej współpracy i transferu innowacyjnej wiedzy w dziedzinie wspierania zrównoważonych systemów produkcji zwierzęcej, szczególnie z regionów europejskich o wysoce wydajnych systemach chowu, w kontekście szybkiego wzrostu </w:t>
      </w:r>
      <w:r w:rsidR="00E527F1" w:rsidRPr="00AC1FC6">
        <w:lastRenderedPageBreak/>
        <w:t>populacji i urbanizacji;</w:t>
      </w:r>
    </w:p>
    <w:p w14:paraId="43C0D86E" w14:textId="7A08B357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38</w:t>
      </w:r>
      <w:r w:rsidR="00E527F1" w:rsidRPr="00AC1FC6">
        <w:t>.</w:t>
      </w:r>
      <w:r w:rsidR="00E527F1" w:rsidRPr="00AC1FC6">
        <w:tab/>
        <w:t>apeluje do państw członkowskich i Komisji, aby inwestowały w edukację, szkolenia i infrastrukturę, które umożliwiają rolnikom stosowanie bardziej zrównoważonych, wydajnych i sprzyjających zdrowiu i dobrostanowi zwierząt praktyk produkcji zwierzęcej, w tym w cyfryzację, badania stosowane, transfer wiedzy i szkolenia dotyczące innowacyjnych narzędzi i technologii, np. systemów monitorowania stanu zdrowia zwierząt gospodarskich, umożliwiających wczesne wykrywanie chorób epizootycznych i zapobieganie im; podkreśla znaczenie niezależnych usług doradczych w tym zakresie oraz wzywa państwa członkowskie, by w pełni wykorzystywały WPR do odpowiedniego finansowania tych usług;</w:t>
      </w:r>
    </w:p>
    <w:p w14:paraId="583BBCF1" w14:textId="520DDBAC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39</w:t>
      </w:r>
      <w:r w:rsidR="00E527F1" w:rsidRPr="00AC1FC6">
        <w:t>.</w:t>
      </w:r>
      <w:r w:rsidR="00E527F1" w:rsidRPr="00AC1FC6">
        <w:tab/>
        <w:t>apeluje o prostsze przepisy dotyczące dobrostanu zwierząt, skupiające się na udzielaniu pomocy rolnikom przez edukację i wsparcie, a nie na metodach egzekwowania przepisów;</w:t>
      </w:r>
    </w:p>
    <w:p w14:paraId="06CC403F" w14:textId="0DC48555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40</w:t>
      </w:r>
      <w:r w:rsidR="00E527F1" w:rsidRPr="00AC1FC6">
        <w:t>.</w:t>
      </w:r>
      <w:r w:rsidR="00E527F1" w:rsidRPr="00AC1FC6">
        <w:tab/>
        <w:t>wzywa Komisję, by przedstawiła swoje wnioski na temat opracowania systemu oznakowania dotyczącego dobrostanu zwierząt, który gwarantowałby konsumentom odpowiednie i jednolite informacje, co pozwoliłoby uniknąć zagrożeń dla rynku wewnętrznego wynikających z mnogości lokalnych systemów dotyczących dobrostanu zwierząt;</w:t>
      </w:r>
    </w:p>
    <w:p w14:paraId="64C96A6E" w14:textId="2CB555A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41</w:t>
      </w:r>
      <w:r w:rsidR="00E527F1" w:rsidRPr="00AC1FC6">
        <w:t>.</w:t>
      </w:r>
      <w:r w:rsidR="00E527F1" w:rsidRPr="00AC1FC6">
        <w:tab/>
        <w:t xml:space="preserve">wskazuje, że brak młodych rolników zagraża rentowności, ciągłości międzypokoleniowej i przyszłej </w:t>
      </w:r>
      <w:proofErr w:type="spellStart"/>
      <w:r w:rsidR="00E527F1" w:rsidRPr="00AC1FC6">
        <w:t>zrównoważoności</w:t>
      </w:r>
      <w:proofErr w:type="spellEnd"/>
      <w:r w:rsidR="00E527F1" w:rsidRPr="00AC1FC6">
        <w:t xml:space="preserve"> europejskiego sektora produkcji zwierzęcej – tylko 12 % gospodarstw rolnych jest prowadzonych przez osoby poniżej 40 roku życia; w związku z tym wzywa Komisję, by zwiększyła skuteczność wsparcia dla przedsiębiorstw typu start-</w:t>
      </w:r>
      <w:proofErr w:type="spellStart"/>
      <w:r w:rsidR="00E527F1" w:rsidRPr="00AC1FC6">
        <w:t>up</w:t>
      </w:r>
      <w:proofErr w:type="spellEnd"/>
      <w:r w:rsidR="00E527F1" w:rsidRPr="00AC1FC6">
        <w:t xml:space="preserve"> w pokonywaniu barier wejścia na rynek w sektorze produkcji zwierzęcej, w tym wysokich kosztów rozpoczęcia działalności; zwraca uwagę na trudności z przyciągnięciem młodych rolników do sektora produkcji zwierzęcej, który jest mało atrakcyjny ze względu na wymagający charakter pracy, np. długie godziny pracy, ograniczone możliwości wzięcia urlopu i brak usług zastępowania, a także na potrzebę uwzględnienia rosnącej liczby kobiet pracujących w gospodarstwach hodowlanych przez promowanie środków i możliwości uwzględniających aspekt płci; </w:t>
      </w:r>
    </w:p>
    <w:p w14:paraId="1E04EAFC" w14:textId="29D287D0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42</w:t>
      </w:r>
      <w:r w:rsidR="00E527F1" w:rsidRPr="00AC1FC6">
        <w:t>.</w:t>
      </w:r>
      <w:r w:rsidR="00E527F1" w:rsidRPr="00AC1FC6">
        <w:tab/>
        <w:t xml:space="preserve">z zadowoleniem przyjmuje strategię odnowy pokoleń Komisji; wzywa Komisję, by przedstawiła zalecenia i zbadała rozwiązania problemu głównych barier utrudniających rozpoczęcie działalności młodym hodowcom zwierząt gospodarskich, w szczególności wysokich inwestycji początkowych w infrastrukturę, trudności w dostępie do gruntów, zwłaszcza z powodu różnic między państwami członkowskimi, ograniczonego dostępu do kredytów, niedoborów siły roboczej, kwestii związanych z zarządzaniem ryzykiem, konieczności zapobiegania chorobom zwierząt i ich zwalczania oraz obciążeń biurokratycznych; </w:t>
      </w:r>
    </w:p>
    <w:p w14:paraId="3DB7840A" w14:textId="0B2C4471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43</w:t>
      </w:r>
      <w:r w:rsidR="00E527F1" w:rsidRPr="00AC1FC6">
        <w:t>.</w:t>
      </w:r>
      <w:r w:rsidR="00E527F1" w:rsidRPr="00AC1FC6">
        <w:tab/>
        <w:t xml:space="preserve">zwraca się do Komisji o rozważenie możliwości przyznawania większej liczby płatności bezpośrednich młodym rolnikom; podkreśla ponadto potrzebę stworzenia odpowiednich warunków do godnego przechodzenia na emeryturę; zwraca wreszcie uwagę, że ułatwienie dostępu do kredytów i gruntów, w szczególności w państwach członkowskich o wysokich cenach gruntów, zwiększenie inwestycji w jakość produkcji zwierzęciej oraz poprawa jakości usług na obszarach wiejskich stanowią warunki niezbędne do przyciągnięcia i zatrzymania nowego pokolenia rolników; podkreśla, że zalecenia dla państw członkowskich dotyczące przeznaczania 6 % budżetu WPR na </w:t>
      </w:r>
      <w:r w:rsidR="00E527F1" w:rsidRPr="00AC1FC6">
        <w:lastRenderedPageBreak/>
        <w:t>odnowę pokoleń nie są wystarczająco wiążące, aby zagwarantować adekwatne wsparcie dla młodych rolników;</w:t>
      </w:r>
      <w:bookmarkStart w:id="19" w:name="_Hlk219047460"/>
    </w:p>
    <w:p w14:paraId="445139D7" w14:textId="59033120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44</w:t>
      </w:r>
      <w:r w:rsidR="00E527F1" w:rsidRPr="00AC1FC6">
        <w:t>.</w:t>
      </w:r>
      <w:r w:rsidR="00E527F1" w:rsidRPr="00AC1FC6">
        <w:tab/>
        <w:t xml:space="preserve">wyraża zadowolenie z zaprezentowania przez Komisję unijnej strategii </w:t>
      </w:r>
      <w:proofErr w:type="spellStart"/>
      <w:r w:rsidR="00E527F1" w:rsidRPr="00AC1FC6">
        <w:t>biogospodarczej</w:t>
      </w:r>
      <w:proofErr w:type="spellEnd"/>
      <w:r w:rsidR="00E527F1" w:rsidRPr="00AC1FC6">
        <w:t xml:space="preserve">; zwraca się do Komisji, by dostrzegła rolę innowacyjnej hodowli zwierząt gospodarskich w promowaniu obiegu zamkniętego oraz w pełni uwolniła potencjał produkcji energii, w szczególności biogazu i </w:t>
      </w:r>
      <w:proofErr w:type="spellStart"/>
      <w:r w:rsidR="00E527F1" w:rsidRPr="00AC1FC6">
        <w:t>biometanu</w:t>
      </w:r>
      <w:proofErr w:type="spellEnd"/>
      <w:r w:rsidR="00E527F1" w:rsidRPr="00AC1FC6">
        <w:t>, a także wykorzystania produktu pofermentacyjnego jako nawozu pochodzenia biologicznego oraz waloryzacji produktów ubocznych pochodzenia zwierzęcego za pośrednictwem sektora utylizacji, tak aby zapewnić hodowcom zwierząt gospodarskich dodatkowe źródła dochodów;</w:t>
      </w:r>
      <w:bookmarkEnd w:id="19"/>
      <w:r w:rsidR="00E527F1" w:rsidRPr="00AC1FC6">
        <w:t xml:space="preserve"> podkreśla, że w szczególności obszary gęsto zaludnione odgrywają ważną rolę w </w:t>
      </w:r>
      <w:proofErr w:type="spellStart"/>
      <w:r w:rsidR="00E527F1" w:rsidRPr="00AC1FC6">
        <w:t>biogospodarce</w:t>
      </w:r>
      <w:proofErr w:type="spellEnd"/>
      <w:r w:rsidR="00E527F1" w:rsidRPr="00AC1FC6">
        <w:t>, ponieważ bliskość obszarów miejskich i krótkie odległości umożliwiają współpracę w ramach gospodarki o obiegu zamkniętym w zakresie wykorzystania odpadów pochodzenia ludzkiego i przetwarzania odpadów z gospodarstw rolnych;</w:t>
      </w:r>
    </w:p>
    <w:p w14:paraId="7B24CE82" w14:textId="2F919087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45</w:t>
      </w:r>
      <w:r w:rsidR="00E527F1" w:rsidRPr="00AC1FC6">
        <w:t>.</w:t>
      </w:r>
      <w:r w:rsidR="00E527F1" w:rsidRPr="00AC1FC6">
        <w:tab/>
        <w:t>wzywa Komisję i państwa członkowskie do określenia adekwatnych i długoterminowych możliwości finansowania środków zapobiegawczych i rekompensat dla rolników, które mogą obejmować WPR, ale nie powinny się do niej ograniczać; wsparcie to powinno być przeznaczone nie tylko na pokrycie strat i kosztów poniesionych w wyniku ataków dużych drapieżników, ale również na środki ograniczające ryzyko, w tym usługi doradcze, wymianę wiedzy i szkolenia dla rolników dotyczące wypasania zwierząt gospodarskich na terenach występowania dużych drapieżników;</w:t>
      </w:r>
    </w:p>
    <w:p w14:paraId="4E135686" w14:textId="4B36CD46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46</w:t>
      </w:r>
      <w:r w:rsidR="00E527F1" w:rsidRPr="00AC1FC6">
        <w:t>.</w:t>
      </w:r>
      <w:r w:rsidR="00E527F1" w:rsidRPr="00AC1FC6">
        <w:tab/>
        <w:t>podkreśla, że ukierunkowana zmiana dyrektywy siedliskowej</w:t>
      </w:r>
      <w:r w:rsidR="00E527F1" w:rsidRPr="00AC1FC6">
        <w:rPr>
          <w:rStyle w:val="FootnoteReference"/>
        </w:rPr>
        <w:footnoteReference w:id="31"/>
      </w:r>
      <w:r w:rsidR="00E527F1" w:rsidRPr="00AC1FC6">
        <w:t xml:space="preserve"> w celu dostosowania prawodawstwa UE do zaktualizowanego poziomu ochrony wilka, który określono w konwencji berneńskiej, ma na celu zapewnienie większej elastyczności w zarządzaniu populacjami wilków w całej UE oraz zminimalizowanie skutków społeczno-gospodarczych; </w:t>
      </w:r>
      <w:bookmarkStart w:id="20" w:name="_Hlk220682906"/>
      <w:r w:rsidR="00E527F1" w:rsidRPr="00AC1FC6">
        <w:t>podkreśla konieczność uwzględnienia dużej transgranicznej mobilności gatunków, ponieważ stan ochrony populacji tego samego gatunku może się różnić między regionami; wzywa Komisję i państwa członkowskie, by zintensyfikowały współpracę transgraniczną w tej dziedzinie;</w:t>
      </w:r>
      <w:bookmarkEnd w:id="20"/>
    </w:p>
    <w:p w14:paraId="56EB31EA" w14:textId="77777777" w:rsidR="00E527F1" w:rsidRPr="00AC1FC6" w:rsidRDefault="00E527F1" w:rsidP="008B4791">
      <w:pPr>
        <w:pStyle w:val="NormalHanging12a"/>
        <w:rPr>
          <w:b/>
          <w:i/>
        </w:rPr>
      </w:pPr>
      <w:r w:rsidRPr="00AC1FC6">
        <w:rPr>
          <w:b/>
          <w:i/>
        </w:rPr>
        <w:t>Zrównoważenie środowiskowe</w:t>
      </w:r>
    </w:p>
    <w:p w14:paraId="17E6B2AE" w14:textId="7D20FBDA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47</w:t>
      </w:r>
      <w:r w:rsidR="00E527F1" w:rsidRPr="00AC1FC6">
        <w:t>.</w:t>
      </w:r>
      <w:r w:rsidR="00E527F1" w:rsidRPr="00AC1FC6">
        <w:tab/>
        <w:t xml:space="preserve">dostrzega zasadniczą rolę chowu zwierząt gospodarskich, w szczególności systemów opartych na użytkach zielonych, w utrzymywaniu systemów rolniczych o obiegu zamkniętym, wzmacnianiu usług ekosystemowych oraz świadczeniu usług klimatycznych i środowiskowych przez sekwestrację dwutlenku węgla, poprawę jakości wody i zdrowia gleb, ochronę bioróżnorodności, tworzenie siedlisk dla </w:t>
      </w:r>
      <w:proofErr w:type="spellStart"/>
      <w:r w:rsidR="00E527F1" w:rsidRPr="00AC1FC6">
        <w:t>fany</w:t>
      </w:r>
      <w:proofErr w:type="spellEnd"/>
      <w:r w:rsidR="00E527F1" w:rsidRPr="00AC1FC6">
        <w:t xml:space="preserve"> i flory, utrzymywanie zróżnicowanych i otwartych krajobrazów, zwłaszcza na obszarach górskich, i wykorzystywanie gruntów gorszej klasy, na których nie można uprawiać żywności dla ludzi; podkreśla, że gatunki zwierząt z żołądkiem jednokomorowym, takie jak drób i trzoda chlewna, mogą jeszcze bardziej wzmocnić obieg zamknięty dzięki włączaniu produktów ze strumienia odpadów do paszy i recyklingowi biomasy, a ich obornik stanowi cenne źródło naturalnego nawozu do produkcji roślinnej; podkreśla, że </w:t>
      </w:r>
      <w:r w:rsidR="00E527F1" w:rsidRPr="00AC1FC6">
        <w:lastRenderedPageBreak/>
        <w:t>znaczne zmniejszenie liczebności stad może narazić na szwank te funkcje ekosystemu;</w:t>
      </w:r>
    </w:p>
    <w:p w14:paraId="08617A6E" w14:textId="34F85ED6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48</w:t>
      </w:r>
      <w:r w:rsidR="00E527F1" w:rsidRPr="00AC1FC6">
        <w:t>.</w:t>
      </w:r>
      <w:r w:rsidR="00E527F1" w:rsidRPr="00AC1FC6">
        <w:tab/>
        <w:t>zwraca się do Komisji o zaproponowanie narzędzi, które pomogą zwiększyć rolę produkcji zwierzęcej w utrzymaniu użytków zielonych, istotnych dla środowiska i stabilności klimatu, za pomocą bardziej wydajnych systemów rolniczych, które zwiększą zrównoważony charakter systemów produkcji zwierzęcej przez poprawę ich wydajności oraz które zapewnią pracownikom tego sektora wyższe dochody;</w:t>
      </w:r>
    </w:p>
    <w:p w14:paraId="1EA290CD" w14:textId="0969585A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49</w:t>
      </w:r>
      <w:r w:rsidR="00E527F1" w:rsidRPr="00AC1FC6">
        <w:t>.</w:t>
      </w:r>
      <w:r w:rsidR="00E527F1" w:rsidRPr="00AC1FC6">
        <w:tab/>
        <w:t>zaznacza, że istotne jest włączenie produkcji zwierzęcej do zrównoważonych modeli rolnictwa, w tym mieszanych systemów rolniczych, przy zapewnieniu zbilansowanego obiegu składników odżywczych i zminimalizowaniu konkurencji o zasoby; zwraca uwagę, jak ważne jest efektywne wykorzystywanie zwierząt gospodarskich dla znalezienia równowagi między zrównoważonym rozwojem i potrzebami żywnościowymi, a także podkreśla korzyści płynące z wypasu rotacyjnego i wypasu kwaterowego o krótkiej rotacji dla wydajności pasz, sekwestracji dwutlenku węgla, jakości gleby, różnorodności biologicznej i odporności na susze; podkreśla potrzebę zwiększenia świadomości na temat korzyści dla środowiska płynących z dobrego zarządzania zwierzętami;</w:t>
      </w:r>
    </w:p>
    <w:p w14:paraId="5D99BCD9" w14:textId="609B64CE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50</w:t>
      </w:r>
      <w:r w:rsidR="00E527F1" w:rsidRPr="00AC1FC6">
        <w:t>.</w:t>
      </w:r>
      <w:r w:rsidR="00E527F1" w:rsidRPr="00AC1FC6">
        <w:tab/>
        <w:t>wzywa Komisję do zwiększenia zakresu, w jakim państwa członkowskie mogą wspierać rolników w ochronie krajobrazu za pomocą WPR, a zarazem do zmniejszenia przeszkód regulacyjnych uniemożliwiających pełne wykorzystywanie pastwisk oraz do silniejszej ochrony gruntów rolnych UE przed ich przejmowaniem, degradacją i konkurencyjnymi zastosowaniami pozarolniczymi;</w:t>
      </w:r>
    </w:p>
    <w:p w14:paraId="6DEEA965" w14:textId="0485A38C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51</w:t>
      </w:r>
      <w:r w:rsidR="00E527F1" w:rsidRPr="00AC1FC6">
        <w:t>.</w:t>
      </w:r>
      <w:r w:rsidR="00E527F1" w:rsidRPr="00AC1FC6">
        <w:tab/>
        <w:t>podkreśla, jak ważne dla systemów rolniczych jest integrowanie produkcji roślinnej z chowem zwierząt, ponieważ ułatwia to recykling składników odżywczych przez zwiększone wykorzystanie nawozów organicznych względem nawozów syntetycznych, pozwala ograniczyć zużycie chemikaliów oraz poprawia żyzność gleby i bioróżnorodność;</w:t>
      </w:r>
    </w:p>
    <w:p w14:paraId="77E57C5A" w14:textId="37BF7F7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52</w:t>
      </w:r>
      <w:r w:rsidR="00E527F1" w:rsidRPr="00AC1FC6">
        <w:t>.</w:t>
      </w:r>
      <w:r w:rsidR="00E527F1" w:rsidRPr="00AC1FC6">
        <w:tab/>
        <w:t>wzywa Komisję, aby – dostrzegając strategiczne znaczenie produkcji nawozów konwencjonalnych w UE dla konkurencyjności Europy – wspierała stosowanie obornika na wybranych uprawach oraz przyspieszyła zatwierdzanie i upowszechnianie alternatywnych produktów nawozowych, takich jak produkty pofermentacyjne i azot odzyskany z obornika, tak by poprawić recykling składników odżywczych, zmniejszyć zależność od nawozów syntetycznych przywożonych z państw trzecich i wspierać obieg zamknięty w systemach produkcji zwierzęcej; dostrzega strategiczną rolę sektora produkcji zwierzęcej w zmniejszaniu zależności od środków syntetycznych oraz zauważa, że zwiększenie wykorzystania zarówno produktów pofermentacyjnych, jak i azotu odzyskanego z obornika wnosi wkład nie tylko w gospodarkę o obiegu zamkniętym, lecz także w dekarbonizację gospodarki UE przez ograniczenie emisji gazów cieplarnianych, wspieranie produkcji energii ze źródeł odnawialnych i zmniejszanie zależności UE od importowanych paliw kopalnych;</w:t>
      </w:r>
    </w:p>
    <w:p w14:paraId="39E081DB" w14:textId="52F3168B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53</w:t>
      </w:r>
      <w:r w:rsidR="00E527F1" w:rsidRPr="00AC1FC6">
        <w:t>.</w:t>
      </w:r>
      <w:r w:rsidR="00E527F1" w:rsidRPr="00AC1FC6">
        <w:tab/>
        <w:t>z zadowoleniem przyjmuje wniosek Komisji dotyczący ukierunkowanego przeglądu dyrektywy azotanowej</w:t>
      </w:r>
      <w:r w:rsidR="00E527F1" w:rsidRPr="00AC1FC6">
        <w:rPr>
          <w:rStyle w:val="FootnoteReference"/>
        </w:rPr>
        <w:footnoteReference w:id="32"/>
      </w:r>
      <w:r w:rsidR="00E527F1" w:rsidRPr="00AC1FC6">
        <w:t xml:space="preserve">, który ma umożliwić stosowanie azotu odzyskanego z obornika </w:t>
      </w:r>
      <w:r w:rsidR="00E527F1" w:rsidRPr="00AC1FC6">
        <w:lastRenderedPageBreak/>
        <w:t>powyżej limitu określonego dla obornika oraz dostosować ten limit do najnowszych dowodów naukowych i innowacyjnych praktyk nawożenia, w tym do stosowania obornika w celu promowania gospodarki składnikami odżywczymi w obiegu zamkniętym przy jednoczesnej dalszej ochronie jakości wody; przywołuje niedawne badania dotyczące korzyści dla jakości wody oraz neutralnego wpływu na nią wynikających z odstępstw przyznanych państwom członkowskim;</w:t>
      </w:r>
    </w:p>
    <w:p w14:paraId="74E27D75" w14:textId="33662279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54</w:t>
      </w:r>
      <w:r w:rsidR="00E527F1" w:rsidRPr="00AC1FC6">
        <w:t>.</w:t>
      </w:r>
      <w:r w:rsidR="00E527F1" w:rsidRPr="00AC1FC6">
        <w:tab/>
        <w:t>wzywa Komisję do zapewnienia uczciwych cen lub odpowiednich rekompensat hodowcom, zważywszy na rosnące koszty nawozów;</w:t>
      </w:r>
    </w:p>
    <w:p w14:paraId="2FF3D59C" w14:textId="188D6332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55</w:t>
      </w:r>
      <w:r w:rsidR="00E527F1" w:rsidRPr="00AC1FC6">
        <w:t>.</w:t>
      </w:r>
      <w:r w:rsidR="00E527F1" w:rsidRPr="00AC1FC6">
        <w:tab/>
        <w:t>wzywa Komisję do inwestowania w innowacje i infrastrukturę, które umożliwiają szersze stosowanie nawozów obornikowych i biogazu pochodzących z chowu zwierząt gospodarskich, zgodnie z celami UE w dziedzinie klimatu i energii;</w:t>
      </w:r>
    </w:p>
    <w:p w14:paraId="38568EEC" w14:textId="49561662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56</w:t>
      </w:r>
      <w:r w:rsidR="00E527F1" w:rsidRPr="00AC1FC6">
        <w:t>.</w:t>
      </w:r>
      <w:r w:rsidR="00E527F1" w:rsidRPr="00AC1FC6">
        <w:tab/>
        <w:t xml:space="preserve">wzywa Komisję, by ponownie przemyślała, w jaki sposób produkty rolne, produkty uboczne i pozostałości poprodukcyjne są uznawane za odpady, tak aby można je było łatwiej wykorzystać jako towar; podkreśla, że zwierzęta gospodarskie stanowią nieodzowny element gospodarki o obiegu zamkniętym w sektorze rolnym oraz wskazuje, że należy bardziej doceniać wkład chowu zwierząt gospodarskich w </w:t>
      </w:r>
      <w:proofErr w:type="spellStart"/>
      <w:r w:rsidR="00E527F1" w:rsidRPr="00AC1FC6">
        <w:t>biogospodarkę</w:t>
      </w:r>
      <w:proofErr w:type="spellEnd"/>
      <w:r w:rsidR="00E527F1" w:rsidRPr="00AC1FC6">
        <w:t xml:space="preserve"> przez bardziej kompleksowe podejście do obiegu składników odżywczych i węgla we wszystkich obszarach produkcji środków spożywczych i niespożywczych; wzywa Komisję, by w swoim podejściu do sektora produkcji zwierzęcej opierała się na wynikach badań oraz by ułatwiała badania nad opracowaniem pasz w modelu gospodarki o obiegu zamkniętym; wzywa Komisję, by przeprowadziła przegląd przepisów dotyczących produktów ubocznych pochodzenia zwierzęcego nieprzeznaczonych do spożycia przez ludzi, tak aby uprościć stosowanie produktów niskiego ryzyka, np. wełny;</w:t>
      </w:r>
    </w:p>
    <w:p w14:paraId="6BB5D7FC" w14:textId="5B36CA8B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57</w:t>
      </w:r>
      <w:r w:rsidR="00E527F1" w:rsidRPr="00AC1FC6">
        <w:t>.</w:t>
      </w:r>
      <w:r w:rsidR="00E527F1" w:rsidRPr="00AC1FC6">
        <w:tab/>
        <w:t>ostrzega przed zuniformizowaną polityką mającą na celu znaczne ograniczenie populacji zwierząt gospodarskich, co może pogłębić degradację środowiska i zagrozić odporności systemu żywnościowego; zauważa w szczególności, że zmniejszenie liczby przeżuwaczy może prowadzić do zmiany użytkowania gruntów, co może mieć negatywne skutki, w tym porzucanie gruntów, zarastanie lasami, utratę bioróżnorodności i podwyższone ryzyko pożarów;</w:t>
      </w:r>
    </w:p>
    <w:p w14:paraId="3A2BE019" w14:textId="25518E0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58</w:t>
      </w:r>
      <w:r w:rsidR="00E527F1" w:rsidRPr="00AC1FC6">
        <w:t>.</w:t>
      </w:r>
      <w:r w:rsidR="00E527F1" w:rsidRPr="00AC1FC6">
        <w:tab/>
        <w:t>apeluje o zwiększenie inwestycji w badania i innowacje służące optymalizacji produkcji roślinnej i praktyk zarządzania produkcją zwierzęcą oraz zmniejszeniu śladu ekologicznego zwierząt gospodarskich, w tym dotyczące technik hodowli roślin i zwierząt, żywienia, wypasu oraz gospodarowania obornikiem i gruntami, które to techniki skutkują bardziej zrównoważonym charakterem tych działań;</w:t>
      </w:r>
    </w:p>
    <w:p w14:paraId="4040FB2B" w14:textId="12C43914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59</w:t>
      </w:r>
      <w:r w:rsidR="00E527F1" w:rsidRPr="00AC1FC6">
        <w:t>.</w:t>
      </w:r>
      <w:r w:rsidR="00E527F1" w:rsidRPr="00AC1FC6">
        <w:tab/>
        <w:t>podkreśla znaczenie strategii, w której uwzględnia się cały cykl produkcyjny, wspiera się optymalne planowanie płodozmianu, maksymalizuje się wykorzystanie gruntów ornych oraz ulepsza się i dostosowuje skład roślin paszowych uprawianych przez rolników, począwszy od odmian roślin, które umożliwiają redukcję emisji; podkreśla znaczenie przywrócenia swobody przedsiębiorczości w rolnictwie, aby umożliwić rolnikom rozwój i wybór systemów wentylacji oraz utrzymania zwierząt i ich żywienia, które są dostosowane do ich szczególnej sytuacji i najlepiej odpowiadają ich systemom produkcji;</w:t>
      </w:r>
    </w:p>
    <w:p w14:paraId="17F08387" w14:textId="1E5CEFCA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60</w:t>
      </w:r>
      <w:r w:rsidR="00E527F1" w:rsidRPr="00AC1FC6">
        <w:t>.</w:t>
      </w:r>
      <w:r w:rsidR="00E527F1" w:rsidRPr="00AC1FC6">
        <w:tab/>
        <w:t xml:space="preserve">apeluje do Komisji i państw członkowskich o zadbanie, by ramy regulacyjne dotyczące </w:t>
      </w:r>
      <w:r w:rsidR="00E527F1" w:rsidRPr="00AC1FC6">
        <w:lastRenderedPageBreak/>
        <w:t>produkcji zwierzęcej były opracowywane w sposób przejrzysty, na podstawie rzetelnych wyników naukowych, przy pełnym zaangażowaniu zainteresowanych stron – w szczególności organizacji zrzeszających rolników i hodowców zwierząt – oraz przy zastosowaniu scenariuszy długoterminowych umożliwiających stopniową adaptację; zaleca, aby proces decyzyjny opierał się na rzeczywistych konsultacjach publicznych, szczegółowych badaniach wpływu oraz mechanizmach ciągłej informacji zwrotnej, aby wdrażanie przepisów było skuteczne i lokalnie akceptowane;</w:t>
      </w:r>
    </w:p>
    <w:p w14:paraId="00F2A2E5" w14:textId="7BC8FF6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61</w:t>
      </w:r>
      <w:r w:rsidR="00E527F1" w:rsidRPr="00AC1FC6">
        <w:t>.</w:t>
      </w:r>
      <w:r w:rsidR="00E527F1" w:rsidRPr="00AC1FC6">
        <w:tab/>
        <w:t>apeluje o zapewnienie większej swobody politycznej, aby umożliwić przyjęcia podejścia zorientowanego na cele, które powinno przewidywać analizę porównawczą gospodarstw rolnych zamiast narzucania odgórnych rozwiązań, tak aby wybór środków pozostawał w gestii rolników, o ile przyczyniają się one do osiągnięcia wyznaczonych celów;</w:t>
      </w:r>
    </w:p>
    <w:p w14:paraId="775FDE4A" w14:textId="5BFC421E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62</w:t>
      </w:r>
      <w:r w:rsidR="00E527F1" w:rsidRPr="00AC1FC6">
        <w:t>.</w:t>
      </w:r>
      <w:r w:rsidR="00E527F1" w:rsidRPr="00AC1FC6">
        <w:tab/>
        <w:t>zwraca się do Komisji o zaproponowanie narzędzi, które zwiększą rolę chowu zwierząt w utrzymaniu ważnych dla środowiska i stabilności klimatu użytków zielonych za pomocą bardziej ekstensywnych systemów rolniczych oraz poprawy zrównoważonego charakteru systemów intensywnych;</w:t>
      </w:r>
    </w:p>
    <w:p w14:paraId="33DFB871" w14:textId="77777777" w:rsidR="00E527F1" w:rsidRPr="00AC1FC6" w:rsidRDefault="00E527F1" w:rsidP="008B4791">
      <w:pPr>
        <w:pStyle w:val="NormalHanging12a"/>
        <w:rPr>
          <w:b/>
          <w:i/>
        </w:rPr>
      </w:pPr>
      <w:r w:rsidRPr="00AC1FC6">
        <w:rPr>
          <w:b/>
          <w:i/>
        </w:rPr>
        <w:t>Wymiar społeczny chowu zwierząt gospodarskich i wyzwania sektorowe</w:t>
      </w:r>
    </w:p>
    <w:p w14:paraId="28B39A4C" w14:textId="68F7DDDB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63</w:t>
      </w:r>
      <w:r w:rsidR="00E527F1" w:rsidRPr="00AC1FC6">
        <w:t>.</w:t>
      </w:r>
      <w:r w:rsidR="00E527F1" w:rsidRPr="00AC1FC6">
        <w:tab/>
        <w:t>zaznacza, że rozwój polityki dotyczącej chowu zwierząt gospodarskich musi opierać się na najwyższych standardach naukowych, zapewniając wyważone i kompleksowe rozumienie korzyści i wyzwań związanych z rolnictwem ukierunkowanym na produkcję zwierzęcą;</w:t>
      </w:r>
    </w:p>
    <w:p w14:paraId="0D3327E2" w14:textId="30DEA8C5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64</w:t>
      </w:r>
      <w:r w:rsidR="00E527F1" w:rsidRPr="00AC1FC6">
        <w:t>.</w:t>
      </w:r>
      <w:r w:rsidR="00E527F1" w:rsidRPr="00AC1FC6">
        <w:tab/>
        <w:t xml:space="preserve">podkreśla, że przejrzysta i dostępna komunikacja naukowa oparta na danych empirycznych ma istotne znaczenie dla korygowania błędnych informacji i stronniczości ideologicznej w debacie publicznej na temat chowu zwierząt oraz produkcji i spożycia mięsa; zwraca w związku z tym uwagę, że Światowa Organizacja Zdrowia zachęca do spożywania białek zwierzęcych w ramach kompletnej i zbilansowanej diety; </w:t>
      </w:r>
    </w:p>
    <w:p w14:paraId="7E8DCD82" w14:textId="06D3A178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65</w:t>
      </w:r>
      <w:r w:rsidR="00E527F1" w:rsidRPr="00AC1FC6">
        <w:t>.</w:t>
      </w:r>
      <w:r w:rsidR="00E527F1" w:rsidRPr="00AC1FC6">
        <w:tab/>
        <w:t>podkreśla, że decyzje polityczne i poglądy społeczne powinny opierać się na solidnych dowodach naukowych odzwierciedlających różnorodność systemów produkcji, ich wkład w żywienie ludzi, gospodarkę wiejską i zrównoważenie środowiskowe, a zatem promować bardziej pozytywny wizerunek sektora produkcji zwierzęcej, oraz że w tym celu konieczne jest wzmocnienie dialogu między naukowcami, decydentami politycznymi, producentami i konsumentami przez zachęcanie do przyjęcia świadomego, zrównoważonego i niespolaryzowanego podejścia do roli hodowli zwierząt gospodarskich w społeczeństwie europejskim; podkreśla znaczenie informowania konsumentów o korzyściach płynących ze spożywania białek zwierzęcych w ramach kompletnej i zbilansowanej diety;</w:t>
      </w:r>
    </w:p>
    <w:p w14:paraId="2111EE36" w14:textId="2A33A7BB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66</w:t>
      </w:r>
      <w:r w:rsidR="00E527F1" w:rsidRPr="00AC1FC6">
        <w:t>.</w:t>
      </w:r>
      <w:r w:rsidR="00E527F1" w:rsidRPr="00AC1FC6">
        <w:tab/>
        <w:t xml:space="preserve">z zadowoleniem przyjmuje propozycję Komisji dotyczącą ponownego otwarcia kwestii nazw stosowanych do oznaczania mięsa i kawałków mięsa w celu ochrony produktów pochodzenia zwierzęcego oraz zakazania stosowania tych do oznaczania produktów niepochodzących od zwierząt, a także uważa, że przepis ten powinien mieć zastosowanie do produktów uzyskiwanych z hodowli komórkowych oraz produktów hybrydowych składających się z mieszaniny białek zwierzęcych i roślinnych; przypomina, że taką ochroną objęte są już produkty mleczne; podkreśla, że jasne, </w:t>
      </w:r>
      <w:r w:rsidR="00E527F1" w:rsidRPr="00AC1FC6">
        <w:lastRenderedPageBreak/>
        <w:t xml:space="preserve">uczciwe i przejrzyste etykietowanie ma zasadnicze znaczenie, aby zapewnić konsumentom realną przejrzystość i wspierać jakość unijnych produktów pochodzenia zwierzęcego, w tym przez akcentowanie ich uznanych oznaczeń i krótkich łańcuchów dostaw; </w:t>
      </w:r>
    </w:p>
    <w:p w14:paraId="47EC5C5E" w14:textId="660C8C4F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67</w:t>
      </w:r>
      <w:r w:rsidR="00E527F1" w:rsidRPr="00AC1FC6">
        <w:t>.</w:t>
      </w:r>
      <w:r w:rsidR="00E527F1" w:rsidRPr="00AC1FC6">
        <w:tab/>
        <w:t xml:space="preserve">apeluje do decydentów na wszystkich szczeblach, aby przy opracowywaniu wytycznych żywieniowych kierowali się normami opartymi na danych empirycznych, w pełni doceniając wartość odżywczą, kulturową i gospodarczą mięsa, przetworów mlecznych i jaj, a jednocześnie brali pod uwagę przystępność cenową i rzeczywiste spożycie białka z produktów pochodzenia zwierzęcego w różnych regionach; </w:t>
      </w:r>
    </w:p>
    <w:p w14:paraId="51A05851" w14:textId="668D4E1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68</w:t>
      </w:r>
      <w:r w:rsidR="00E527F1" w:rsidRPr="00AC1FC6">
        <w:t>.</w:t>
      </w:r>
      <w:r w:rsidR="00E527F1" w:rsidRPr="00AC1FC6">
        <w:tab/>
        <w:t>wzywa Komisję do przeglądu rozporządzenia (UE) nr 1169/2011</w:t>
      </w:r>
      <w:r w:rsidR="00E527F1" w:rsidRPr="00AC1FC6">
        <w:rPr>
          <w:rStyle w:val="FootnoteReference"/>
          <w:szCs w:val="24"/>
        </w:rPr>
        <w:footnoteReference w:id="33"/>
      </w:r>
      <w:r w:rsidR="00E527F1" w:rsidRPr="00AC1FC6">
        <w:t xml:space="preserve"> w celu wprowadzenia obowiązkowego etykietowania wszystkich produktów zawierających mięso wprowadzanych na rynek w UE, nawet jeśli mięso nie jest ich głównym składnikiem, z wyraźnym wskazaniem pochodzenia z UE lub spoza UE; wzywa Komisję do oceny wykonalności wprowadzenia obowiązku wskazywania kraju pochodzenia mięsa, jeżeli jest ono składnikiem produktu przetworzonego;</w:t>
      </w:r>
    </w:p>
    <w:p w14:paraId="0F68F0EC" w14:textId="461B177A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69</w:t>
      </w:r>
      <w:r w:rsidR="00E527F1" w:rsidRPr="00AC1FC6">
        <w:t>.</w:t>
      </w:r>
      <w:r w:rsidR="00E527F1" w:rsidRPr="00AC1FC6">
        <w:tab/>
        <w:t>wzywa Komisję, aby współpracowała ze specjalistami w celu przedstawienia badań dotyczących skutków stosowania substytutów żywności; ostrzega przed bezkrytycznym promowaniem nieodpowiednich pod względem odżywczym i środowiskowym zamienników żywności jako alternatyw dla tradycyjnej żywności pochodzenia zwierzęcego, w tych zamienników, które nie zawierają takich samych związków bioaktywnych ani podstawowych mikroskładników odżywczych występujących w naturalnym mięsie ze zdrowych zwierząt hodowanych w systemach wysokiej jakości, a w szczególności ostrzega przed włączaniem ich do posiłków podawanych dzieciom i młodzieży w szkołach; zauważa, że tradycyjna żywność pochodzenia zwierzęcego w połączeniu z żywnością pochodzenia roślinnego może być składnikiem zrównoważonej i bogatej w składniki odżywcze diety;</w:t>
      </w:r>
    </w:p>
    <w:p w14:paraId="47EF4AE0" w14:textId="3F985E1B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70</w:t>
      </w:r>
      <w:r w:rsidR="00E527F1" w:rsidRPr="00AC1FC6">
        <w:t>.</w:t>
      </w:r>
      <w:r w:rsidR="00E527F1" w:rsidRPr="00AC1FC6">
        <w:tab/>
        <w:t>domaga się, aby przed przedstawieniem nowych wniosków ustawodawczych mających wpływ na sektor rolny Komisja przeprowadzała kompleksową ocenę skutków na podstawie najnowszych dowodów naukowych i odpowiednie konsultacje z wszystkimi zainteresowanymi stronami;</w:t>
      </w:r>
    </w:p>
    <w:p w14:paraId="4218559B" w14:textId="01FE1664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71</w:t>
      </w:r>
      <w:r w:rsidR="00E527F1" w:rsidRPr="00AC1FC6">
        <w:t>.</w:t>
      </w:r>
      <w:r w:rsidR="00E527F1" w:rsidRPr="00AC1FC6">
        <w:tab/>
        <w:t xml:space="preserve">wyraża głębokie zaniepokojenie rosnącą presją na propagowanie tak zwanej żywności syntetycznej, takiej jak białka wytwarzane w laboratoriach, bez rozstrzygających dowodów naukowych na jej bezpieczeństwo, rentowność przemysłową lub korzyści dla środowiska; podkreśla, że przed zaproponowaniem jakichkolwiek nowych ram regulacyjnych dotyczących nowych technologii w dziedzinie żywności należy przeprowadzać odpowiednie oceny skutków oparte na dowodach naukowych z uwzględnieniem wszystkich aspektów związanych z bezpieczeństwem, wpływem na </w:t>
      </w:r>
      <w:r w:rsidR="00E527F1" w:rsidRPr="00AC1FC6">
        <w:lastRenderedPageBreak/>
        <w:t xml:space="preserve">środowisko i rynek oraz ochroną konsumentów, w szczególności przez jasne i odpowiednie etykietowanie; </w:t>
      </w:r>
    </w:p>
    <w:p w14:paraId="3A98FA2B" w14:textId="38B74FC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72</w:t>
      </w:r>
      <w:r w:rsidR="00E527F1" w:rsidRPr="00AC1FC6">
        <w:t>.</w:t>
      </w:r>
      <w:r w:rsidR="00E527F1" w:rsidRPr="00AC1FC6">
        <w:tab/>
        <w:t>podkreśla ekologiczną rolę przeżuwaczy i wartość odżywczą naturalnego mięsa oraz podkreśla, że produkcja żywności syntetycznej jest w dużym stopniu uzależniona od wysoce uprzemysłowionych i energochłonnych procesów, które wymagają dużej ilości środków chemicznych, co jest sprzeczne z zasadami zrównoważonego rozwoju zalecanymi przez UE; zwraca uwagę, że żywność syntetyczna nie jest obecnie ani realnym rozwiązaniem, ani bezpieczną alternatywą dla tradycyjnej produkcji rolno-hodowlanej, a jej propagowanie może zagrozić tysiącom gospodarstw rodzinnych; wzywa Komisję do przeprowadzenia rygorystycznych i niezależnych ocen syntetycznych produktów spożywczych pod kątem ich wpływu na zdrowie, środowisko i sytuację społeczno-gospodarczą, a także do przyjrzenia się obawom dotyczącym ochrony konsumentów i wpływu na tradycyjne rolnictwo i chów zwierząt gospodarskich; apeluje, by istniejące ramy regulacyjne wyraźnie koncentrowały się na ochronie konsumentów, producentów europejskich i obszarów wiejskich;</w:t>
      </w:r>
    </w:p>
    <w:p w14:paraId="19C21BD0" w14:textId="2BB4C1E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73</w:t>
      </w:r>
      <w:r w:rsidR="00E527F1" w:rsidRPr="00AC1FC6">
        <w:t>.</w:t>
      </w:r>
      <w:r w:rsidR="00E527F1" w:rsidRPr="00AC1FC6">
        <w:tab/>
        <w:t>zwraca uwagę, że sektor produkcji zwierzęcej odgrywa zasadniczą rolę w bezpieczeństwie żywnościowym, tworzeniu miejsc pracy, zachowywaniu i promowaniu lokalności oraz stabilności gospodarczej w całej UE; postrzega produkcję zwierzęcą szeroko – nie tylko jako źródło żywności i usług ekosystemowych, lecz także jako czynnik sprzyjający odpowiedzialności społecznej, godnym warunkom pracy i rozwojowi obszarów wiejskich; podkreśla, że wskaźnik wyników WPR (I.24) o nazwie „Przyczynianie się do tworzenie miejsc pracy na obszarach wiejskich” odgrywa ważną rolę w zwracaniu uwagi na rolę chowu zwierząt gospodarskich, zwłaszcza w gospodarstwach rodzinnych i małych gospodarstwach;</w:t>
      </w:r>
    </w:p>
    <w:p w14:paraId="46B1CC62" w14:textId="1936D56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74</w:t>
      </w:r>
      <w:r w:rsidR="00E527F1" w:rsidRPr="00AC1FC6">
        <w:t>.</w:t>
      </w:r>
      <w:r w:rsidR="00E527F1" w:rsidRPr="00AC1FC6">
        <w:tab/>
        <w:t xml:space="preserve">podkreśla, że bez odpowiedniego finansowania sektor ten będzie stawał się coraz mniej atrakcyjny dla młodych ludzi, co grozi nie tylko utratą miejsc pracy, lecz także spadkiem konkurencyjności UE pod kątem żywienia i spraw społecznych; </w:t>
      </w:r>
    </w:p>
    <w:p w14:paraId="2DFAB2EE" w14:textId="27F22E48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75</w:t>
      </w:r>
      <w:r w:rsidR="00E527F1" w:rsidRPr="00AC1FC6">
        <w:t>.</w:t>
      </w:r>
      <w:r w:rsidR="00E527F1" w:rsidRPr="00AC1FC6">
        <w:tab/>
        <w:t xml:space="preserve">wskazuje, jak istotne jest docenianie i podkreślanie fundamentalnej roli kobiet w gospodarstwach zajmujących się chowem zwierząt, gdzie oprócz codziennych prac rolniczych często zajmują się one zarządzaniem i przekazywaniem wiedzy między pokoleniami; podkreśla w tym względzie, że rolnictwo rodzinne, w którym kobiety i rodzina odgrywają kluczową rolę, stanowi podstawę europejskiego chowu zwierząt gospodarskich i należy je wspierać przez konkretne działania polityczne uznające jego znaczenie gospodarcze, społeczne i kulturowe; uważa zatem, że w europejskiej polityce publicznej należy w większym stopniu uwzględniać aspekt płci przez promowanie ukierunkowanych działań wspierających rolniczki, zapewnianie im równych szans, zwiększanie widoczności ich pracy oraz poprawę dostępu do szkoleń, finansowania i reprezentacji w procesach decyzyjnych; </w:t>
      </w:r>
    </w:p>
    <w:p w14:paraId="05AF1A73" w14:textId="3677AC6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76</w:t>
      </w:r>
      <w:r w:rsidR="00E527F1" w:rsidRPr="00AC1FC6">
        <w:t>.</w:t>
      </w:r>
      <w:r w:rsidR="00E527F1" w:rsidRPr="00AC1FC6">
        <w:tab/>
        <w:t>podkreśla zasadniczą rolę, jaką rolnictwo i chów zwierząt gospodarskich – pod postacią tzw. rolnictwa społecznego w gospodarstwach rolnych – odgrywają w zapewnianiu społecznościom korzyści społecznych pod względem utrzymania otwartej przestrzeni, edukacji i opieki nad osobami o szczególnych potrzebach; podkreśla potrzebę utrzymania rolnictwa i produkcji zwierzęcej we wszystkich regionach UE, szczególnego ułatwienia realizacji wspomnianych form rolnictwa społecznego, a także odpowiedniego wynagradzania rolników za ich pracę;</w:t>
      </w:r>
    </w:p>
    <w:p w14:paraId="299653EB" w14:textId="071D7506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lastRenderedPageBreak/>
        <w:t>77</w:t>
      </w:r>
      <w:r w:rsidR="00E527F1" w:rsidRPr="00AC1FC6">
        <w:t>.</w:t>
      </w:r>
      <w:r w:rsidR="00E527F1" w:rsidRPr="00AC1FC6">
        <w:tab/>
        <w:t>podkreśla znaczenie zdrowia psychicznego i dobrego samopoczucia rolników oraz apeluje o uwzględnienie w przyszłych instrumentach WPR wsparcia psychologicznego, uproszczenia procedur administracyjnych oraz środków zapewnienia równowagi między życiem zawodowym a prywatnym i przeciwdziałania izolacji;</w:t>
      </w:r>
    </w:p>
    <w:p w14:paraId="071E234F" w14:textId="77777777" w:rsidR="00E527F1" w:rsidRPr="00AC1FC6" w:rsidRDefault="00E527F1" w:rsidP="008B4791">
      <w:pPr>
        <w:pStyle w:val="NormalHanging12a"/>
        <w:rPr>
          <w:b/>
          <w:iCs/>
        </w:rPr>
      </w:pPr>
      <w:r w:rsidRPr="00AC1FC6">
        <w:rPr>
          <w:b/>
        </w:rPr>
        <w:t>Choroby zwierząt</w:t>
      </w:r>
    </w:p>
    <w:p w14:paraId="2A3D455F" w14:textId="2FEB8CE9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78</w:t>
      </w:r>
      <w:r w:rsidR="00E527F1" w:rsidRPr="00AC1FC6">
        <w:t>.</w:t>
      </w:r>
      <w:r w:rsidR="00E527F1" w:rsidRPr="00AC1FC6">
        <w:tab/>
        <w:t>zaznacza, że choroby zwierząt mają istotny wpływ na społeczeństwo i gospodarkę, środowisko i dobrostan zwierząt na poziomie gospodarstw rolnych, na poziomie poniżej krajowego oraz na poziomie krajowym i regionalnym; podkreśla, że wpływ tych czynników na chów zwierząt będzie się nasilał wraz ze wzrostem temperatur, silniejszymi wiatrami oraz coraz częstszymi ekstremalnymi zdarzeniami pogodowymi związanymi ze zmianą klimatu w UE, którym należy przeciwdziałać.</w:t>
      </w:r>
    </w:p>
    <w:p w14:paraId="0B9B25C8" w14:textId="3C33118B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79</w:t>
      </w:r>
      <w:r w:rsidR="00E527F1" w:rsidRPr="00AC1FC6">
        <w:t>.</w:t>
      </w:r>
      <w:r w:rsidR="00E527F1" w:rsidRPr="00AC1FC6">
        <w:tab/>
        <w:t>podkreśla potrzebę wzmocnienia monitorowania i środków zapobiegawczych w celu uniknięcia przenoszenia w UE chorób zwierząt zarówno z państw UE, jak i spoza UE, oraz apeluje o systematyczną ocenę podatności na zagrożenia dla bezpieczeństwa biologicznego w UE, ze szczególnym uwzględnieniem dróg wprowadzania znanych i nowych chorób;</w:t>
      </w:r>
    </w:p>
    <w:p w14:paraId="5A051C15" w14:textId="7D8F18A2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80</w:t>
      </w:r>
      <w:r w:rsidR="00E527F1" w:rsidRPr="00AC1FC6">
        <w:t>.</w:t>
      </w:r>
      <w:r w:rsidR="00E527F1" w:rsidRPr="00AC1FC6">
        <w:tab/>
        <w:t xml:space="preserve">zaznacza, że w UE brak zapobiegania chorobom zwierząt lub ich zwalczania w jednym państwie członkowskim może mieć bezpośrednie konsekwencje dla pozostałych państw członkowskich i wymaga skoordynowanej reakcji; podkreśla zatem znaczenie i opłacalność technik zapobiegania, w szczególności w szczepień, wczesnego wykrywania, gotowości, właściwej wymiany informacji i koordynacji między państwami członkowskimi oraz instrumentów rekompensaty ekonomicznej dla hodowców ponoszących bezpośrednie i pośrednie szkody w wyniku stosowania środków sanitarnych; </w:t>
      </w:r>
    </w:p>
    <w:p w14:paraId="111334D6" w14:textId="6DC253EF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81</w:t>
      </w:r>
      <w:r w:rsidR="00E527F1" w:rsidRPr="00AC1FC6">
        <w:t>.</w:t>
      </w:r>
      <w:r w:rsidR="00E527F1" w:rsidRPr="00AC1FC6">
        <w:tab/>
        <w:t>wzywa Komisję i państwa członkowskie, by zapewniły zasoby niezbędne do wdrożenia skutecznych i efektywnych programów zapobiegania i kontroli, w tym wsparcia finansowego, weterynaryjnego, technicznego i administracyjnego, a także badań nad selekcją genetyczną zwierząt o zwiększonej odporności na nowe choroby.</w:t>
      </w:r>
    </w:p>
    <w:p w14:paraId="28DEBC1A" w14:textId="042F5B89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82</w:t>
      </w:r>
      <w:r w:rsidR="00E527F1" w:rsidRPr="00AC1FC6">
        <w:t>.</w:t>
      </w:r>
      <w:r w:rsidR="00E527F1" w:rsidRPr="00AC1FC6">
        <w:tab/>
        <w:t>podkreśla wagę podejmowania w odpowiednim czasie skutecznych działań w celu kontroli rozprzestrzeniania się chorób zwierząt; wzywa Komisję, by wzmocniła specjalny mechanizm szybkiego ostrzegania i reagowania, który byłby uruchamiany w przypadku podejrzenia lub potwierdzenia ogniska chorób zwierząt, aby zapewnić wymianę informacji w czasie rzeczywistym między organami krajowymi a Komisją na temat sytuacji epidemiologicznej, ułatwić koordynację środków oceny i kontroli ryzyka między państwami członkowskimi oraz zapewnić odpowiednią komunikację ze wszystkimi właściwymi zainteresowanymi stronami, w szczególności rolnikami i konsumentami;</w:t>
      </w:r>
      <w:bookmarkStart w:id="21" w:name="_Hlk222076394"/>
    </w:p>
    <w:p w14:paraId="03E2FA6E" w14:textId="3DBA466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83</w:t>
      </w:r>
      <w:r w:rsidR="00E527F1" w:rsidRPr="00AC1FC6">
        <w:t>.</w:t>
      </w:r>
      <w:r w:rsidR="00E527F1" w:rsidRPr="00AC1FC6">
        <w:tab/>
        <w:t>z zadowoleniem przyjmuje fakt, że do 2023 r. UE osiągnęła już połowę swojego celu na 2030 r., jakim jest ograniczenie o 50 % sprzedaży i stosowania środków przeciwdrobnoustrojowych w weterynarii</w:t>
      </w:r>
      <w:bookmarkEnd w:id="21"/>
      <w:r w:rsidR="00E527F1" w:rsidRPr="00AC1FC6">
        <w:t xml:space="preserve">; podkreśla, że należy kontynuować te działania i opracować skoordynowane podejście UE do zapobiegania chorobom zwierząt i do ich wykrywania za pomocą środków wczesnego monitorowania, szczepień i </w:t>
      </w:r>
      <w:proofErr w:type="spellStart"/>
      <w:r w:rsidR="00E527F1" w:rsidRPr="00AC1FC6">
        <w:t>bioasekuracji</w:t>
      </w:r>
      <w:proofErr w:type="spellEnd"/>
      <w:r w:rsidR="00E527F1" w:rsidRPr="00AC1FC6">
        <w:t xml:space="preserve">, aby uniknąć wzrostu liczby przypadków chorób zwierząt, który mógłby utrudnić osiągnięcie celu dotyczącego ograniczenia sprzedaży i stosowania środków </w:t>
      </w:r>
      <w:r w:rsidR="00E527F1" w:rsidRPr="00AC1FC6">
        <w:lastRenderedPageBreak/>
        <w:t>przeciwdrobnoustrojowych;</w:t>
      </w:r>
    </w:p>
    <w:p w14:paraId="35ADFE4A" w14:textId="48E3E43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84</w:t>
      </w:r>
      <w:r w:rsidR="00E527F1" w:rsidRPr="00AC1FC6">
        <w:t>.</w:t>
      </w:r>
      <w:r w:rsidR="00E527F1" w:rsidRPr="00AC1FC6">
        <w:tab/>
        <w:t>zwraca uwagę na istotną rolę opracowywania zaawansowanych narzędzi diagnostycznych, modelowania predykcyjnego i technik dekontaminacji; apeluje do Komisji o rozważenie dalszego wzmocnienia unijnych standardów zdrowia zwierząt w celu ochrony chowu zwierząt gospodarskich, co obejmuje przepisy regulujące ograniczanie lub eliminowanie populacji dzikich zwierząt stwarzających ryzyko chorób zakaźnych, a także ukierunkowane szczepienia zwierząt w razie potrzeby, jako uzupełnienie odpowiedzialnej selekcji i hodowli zwierząt, co może pomóc w ograniczeniu występowania chorób endemicznych i nowych chorób;</w:t>
      </w:r>
    </w:p>
    <w:p w14:paraId="6F013CCA" w14:textId="755B363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85</w:t>
      </w:r>
      <w:r w:rsidR="00E527F1" w:rsidRPr="00AC1FC6">
        <w:t>.</w:t>
      </w:r>
      <w:r w:rsidR="00E527F1" w:rsidRPr="00AC1FC6">
        <w:tab/>
        <w:t>zwraca się do Komisji o uznanie roli sektora medycyny weterynaryjnej i wspieranie go w wysiłkach na rzecz przeniesienia biotechnologii z laboratorium do gospodarstw, przez przyspieszenie i usprawnienie procesów regulacyjnych, finansowanie i zwiększanie skali biotechnologii w zakresie zdrowia zwierząt, informowanie rolników i ogółu społeczeństwa o korzyściach płynących z biotechnologii, podnoszenie i zmianę kwalifikacji siły roboczej oraz wspieranie gromadzenia danych i wykorzystywania sztucznej inteligencji w gospodarstwach rolnych i w sektorze zdrowia zwierząt;</w:t>
      </w:r>
    </w:p>
    <w:p w14:paraId="1D85FE68" w14:textId="64BA1BD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86</w:t>
      </w:r>
      <w:r w:rsidR="00E527F1" w:rsidRPr="00AC1FC6">
        <w:t>.</w:t>
      </w:r>
      <w:r w:rsidR="00E527F1" w:rsidRPr="00AC1FC6">
        <w:tab/>
        <w:t xml:space="preserve">wzywa Komisję, aby udoskonaliła monitorowanie i sprawozdawczość w odniesieniu do tych kosztów, zarówno bezpośrednich, jak i pośrednich, w celu zwiększenia skuteczności i szybkości środków wsparcia UE i państw członkowskich; w związku z tym zauważa, że FAO opracowała nowe narzędzie, tzw. </w:t>
      </w:r>
      <w:proofErr w:type="spellStart"/>
      <w:r w:rsidR="00E527F1" w:rsidRPr="00AC1FC6">
        <w:t>OutCosT</w:t>
      </w:r>
      <w:proofErr w:type="spellEnd"/>
      <w:r w:rsidR="00E527F1" w:rsidRPr="00AC1FC6">
        <w:t xml:space="preserve"> (narzędzie do kalkulacji kosztów występowania chorób), które umożliwia państwom ocenę obciążenia finansowego związanego z występowaniem chorób zwierząt i środkami ich zwalczania;</w:t>
      </w:r>
    </w:p>
    <w:p w14:paraId="387D9A59" w14:textId="44B7834E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87</w:t>
      </w:r>
      <w:r w:rsidR="00E527F1" w:rsidRPr="00AC1FC6">
        <w:t>.</w:t>
      </w:r>
      <w:r w:rsidR="00E527F1" w:rsidRPr="00AC1FC6">
        <w:tab/>
        <w:t xml:space="preserve">popiera apel grupy państw członkowskich do Komisji, aby dostosować podejście UE do zwalczania chorób zwierząt przez zastosowanie szczepień – </w:t>
      </w:r>
      <w:proofErr w:type="gramStart"/>
      <w:r w:rsidR="00E527F1" w:rsidRPr="00AC1FC6">
        <w:t>tam</w:t>
      </w:r>
      <w:proofErr w:type="gramEnd"/>
      <w:r w:rsidR="00E527F1" w:rsidRPr="00AC1FC6">
        <w:t xml:space="preserve"> gdzie jest to możliwe i w zależności od gatunku zwierzęcia i choroby – jako jednego ze środków zapobiegawczych w ramach szerszego zestawu narzędzi;</w:t>
      </w:r>
    </w:p>
    <w:p w14:paraId="45971582" w14:textId="6B9BBAF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88</w:t>
      </w:r>
      <w:r w:rsidR="00E527F1" w:rsidRPr="00AC1FC6">
        <w:t>.</w:t>
      </w:r>
      <w:r w:rsidR="00E527F1" w:rsidRPr="00AC1FC6">
        <w:tab/>
        <w:t>zaznacza jednak, że szczepienia są jeszcze skuteczniejsze, jeżeli uzupełniają je środki obrony biologicznej i nadzoru; podkreśla, że w celu zapewnienia długotrwałej ochrony środki w zakresie szczepień należy połączyć z programami selekcji genetycznej pod kątem odporności immunologicznej, w szczególności w przypadku ras pierwotnych i na obszarach szczególnie narażonych; podkreśla, że należy nasilić działania w tym obszarze i wspierać je za pomocą dostępnych i przystępnych cenowo szczepionek, odpowiednie dostosowanie środków bezpieczeństwa biologicznego do poziomu ryzyka oraz dodatkowe, wydzielone finansowanie dla dotkniętych hodowców w wszystkich państwach członkowskich w ramach WPR na okres po 2027 r.;</w:t>
      </w:r>
    </w:p>
    <w:p w14:paraId="5020F983" w14:textId="0F89CF27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89</w:t>
      </w:r>
      <w:r w:rsidR="00E527F1" w:rsidRPr="00AC1FC6">
        <w:t>.</w:t>
      </w:r>
      <w:r w:rsidR="00E527F1" w:rsidRPr="00AC1FC6">
        <w:tab/>
        <w:t xml:space="preserve">podkreśla znaczenie skoordynowanego podejścia do zdrowia zwierząt, które obejmuje proaktywne inwestycje w badania, systemy monitorowania, opracowywanie szczepionek i możliwości leczenia zarówno znanych, jak i nowych chorób; zwraca uwagę na rozwój szczepionek DIVA (szczepień opartych na strategii odróżniania zwierzęcia zakażonego od szczepionego), które umożliwiają rozróżnienie między zwierzętami zakażonymi patogenem a zwierzętami, które zostały przeciwko niemu zaszczepione; w związku z tym wzywa Komisję do uwzględnienia najnowszych </w:t>
      </w:r>
      <w:r w:rsidR="00E527F1" w:rsidRPr="00AC1FC6">
        <w:lastRenderedPageBreak/>
        <w:t>osiągnięć naukowych oraz do rewizji rozporządzenia (UE) 2016/429</w:t>
      </w:r>
      <w:r w:rsidR="00E527F1" w:rsidRPr="00AC1FC6">
        <w:rPr>
          <w:rStyle w:val="FootnoteReference"/>
          <w:szCs w:val="24"/>
        </w:rPr>
        <w:footnoteReference w:id="34"/>
      </w:r>
      <w:r w:rsidR="00E527F1" w:rsidRPr="00AC1FC6">
        <w:t xml:space="preserve"> w celu utworzenia nowej kategorii statusu zdrowotnego zwanej obszarem „wolnym od choroby, na którym przeprowadzono szczepienia”; wzywa Komisję, by wspierała inwestycje w badania i rozwój w zakresie szczepionek DIVA za pośrednictwem programu „Horyzont Europa” oraz przyspieszenie ich stosowania wśród rolników;</w:t>
      </w:r>
    </w:p>
    <w:p w14:paraId="1C10F5E7" w14:textId="710FC9E5" w:rsidR="00E527F1" w:rsidRPr="00802AD3" w:rsidRDefault="00802AD3" w:rsidP="008B4791">
      <w:pPr>
        <w:spacing w:after="240"/>
        <w:ind w:left="567" w:hanging="567"/>
      </w:pPr>
      <w:r w:rsidRPr="00802AD3">
        <w:t>90</w:t>
      </w:r>
      <w:r w:rsidR="00E527F1" w:rsidRPr="00802AD3">
        <w:t>.</w:t>
      </w:r>
      <w:r w:rsidR="00E527F1" w:rsidRPr="00802AD3">
        <w:tab/>
        <w:t xml:space="preserve">wzywa Komisję do wspierania inwestycji w </w:t>
      </w:r>
      <w:proofErr w:type="spellStart"/>
      <w:r w:rsidR="00E527F1" w:rsidRPr="00802AD3">
        <w:t>bioasekurację</w:t>
      </w:r>
      <w:proofErr w:type="spellEnd"/>
      <w:r w:rsidR="00E527F1" w:rsidRPr="00802AD3">
        <w:t xml:space="preserve"> w gospodarstwach rolnych przez zwiększenie finansowania, w tym poza WPR; ponadto apeluje do Komisji o wzmocnienie środków służących zdrowiu zwierząt w unijnym sektorze rolnictwa przez koordynację badań nad szczepionkami weterynaryjnymi, nowymi antygenami, odczynnikami diagnostycznymi i immunologicznymi weterynaryjnymi produktami leczniczymi, a także ich wspólnego zakupu, gromadzenia i dostaw na szczeblu UE w ramach mechanizmu gotowości i wczesnego wykrywania oraz przez wspieranie opracowywania tych produktów w UE; wzywa Komisję do zapewnienia odpowiedniego finansowania tego mechanizmu; </w:t>
      </w:r>
    </w:p>
    <w:p w14:paraId="51B65431" w14:textId="1F002593" w:rsidR="00E527F1" w:rsidRPr="00802AD3" w:rsidRDefault="00802AD3" w:rsidP="008B4791">
      <w:pPr>
        <w:spacing w:after="240"/>
        <w:ind w:left="567" w:hanging="567"/>
      </w:pPr>
      <w:r>
        <w:t>91</w:t>
      </w:r>
      <w:r w:rsidR="00E527F1" w:rsidRPr="00802AD3">
        <w:t>.</w:t>
      </w:r>
      <w:r w:rsidR="00E527F1" w:rsidRPr="00802AD3">
        <w:tab/>
        <w:t xml:space="preserve">zachęca do utworzenia strategicznych zapasów, aby umożliwić szybszą reakcję w przypadku nowych epidemii; podkreśla, że należy pilnie ustanowić scentralizowany i zharmonizowany system gromadzenia danych dotyczących szczepień zwierząt we wszystkich państwach członkowskich; wskazuje, że taki system zwiększyłby identyfikowalność, poprawiłby nadzór epidemiologiczny, wsparłby terminową reakcję na wystąpienie chorób i przyczyniłby się do ogólnej skuteczności polityki UE, jeśli chodzi o zdrowie zwierząt i bezpieczeństwo żywności; zauważa, że kompleksowy system gromadzenia danych dotyczących szczepień ułatwiłby współpracę transgraniczną, zapewniłby zgodność z normami UE i dostarczyłby cennej wiedzy do wykorzystania w rozwoju polityki, badaniach naukowych i zrównoważonym zarządzaniu zdrowiem zwierząt gospodarskich; </w:t>
      </w:r>
    </w:p>
    <w:p w14:paraId="5AC8BB42" w14:textId="14561C50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92</w:t>
      </w:r>
      <w:r w:rsidR="00E527F1" w:rsidRPr="00AC1FC6">
        <w:t>.</w:t>
      </w:r>
      <w:r w:rsidR="00E527F1" w:rsidRPr="00AC1FC6">
        <w:tab/>
        <w:t>popiera badania nad nowymi technologiami inaktywacji wirusów w produktach spożywczych, takimi jak przetwarzanie pod wysokim ciśnieniem, które okazały się obiecujące jako metoda ochrony bezpieczeństwa i jakości żywności; podkreśla, że odpowiednio dobrane żywienie zwierząt i formuły paszowe mają istotne znaczenie dla zapobiegania rozprzestrzenianiu się niektórych chorób oraz dla poprawy ogólnego stanu zdrowia i odporności zwierząt;</w:t>
      </w:r>
    </w:p>
    <w:p w14:paraId="61C4BC8C" w14:textId="6D38E402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93</w:t>
      </w:r>
      <w:r w:rsidR="00E527F1" w:rsidRPr="00AC1FC6">
        <w:t>.</w:t>
      </w:r>
      <w:r w:rsidR="00E527F1" w:rsidRPr="00AC1FC6">
        <w:tab/>
        <w:t>wzywa Komisję i państwa członkowskie do udzielania wsparcia władzom regionalnym oraz do współpracy z nimi, jak również do konsultacji z rolnikami, jeśli chodzi o opracowywanie i wdrażanie planów zapobiegania tym chorobom, szczepień przeciwko nim i łagodzenia ich skutków, przy jednoczesnym dążeniu do jak najmniejszej eliminacji zwierząt;</w:t>
      </w:r>
    </w:p>
    <w:p w14:paraId="53824470" w14:textId="46347854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94</w:t>
      </w:r>
      <w:r w:rsidR="00E527F1" w:rsidRPr="00AC1FC6">
        <w:t>.</w:t>
      </w:r>
      <w:r w:rsidR="00E527F1" w:rsidRPr="00AC1FC6">
        <w:tab/>
        <w:t>apeluje o ściślejszą współpracę między UE, zainteresowanymi stronami z branży i partnerami międzynarodowymi, zapewniającą efektywne przydzielanie zasobów i dzielenie się wiedzą w celu poprawy zarządzania chorobami i zapobiegania im;</w:t>
      </w:r>
    </w:p>
    <w:p w14:paraId="47886703" w14:textId="7B60D49B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95</w:t>
      </w:r>
      <w:r w:rsidR="00E527F1" w:rsidRPr="00AC1FC6">
        <w:t>.</w:t>
      </w:r>
      <w:r w:rsidR="00E527F1" w:rsidRPr="00AC1FC6">
        <w:tab/>
        <w:t xml:space="preserve">wzywa Komisję, by zwiększyła unijne środki finansowe na programy zwalczania i </w:t>
      </w:r>
      <w:r w:rsidR="00E527F1" w:rsidRPr="00AC1FC6">
        <w:lastRenderedPageBreak/>
        <w:t>kontroli w państwach członkowskich; zaleca ustanowienie kompleksowych systemów wsparcia gospodarczego, w tym systemów rekompensat obejmujących cały łańcuch dostaw, aby zapewnić odpowiednią pomoc wszystkim zainteresowanym stronom, zwłaszcza hodowcom; podkreśla, że w przypadku wystąpienia poważnych chorób zwierząt, co powoduje znaczne straty gospodarcze, należy udostępnić przyspieszoną pomoc finansową, aby zmniejszyć niepewność i utrzymać ciągłość gospodarczą; wzywa państwa członkowskie, aby usprawniły ocenę wniosków o wsparcie, wyeliminowały zbędne bariery administracyjne i określiły jasne terminy wypłaty pomocy, aby pomóc rolnikom w lepszym planowaniu i zapewnić im stabilność działalności;</w:t>
      </w:r>
    </w:p>
    <w:p w14:paraId="56E4AE43" w14:textId="2710E1D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96</w:t>
      </w:r>
      <w:r w:rsidR="00E527F1" w:rsidRPr="00AC1FC6">
        <w:t>.</w:t>
      </w:r>
      <w:r w:rsidR="00E527F1" w:rsidRPr="00AC1FC6">
        <w:tab/>
        <w:t>z zadowoleniem odnotowuje propozycję Komisji zawartą w pakiecie dotyczącym uproszczenia i konkurencyjności WPR na 2025 r., aby zwiększyć zdolność WPR do udzielania wsparcia finansowego i operacyjnego rolnikom dotkniętym klęskami żywiołowymi, niekorzystnymi zjawiskami pogodowymi związanymi z klimatem lub chorobami zwierząt przez wprowadzenie dodatkowej płatności kryzysowej, którą państwa członkowskie mogłyby uruchamiać w ramach funduszy rozwoju obszarów wiejskich; uważa, że w przyszłej WPR należy również aktywnie wspierać zdolność rolników do radzenia sobie z rozprzestrzenianiem się chorób zwierząt i epidemiami, w szczególności przeznaczyć znacznie większy budżet na narzędzia zarządzania kryzysowego i rezerwę na wypadek kryzysów w sektorze rolnym, którą będzie można szybko i skutecznie uruchomić, aby udzielić wsparcia poszkodowanym rolnikom;</w:t>
      </w:r>
    </w:p>
    <w:p w14:paraId="1DFE27D1" w14:textId="7C2A7494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97</w:t>
      </w:r>
      <w:r w:rsidR="00E527F1" w:rsidRPr="00AC1FC6">
        <w:t>.</w:t>
      </w:r>
      <w:r w:rsidR="00E527F1" w:rsidRPr="00AC1FC6">
        <w:tab/>
        <w:t>zachęca państwa członkowskie, aby uzupełniły tę inicjatywę przez dalszy rozwój systemów zarządzania ryzykiem dostosowanych do sytuacji kryzysowych związanych z chorobami zwierząt, w tym ułatwiały dostęp do systemów ubezpieczeń i funduszy wspólnego inwestowania; zwraca się do Komisji, by przedstawiła wniosek dotyczący utworzenia nowego europejskiego instrumentu reasekuracji, który umożliwi pokrycie ryzyka związanego z nowymi epizootiami, oraz by zagwarantowała, że wszystkie gospodarstwa rolne będą mieć dostęp do odpowiednich umów ubezpieczeniowych na wypadek tych epizootii;</w:t>
      </w:r>
    </w:p>
    <w:p w14:paraId="3A4A50D9" w14:textId="5BCED42E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98</w:t>
      </w:r>
      <w:r w:rsidR="00E527F1" w:rsidRPr="00AC1FC6">
        <w:t>.</w:t>
      </w:r>
      <w:r w:rsidR="00E527F1" w:rsidRPr="00AC1FC6">
        <w:tab/>
        <w:t>wzywa Komisję, by przeprowadziła ocenę wykonalności ustanowienia europejskiego funduszu zdrowia zwierząt, który zapewniałby szybkie i sprawiedliwe wsparcie w przypadku ognisk choroby; podkreśla, że ze względu na zagrożenia stwarzane przez różne choroby zwierząt konieczne jest przeznaczenie środków na doskonalenie genetyczne zwierząt, tak aby stworzyć rasy bardziej odporne na choroby, a tym samym wzmocnić bezpieczeństwo żywnościowe UE w obliczu potencjalnych kryzysów zdrowotnych;</w:t>
      </w:r>
    </w:p>
    <w:p w14:paraId="500C5917" w14:textId="43D94CE1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99</w:t>
      </w:r>
      <w:r w:rsidR="00E527F1" w:rsidRPr="00AC1FC6">
        <w:t>.</w:t>
      </w:r>
      <w:r w:rsidR="00E527F1" w:rsidRPr="00AC1FC6">
        <w:tab/>
        <w:t>apeluje do Komisji o współpracę z międzynarodowymi partnerami handlowymi w celu zagwarantowania, że akceptowane będą regionalne zakazy handlu i uznane sposoby inaktywacji, takie jak gotowanie i długotrwała obróbka, co zmniejszy niepotrzebne szkody gospodarcze dla unijnego przemysłu produkcji zwierzęcej;</w:t>
      </w:r>
    </w:p>
    <w:p w14:paraId="04C2B368" w14:textId="0A196F96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100</w:t>
      </w:r>
      <w:r w:rsidR="00E527F1" w:rsidRPr="00AC1FC6">
        <w:t>.</w:t>
      </w:r>
      <w:r w:rsidR="00E527F1" w:rsidRPr="00AC1FC6">
        <w:tab/>
        <w:t xml:space="preserve">wzywa ponadto Komisję do zbadania wykonalności, w niektórych konkretnych przypadkach, mechanizmu izolacji opartego na praktykach zarządzania i hodowli bazujących na </w:t>
      </w:r>
      <w:proofErr w:type="spellStart"/>
      <w:r w:rsidR="00E527F1" w:rsidRPr="00AC1FC6">
        <w:t>bioasekuracji</w:t>
      </w:r>
      <w:proofErr w:type="spellEnd"/>
      <w:r w:rsidR="00E527F1" w:rsidRPr="00AC1FC6">
        <w:t>, przy zbadaniu możliwości jego stosowania w kontekście międzynarodowym we współpracy z najbardziej wiarygodnymi partnerami handlowymi UE.</w:t>
      </w:r>
    </w:p>
    <w:p w14:paraId="3C694D69" w14:textId="326E8885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101</w:t>
      </w:r>
      <w:r w:rsidR="00E527F1" w:rsidRPr="00AC1FC6">
        <w:t>.</w:t>
      </w:r>
      <w:r w:rsidR="00E527F1" w:rsidRPr="00AC1FC6">
        <w:tab/>
        <w:t xml:space="preserve">wzywa Komisję do oceny zagrożeń wynikających z rosnącej liczby dzikich zwierząt </w:t>
      </w:r>
      <w:r w:rsidR="00E527F1" w:rsidRPr="00AC1FC6">
        <w:lastRenderedPageBreak/>
        <w:t>kopytnych oraz ich wpływu na zdrowie zwierząt, zdrowie publiczne i bioróżnorodność; w związku z tym uważa, że należy wdrożyć środki horyzontalne służące odpowiedniemu zarządzaniu tą nadmierną populacją;</w:t>
      </w:r>
    </w:p>
    <w:p w14:paraId="2ECB8A90" w14:textId="77777777" w:rsidR="00E527F1" w:rsidRPr="00AC1FC6" w:rsidRDefault="00E527F1" w:rsidP="008B4791">
      <w:pPr>
        <w:pStyle w:val="NormalHanging12a"/>
        <w:rPr>
          <w:b/>
          <w:i/>
        </w:rPr>
      </w:pPr>
      <w:r w:rsidRPr="00AC1FC6">
        <w:rPr>
          <w:b/>
          <w:i/>
        </w:rPr>
        <w:t>Aspekty handlowe</w:t>
      </w:r>
    </w:p>
    <w:p w14:paraId="518F92D9" w14:textId="7708354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102</w:t>
      </w:r>
      <w:r w:rsidR="00E527F1" w:rsidRPr="00AC1FC6">
        <w:t>.</w:t>
      </w:r>
      <w:r w:rsidR="00E527F1" w:rsidRPr="00AC1FC6">
        <w:tab/>
        <w:t>podkreśla, że unijny sektor produkcji zwierzęcej jest szczególnie narażony na różnorodne wstrząsy zewnętrzne, w tym kryzysy zdrowotne, ekstremalne zdarzenia pogodowe, zmienność cen i zakłócenia w łańcuchach dostaw, a także rosnącą konkurencję ze strony państw trzecich, których produkty nie zawsze spełniają wysokie europejskie normy w zakresie ochrony środowiska, dobrostanu zwierząt oraz zdrowia i bezpieczeństwa żywności, co tłumaczy obawy podnoszone przez rolników dotyczące braku wzajemności i niesprawiedliwej globalnej konkurencji; zwraca zatem uwagę na potrzebę zapewnienia sprawiedliwych warunków konkurencji na rynku międzynarodowym, aby chronić rentowność europejskich przedsiębiorstw i zagwarantować wzajemność norm w umowach handlowych; w związku z tym apeluje, aby przy zawieraniu umów handlowych uwzględniano podatność tego sektora na zagrożenia;</w:t>
      </w:r>
    </w:p>
    <w:p w14:paraId="0C017530" w14:textId="35A194F9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103</w:t>
      </w:r>
      <w:r w:rsidR="00E527F1" w:rsidRPr="00AC1FC6">
        <w:t>.</w:t>
      </w:r>
      <w:r w:rsidR="00E527F1" w:rsidRPr="00AC1FC6">
        <w:tab/>
        <w:t xml:space="preserve">apeluje o utworzenie w kolejnych wieloletnich ramach finansowych specjalnego instrumentu, który zapewniałby ukierunkowane wsparcie dla sektorów rolnych, w tym sektora produkcji zwierzęcej, mogących doświadczać zakłóceń lub wymagających dostosowania wskutek obowiązujących umów handlowych; </w:t>
      </w:r>
    </w:p>
    <w:p w14:paraId="2EF96A8F" w14:textId="1B2CC0A3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104</w:t>
      </w:r>
      <w:r w:rsidR="00E527F1" w:rsidRPr="00AC1FC6">
        <w:t>.</w:t>
      </w:r>
      <w:r w:rsidR="00E527F1" w:rsidRPr="00AC1FC6">
        <w:tab/>
        <w:t>wskazuje, że w sytuacji gdy w UE spożycie produktów pochodzenia zwierzęcego, a w szczególności mięsa, jest – w najlepszym razie – w stagnacji, zaś globalne zapotrzebowanie na białko zwierzęce ma według prognoz wzrosnąć, należy uznać znaczenie gospodarcze wywozu i pozycji UE jako regionu wiodącego na świecie pod względem przyjaznej dla klimatu i szanującej prawa zwierząt gospodarki rolnej, który eksportuje na rynki światowe wiedzę, technologię i praktyki konieczne do przekształcenia gospodarki w zrównoważoną, a jednocześnie zapewnia UE suwerenność żywnościową; podkreśla, że mogłoby to pobudzić badania naukowe, innowacje, inwestycje i zatrudnienie; podkreśla, że w tym kontekście inwestycje w poprawę jakości produkcji zwierzęcej i identyfikowalność genetyczną stają się niezbędne, aby sprostać globalnemu zapotrzebowaniu na produkty pochodzenia zwierzęcego o wysokiej wartości odżywczej;</w:t>
      </w:r>
    </w:p>
    <w:p w14:paraId="3179CBAA" w14:textId="3706B5A4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105</w:t>
      </w:r>
      <w:r w:rsidR="00E527F1" w:rsidRPr="00AC1FC6">
        <w:t>.</w:t>
      </w:r>
      <w:r w:rsidR="00E527F1" w:rsidRPr="00AC1FC6">
        <w:tab/>
        <w:t>ubolewa, że nasi partnerzy handlowi nie zawsze odwzajemniają ambitne normy i cele UE dotyczące zdrowia i dobrostanu zwierząt, środowiska i innych aspektów zrównoważenia; podkreśla, że w związku z tym rolnicy zajmujący się produkcją zwierzęcą w UE nie konkurują na równych warunkach z producentami spoza UE, ani na rynkach międzynarodowych, ani na rynku wewnętrznym UE;</w:t>
      </w:r>
    </w:p>
    <w:p w14:paraId="2886F8D3" w14:textId="46498077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106</w:t>
      </w:r>
      <w:r w:rsidR="00E527F1" w:rsidRPr="00AC1FC6">
        <w:t>.</w:t>
      </w:r>
      <w:r w:rsidR="00E527F1" w:rsidRPr="00AC1FC6">
        <w:tab/>
        <w:t>zauważa, że wprawdzie cała importowana żywność wprowadzana na rynek UE musi być zgodna z odpowiednimi i wysokimi normami UE dotyczącymi produktów końcowych, obowiązującymi niezależnie od tego, czy produkt jest wytwarzany wewnętrznie czy importowany, jednak wymogi dotyczące produkcji („procesy i metody produkcji”) zazwyczaj nie dotyczą produktów importowanych;</w:t>
      </w:r>
    </w:p>
    <w:p w14:paraId="5D0475BE" w14:textId="627E66DC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107</w:t>
      </w:r>
      <w:r w:rsidR="00E527F1" w:rsidRPr="00AC1FC6">
        <w:t>.</w:t>
      </w:r>
      <w:r w:rsidR="00E527F1" w:rsidRPr="00AC1FC6">
        <w:tab/>
        <w:t>podkreśla, że zgodnie z konkluzjami Komisji w sprawie stosowania unijnych norm zdrowotnych i środowiskowych do importowanych produktów rolnych i rolno-</w:t>
      </w:r>
      <w:r w:rsidR="00E527F1" w:rsidRPr="00AC1FC6">
        <w:lastRenderedPageBreak/>
        <w:t>spożywczych istnieje przestrzeń polityczna umożliwiająca stosowanie wymogów zdrowotnych i środowiskowych oraz wymogów dotyczących dobrostanu zwierząt do procesów i metod produkcji w przypadku produktów importowanych w sposób zgodny z zasadami WTO; uznaje, że przed zastosowaniem norm produkcji do produktów importowanych zawsze konieczna jest indywidualna ocena danego przypadku, o czym mowa w sprawozdaniu Komisji;</w:t>
      </w:r>
    </w:p>
    <w:p w14:paraId="0F25D19E" w14:textId="1D39DFD9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108</w:t>
      </w:r>
      <w:r w:rsidR="00E527F1" w:rsidRPr="00AC1FC6">
        <w:t>.</w:t>
      </w:r>
      <w:r w:rsidR="00E527F1" w:rsidRPr="00AC1FC6">
        <w:tab/>
        <w:t>wzywa Komisję, aby zapewniła większą spójność między swoją polityką handlową a polityką zrównoważonego rozwoju przez uwzględnianie wzajemności norm środowiskowych oraz dotyczących zdrowia i dobrostanu zwierząt na wszystkich etapach produkcji za pomocą klauzul „lustrzanych” we wszystkich negocjowanych umowach handlowych, tak by zagwarantować, że importowane produkty niespełniające norm unijnych nie będą wprowadzane do obrotu w UE; wzywa Komisję do zapewnienia i wzmocnienia należytych i surowych kontroli importu w celu ochrony producentów rodzimych i konsumentów w UE;</w:t>
      </w:r>
    </w:p>
    <w:p w14:paraId="38E75AD6" w14:textId="3A09611A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109</w:t>
      </w:r>
      <w:r w:rsidR="00E527F1" w:rsidRPr="00AC1FC6">
        <w:t>.</w:t>
      </w:r>
      <w:r w:rsidR="00E527F1" w:rsidRPr="00AC1FC6">
        <w:tab/>
        <w:t xml:space="preserve">wzywa Komisję, aby wzmocniła odpowiednio finansowaną politykę promocyjną przez zwiększenie budżetu na unijne produkty rolne, w tym produkty pochodzenia zwierzęcego, oraz zapewniła stałe wsparcie dla oznaczeń geograficznych w handlu międzynarodowym, stanowiących kluczowy filar jakości i identyfikowalności produktów oraz rozwoju obszarów wiejskich; zwraca uwagę, że znaczna część europejskich oznaczeń geograficznych odnosi się do sektora produkcji zwierzęcej, w tym produktów takich jak sery, kiełbasy, szynki i świeże mięso, które powstały dzięki wiedzy przekazywanej z pokolenia na pokolenie oraz metodom produkcji ściśle powiązanym z regionami pochodzenia; </w:t>
      </w:r>
    </w:p>
    <w:p w14:paraId="1E94A5AD" w14:textId="6EBB72AA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110</w:t>
      </w:r>
      <w:r w:rsidR="00E527F1" w:rsidRPr="00AC1FC6">
        <w:t>.</w:t>
      </w:r>
      <w:r w:rsidR="00E527F1" w:rsidRPr="00AC1FC6">
        <w:tab/>
        <w:t xml:space="preserve">zaznacza, że oznaczenia jakości nie tylko zwracają uwagę na pracę producentów, lecz także chronią tradycyjne praktyki, promują różnorodność europejskiej gastronomii i pomagają zachować tożsamość kulturową miejsc produkcji; podkreśla ponadto znaczenie jasnego i dokładnego etykietowania dla poprawy identyfikowalności produktów i dla ochrony konsumentów przed wprowadzającymi w błąd praktykami marketingowymi, zarówno poza UE, jak i w UE, takimi jak stosowanie nazw „brzmiących europejsko” lub podobnych do europejskich, które fałszywie sugerują, że produkty są pochodzenia unijnego czy lokalnego lub mają odpowiadającą temu jakość; </w:t>
      </w:r>
    </w:p>
    <w:p w14:paraId="47A4A0D5" w14:textId="297BE4CD" w:rsidR="00E527F1" w:rsidRPr="00AC1FC6" w:rsidRDefault="00802AD3" w:rsidP="008B4791">
      <w:pPr>
        <w:spacing w:after="240"/>
        <w:ind w:left="567" w:hanging="567"/>
        <w:rPr>
          <w:szCs w:val="24"/>
        </w:rPr>
      </w:pPr>
      <w:r>
        <w:t>111</w:t>
      </w:r>
      <w:r w:rsidR="00E527F1" w:rsidRPr="00AC1FC6">
        <w:t>.</w:t>
      </w:r>
      <w:r w:rsidR="00E527F1" w:rsidRPr="00AC1FC6">
        <w:tab/>
        <w:t>wzywa Komisję, by nadal wspierała działania rolników na rzecz spełnienia norm UE, tak by uniknąć utraty konkurencyjności, a następnie przenoszenia produkcji unijnej do krajów trzecich, w których obowiązują mniej rygorystyczne normy dotyczące dobrostanu zwierząt, produkcji i kwestii społecznych, oraz by zapewniła producentom dostęp do finansowania w celu poprawy genetyki zwierząt gospodarskich, tak aby wzmacniać konkurencyjność przez jakość, a nie ilość;</w:t>
      </w:r>
    </w:p>
    <w:p w14:paraId="11BAF40F" w14:textId="77777777" w:rsidR="00E527F1" w:rsidRPr="00AC1FC6" w:rsidRDefault="00E527F1" w:rsidP="008B4791">
      <w:pPr>
        <w:widowControl/>
        <w:spacing w:after="240"/>
        <w:jc w:val="center"/>
        <w:rPr>
          <w:szCs w:val="24"/>
        </w:rPr>
      </w:pPr>
      <w:r w:rsidRPr="00AC1FC6">
        <w:t>°</w:t>
      </w:r>
    </w:p>
    <w:p w14:paraId="4C318D69" w14:textId="77777777" w:rsidR="00E527F1" w:rsidRPr="00AC1FC6" w:rsidRDefault="00E527F1" w:rsidP="008B4791">
      <w:pPr>
        <w:widowControl/>
        <w:spacing w:after="240"/>
        <w:jc w:val="center"/>
        <w:rPr>
          <w:szCs w:val="24"/>
        </w:rPr>
      </w:pPr>
      <w:r w:rsidRPr="00AC1FC6">
        <w:t>°     °</w:t>
      </w:r>
    </w:p>
    <w:p w14:paraId="240AC432" w14:textId="76DCF494" w:rsidR="00AC1FC6" w:rsidRPr="00AC1FC6" w:rsidRDefault="00802AD3" w:rsidP="008B4791">
      <w:pPr>
        <w:pStyle w:val="NormalHanging12a"/>
      </w:pPr>
      <w:r>
        <w:t>112</w:t>
      </w:r>
      <w:r w:rsidR="00E527F1" w:rsidRPr="00AC1FC6">
        <w:t>.</w:t>
      </w:r>
      <w:r w:rsidR="00E527F1" w:rsidRPr="00AC1FC6">
        <w:tab/>
        <w:t>zobowiązuje swoją przewodniczącą do przekazania niniejszej rezolucji Radzie i Komisji.</w:t>
      </w:r>
    </w:p>
    <w:sectPr w:rsidR="00AC1FC6" w:rsidRPr="00AC1FC6" w:rsidSect="00AC1F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8925" w14:textId="77777777" w:rsidR="00EE4545" w:rsidRPr="00AC1FC6" w:rsidRDefault="00EE4545">
      <w:r w:rsidRPr="00AC1FC6">
        <w:separator/>
      </w:r>
    </w:p>
  </w:endnote>
  <w:endnote w:type="continuationSeparator" w:id="0">
    <w:p w14:paraId="1CEF15A5" w14:textId="77777777" w:rsidR="00EE4545" w:rsidRPr="00AC1FC6" w:rsidRDefault="00EE4545">
      <w:r w:rsidRPr="00AC1F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3687" w14:textId="77777777" w:rsidR="00064002" w:rsidRPr="00AC1F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42E6" w14:textId="77777777" w:rsidR="00064002" w:rsidRPr="00AC1F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46BFC" w14:textId="77777777" w:rsidR="00064002" w:rsidRPr="00AC1F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2978F" w14:textId="77777777" w:rsidR="00EE4545" w:rsidRPr="00AC1FC6" w:rsidRDefault="00EE4545">
      <w:r w:rsidRPr="00AC1FC6">
        <w:separator/>
      </w:r>
    </w:p>
  </w:footnote>
  <w:footnote w:type="continuationSeparator" w:id="0">
    <w:p w14:paraId="093C1A0A" w14:textId="77777777" w:rsidR="00EE4545" w:rsidRPr="00AC1FC6" w:rsidRDefault="00EE4545">
      <w:r w:rsidRPr="00AC1FC6">
        <w:continuationSeparator/>
      </w:r>
    </w:p>
  </w:footnote>
  <w:footnote w:id="1">
    <w:p w14:paraId="6F898C7A" w14:textId="1B97F05B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 xml:space="preserve">Dz.U. L 435 z 6.12.2021, s. 1, ELI: </w:t>
      </w:r>
      <w:hyperlink r:id="rId1" w:history="1">
        <w:r w:rsidRPr="00AC1FC6">
          <w:rPr>
            <w:rStyle w:val="Hyperlink"/>
            <w:sz w:val="24"/>
            <w:lang w:val="pl-PL"/>
          </w:rPr>
          <w:t>http://data.europa.eu/eli/reg/2021/2115/oj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2">
    <w:p w14:paraId="0ADF0954" w14:textId="3BE3D346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L 435 z 6.12.2021, s. 187, ELI: </w:t>
      </w:r>
      <w:hyperlink r:id="rId2" w:history="1">
        <w:r w:rsidRPr="00AC1FC6">
          <w:rPr>
            <w:rStyle w:val="Hyperlink"/>
            <w:sz w:val="24"/>
            <w:lang w:val="pl-PL"/>
          </w:rPr>
          <w:t>http://data.europa.eu/eli/reg/2021/2116/oj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3">
    <w:p w14:paraId="2975894C" w14:textId="6BA51C41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 xml:space="preserve">Dz.U. L 435 z 6.12.2021, s. 262, ELI: </w:t>
      </w:r>
      <w:hyperlink r:id="rId3" w:history="1">
        <w:r w:rsidRPr="00AC1FC6">
          <w:rPr>
            <w:rStyle w:val="Hyperlink"/>
            <w:sz w:val="24"/>
            <w:lang w:val="pl-PL"/>
          </w:rPr>
          <w:t>http://data.europa.eu/eli/reg/2021/2117/oj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4">
    <w:p w14:paraId="1D2101C7" w14:textId="2E2D090F" w:rsidR="00E527F1" w:rsidRPr="00802AD3" w:rsidRDefault="00E527F1" w:rsidP="00AC1FC6">
      <w:pPr>
        <w:pStyle w:val="FootnoteText"/>
        <w:ind w:left="567" w:hanging="567"/>
        <w:rPr>
          <w:color w:val="000000" w:themeColor="text1"/>
          <w:sz w:val="24"/>
          <w:lang w:val="fi-FI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802AD3">
        <w:rPr>
          <w:color w:val="000000" w:themeColor="text1"/>
          <w:sz w:val="24"/>
          <w:u w:color="0000FF"/>
          <w:lang w:val="fi-FI"/>
        </w:rPr>
        <w:t xml:space="preserve"> </w:t>
      </w:r>
      <w:r w:rsidR="00AC1FC6" w:rsidRPr="00802AD3">
        <w:rPr>
          <w:color w:val="000000" w:themeColor="text1"/>
          <w:sz w:val="24"/>
          <w:u w:color="0000FF"/>
          <w:lang w:val="fi-FI"/>
        </w:rPr>
        <w:tab/>
      </w:r>
      <w:proofErr w:type="spellStart"/>
      <w:r w:rsidRPr="00802AD3">
        <w:rPr>
          <w:color w:val="000000" w:themeColor="text1"/>
          <w:sz w:val="24"/>
          <w:u w:color="0000FF"/>
          <w:lang w:val="fi-FI"/>
        </w:rPr>
        <w:t>Dz.U</w:t>
      </w:r>
      <w:proofErr w:type="spellEnd"/>
      <w:r w:rsidR="00465BD8">
        <w:rPr>
          <w:color w:val="000000" w:themeColor="text1"/>
          <w:sz w:val="24"/>
          <w:u w:color="0000FF"/>
          <w:lang w:val="fi-FI"/>
        </w:rPr>
        <w:t>.</w:t>
      </w:r>
      <w:r w:rsidRPr="00802AD3">
        <w:rPr>
          <w:color w:val="000000" w:themeColor="text1"/>
          <w:sz w:val="24"/>
          <w:u w:color="0000FF"/>
          <w:lang w:val="fi-FI"/>
        </w:rPr>
        <w:t xml:space="preserve"> L, 2024/1468, 24.5.2024, ELI: </w:t>
      </w:r>
      <w:hyperlink r:id="rId4" w:history="1">
        <w:r w:rsidRPr="00802AD3">
          <w:rPr>
            <w:rStyle w:val="Hyperlink"/>
            <w:sz w:val="24"/>
            <w:lang w:val="fi-FI"/>
          </w:rPr>
          <w:t>http://data.europa.eu/eli/reg/2024/1468/oj</w:t>
        </w:r>
      </w:hyperlink>
      <w:r w:rsidRPr="00802AD3">
        <w:rPr>
          <w:color w:val="000000" w:themeColor="text1"/>
          <w:sz w:val="24"/>
          <w:u w:color="0000FF"/>
          <w:lang w:val="fi-FI"/>
        </w:rPr>
        <w:t>.</w:t>
      </w:r>
    </w:p>
  </w:footnote>
  <w:footnote w:id="5">
    <w:p w14:paraId="164DE89E" w14:textId="0D803826" w:rsidR="00E527F1" w:rsidRPr="00802AD3" w:rsidRDefault="00E527F1" w:rsidP="00AC1FC6">
      <w:pPr>
        <w:pStyle w:val="FootnoteText"/>
        <w:ind w:left="567" w:hanging="567"/>
        <w:rPr>
          <w:sz w:val="24"/>
          <w:lang w:val="fi-FI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802AD3">
        <w:rPr>
          <w:color w:val="000000" w:themeColor="text1"/>
          <w:sz w:val="24"/>
          <w:u w:color="0000FF"/>
          <w:lang w:val="fi-FI"/>
        </w:rPr>
        <w:t xml:space="preserve"> </w:t>
      </w:r>
      <w:r w:rsidR="00AC1FC6" w:rsidRPr="00802AD3">
        <w:rPr>
          <w:color w:val="000000" w:themeColor="text1"/>
          <w:sz w:val="24"/>
          <w:u w:color="0000FF"/>
          <w:lang w:val="fi-FI"/>
        </w:rPr>
        <w:tab/>
      </w:r>
      <w:proofErr w:type="spellStart"/>
      <w:r w:rsidRPr="00802AD3">
        <w:rPr>
          <w:color w:val="000000" w:themeColor="text1"/>
          <w:sz w:val="24"/>
          <w:u w:color="0000FF"/>
          <w:lang w:val="fi-FI"/>
        </w:rPr>
        <w:t>Dz.U</w:t>
      </w:r>
      <w:proofErr w:type="spellEnd"/>
      <w:r w:rsidR="00465BD8">
        <w:rPr>
          <w:color w:val="000000" w:themeColor="text1"/>
          <w:sz w:val="24"/>
          <w:u w:color="0000FF"/>
          <w:lang w:val="fi-FI"/>
        </w:rPr>
        <w:t>.</w:t>
      </w:r>
      <w:r w:rsidRPr="00802AD3">
        <w:rPr>
          <w:color w:val="000000" w:themeColor="text1"/>
          <w:sz w:val="24"/>
          <w:u w:color="0000FF"/>
          <w:lang w:val="fi-FI"/>
        </w:rPr>
        <w:t xml:space="preserve"> L, 2024/3012, 6.12.2024, ELI: </w:t>
      </w:r>
      <w:hyperlink r:id="rId5" w:history="1">
        <w:r w:rsidRPr="00802AD3">
          <w:rPr>
            <w:rStyle w:val="Hyperlink"/>
            <w:sz w:val="24"/>
            <w:lang w:val="fi-FI"/>
          </w:rPr>
          <w:t>http://data.europa.eu/eli/reg/2024/3012/oj</w:t>
        </w:r>
      </w:hyperlink>
      <w:r w:rsidRPr="00802AD3">
        <w:rPr>
          <w:color w:val="000000" w:themeColor="text1"/>
          <w:sz w:val="24"/>
          <w:u w:color="0000FF"/>
          <w:lang w:val="fi-FI"/>
        </w:rPr>
        <w:t>.</w:t>
      </w:r>
    </w:p>
  </w:footnote>
  <w:footnote w:id="6">
    <w:p w14:paraId="45E1A727" w14:textId="7E2E9913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sz w:val="24"/>
          <w:lang w:val="pl-PL"/>
        </w:rPr>
        <w:t xml:space="preserve"> </w:t>
      </w:r>
      <w:r w:rsidR="00AC1FC6" w:rsidRPr="00AC1FC6">
        <w:rPr>
          <w:sz w:val="24"/>
          <w:lang w:val="pl-PL"/>
        </w:rPr>
        <w:tab/>
      </w:r>
      <w:r w:rsidRPr="00AC1FC6">
        <w:rPr>
          <w:sz w:val="24"/>
          <w:lang w:val="pl-PL"/>
        </w:rPr>
        <w:t xml:space="preserve">Strategiczny dialog na temat przyszłości rolnictwa UE, </w:t>
      </w:r>
      <w:hyperlink r:id="rId6" w:history="1">
        <w:r w:rsidRPr="00AC1FC6">
          <w:rPr>
            <w:rStyle w:val="Hyperlink"/>
            <w:sz w:val="24"/>
            <w:lang w:val="pl-PL"/>
          </w:rPr>
          <w:t>https://agriculture.ec.europa.eu/document/download/171329ff-0f50-4fa5-946f-aea11032172e_en?filename=strategic-dialogue-report-2024_en.pdf</w:t>
        </w:r>
      </w:hyperlink>
      <w:r w:rsidRPr="00AC1FC6">
        <w:rPr>
          <w:sz w:val="24"/>
          <w:lang w:val="pl-PL"/>
        </w:rPr>
        <w:t>.</w:t>
      </w:r>
    </w:p>
  </w:footnote>
  <w:footnote w:id="7">
    <w:p w14:paraId="7CD64E05" w14:textId="3929A969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L 84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31.3.2016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 xml:space="preserve">, s. 1, ELI: </w:t>
      </w:r>
      <w:hyperlink r:id="rId7" w:history="1">
        <w:r w:rsidRPr="00AC1FC6">
          <w:rPr>
            <w:rStyle w:val="Hyperlink"/>
            <w:sz w:val="24"/>
            <w:lang w:val="pl-PL"/>
          </w:rPr>
          <w:t>http://data.europa.eu/eli/reg/2016/429/oj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8">
    <w:p w14:paraId="447C0143" w14:textId="0E55033B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L 412 z 8.12.2020, s. 1, ELI: </w:t>
      </w:r>
      <w:hyperlink r:id="rId8" w:history="1">
        <w:r w:rsidRPr="00AC1FC6">
          <w:rPr>
            <w:rStyle w:val="Hyperlink"/>
            <w:sz w:val="24"/>
            <w:lang w:val="pl-PL"/>
          </w:rPr>
          <w:t>http://data.europa.eu/eli/reg_impl/2020/2002/oj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9">
    <w:p w14:paraId="64495376" w14:textId="0AF6CD2B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L 174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3.6.2020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 xml:space="preserve">, s. 211, ELI: </w:t>
      </w:r>
      <w:hyperlink r:id="rId9" w:history="1">
        <w:r w:rsidRPr="00AC1FC6">
          <w:rPr>
            <w:rStyle w:val="Hyperlink"/>
            <w:sz w:val="24"/>
            <w:lang w:val="pl-PL"/>
          </w:rPr>
          <w:t>http://data.europa.eu/eli/reg_del/2020/689/oj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10">
    <w:p w14:paraId="6C13B3D3" w14:textId="3A820D83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L 300 z 14.11.2009, s. 1, ELI: </w:t>
      </w:r>
      <w:hyperlink r:id="rId10" w:history="1">
        <w:r w:rsidRPr="00AC1FC6">
          <w:rPr>
            <w:rStyle w:val="Hyperlink"/>
            <w:sz w:val="24"/>
            <w:lang w:val="pl-PL"/>
          </w:rPr>
          <w:t>http://data.europa.eu/eli/reg/2009/1069/oj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11">
    <w:p w14:paraId="4AE69D50" w14:textId="2A4D1D5A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L 325 z 12.12.2003, s. 31, ELI: </w:t>
      </w:r>
      <w:hyperlink r:id="rId11" w:history="1">
        <w:r w:rsidRPr="00AC1FC6">
          <w:rPr>
            <w:rStyle w:val="Hyperlink"/>
            <w:sz w:val="24"/>
            <w:lang w:val="pl-PL"/>
          </w:rPr>
          <w:t>http://data.europa.eu/eli/dir/2003/99/oj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12">
    <w:p w14:paraId="0C2DE30D" w14:textId="6B6BD976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L 174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3.6.2020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 xml:space="preserve">, s. 64, ELI: </w:t>
      </w:r>
      <w:hyperlink r:id="rId12" w:history="1">
        <w:r w:rsidRPr="00AC1FC6">
          <w:rPr>
            <w:rStyle w:val="Hyperlink"/>
            <w:sz w:val="24"/>
            <w:lang w:val="pl-PL"/>
          </w:rPr>
          <w:t>http://data.europa.eu/eli/reg_del/2020/687/oj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13">
    <w:p w14:paraId="576C2D28" w14:textId="238286EB" w:rsidR="00E527F1" w:rsidRPr="00AC1FC6" w:rsidRDefault="00E527F1" w:rsidP="00AC1FC6">
      <w:pPr>
        <w:pStyle w:val="FootnoteText"/>
        <w:ind w:left="567" w:hanging="567"/>
        <w:rPr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lang w:val="pl-PL"/>
        </w:rPr>
        <w:t xml:space="preserve"> </w:t>
      </w:r>
      <w:r w:rsidR="00AC1FC6" w:rsidRPr="00AC1FC6">
        <w:rPr>
          <w:color w:val="000000" w:themeColor="text1"/>
          <w:sz w:val="24"/>
          <w:lang w:val="pl-PL"/>
        </w:rPr>
        <w:tab/>
      </w:r>
      <w:r w:rsidRPr="00AC1FC6">
        <w:rPr>
          <w:color w:val="000000" w:themeColor="text1"/>
          <w:sz w:val="24"/>
          <w:lang w:val="pl-PL"/>
        </w:rPr>
        <w:t>Dz.U</w:t>
      </w:r>
      <w:r w:rsidR="00465BD8">
        <w:rPr>
          <w:color w:val="000000" w:themeColor="text1"/>
          <w:sz w:val="24"/>
          <w:lang w:val="pl-PL"/>
        </w:rPr>
        <w:t>.</w:t>
      </w:r>
      <w:r w:rsidRPr="00AC1FC6">
        <w:rPr>
          <w:color w:val="000000" w:themeColor="text1"/>
          <w:sz w:val="24"/>
          <w:lang w:val="pl-PL"/>
        </w:rPr>
        <w:t xml:space="preserve"> L 221 z </w:t>
      </w:r>
      <w:proofErr w:type="gramStart"/>
      <w:r w:rsidRPr="00AC1FC6">
        <w:rPr>
          <w:color w:val="000000" w:themeColor="text1"/>
          <w:sz w:val="24"/>
          <w:lang w:val="pl-PL"/>
        </w:rPr>
        <w:t>8.8.1998</w:t>
      </w:r>
      <w:proofErr w:type="gramEnd"/>
      <w:r w:rsidRPr="00AC1FC6">
        <w:rPr>
          <w:color w:val="000000" w:themeColor="text1"/>
          <w:sz w:val="24"/>
          <w:lang w:val="pl-PL"/>
        </w:rPr>
        <w:t xml:space="preserve">, s. 23, ELI: </w:t>
      </w:r>
      <w:hyperlink r:id="rId13" w:history="1">
        <w:r w:rsidRPr="00AC1FC6">
          <w:rPr>
            <w:rStyle w:val="Hyperlink"/>
            <w:sz w:val="24"/>
            <w:lang w:val="pl-PL"/>
          </w:rPr>
          <w:t>http://data.europa.eu/eli/dir/1998/58/oj</w:t>
        </w:r>
      </w:hyperlink>
      <w:r w:rsidRPr="00AC1FC6">
        <w:rPr>
          <w:color w:val="000000" w:themeColor="text1"/>
          <w:sz w:val="24"/>
          <w:lang w:val="pl-PL"/>
        </w:rPr>
        <w:t>.</w:t>
      </w:r>
    </w:p>
  </w:footnote>
  <w:footnote w:id="14">
    <w:p w14:paraId="6C0D43A7" w14:textId="617EB35F" w:rsidR="00E527F1" w:rsidRPr="00AC1FC6" w:rsidRDefault="00E527F1" w:rsidP="00AC1FC6">
      <w:pPr>
        <w:pStyle w:val="FootnoteText"/>
        <w:ind w:left="567" w:hanging="567"/>
        <w:rPr>
          <w:bCs/>
          <w:iCs/>
          <w:sz w:val="24"/>
          <w:lang w:val="pl-PL"/>
        </w:rPr>
      </w:pPr>
      <w:r w:rsidRPr="00AC1FC6">
        <w:rPr>
          <w:rStyle w:val="FootnoteReference"/>
          <w:sz w:val="24"/>
          <w:lang w:val="pl-PL"/>
        </w:rPr>
        <w:footnoteRef/>
      </w:r>
      <w:r w:rsidR="00AC1FC6" w:rsidRPr="00AC1FC6">
        <w:rPr>
          <w:sz w:val="24"/>
          <w:lang w:val="pl-PL"/>
        </w:rPr>
        <w:t xml:space="preserve"> </w:t>
      </w:r>
      <w:r w:rsidR="00AC1FC6" w:rsidRPr="00AC1FC6">
        <w:rPr>
          <w:sz w:val="24"/>
          <w:lang w:val="pl-PL"/>
        </w:rPr>
        <w:tab/>
      </w:r>
      <w:r w:rsidRPr="00AC1FC6">
        <w:rPr>
          <w:sz w:val="24"/>
          <w:lang w:val="pl-PL"/>
        </w:rPr>
        <w:t>Dz.U</w:t>
      </w:r>
      <w:r w:rsidR="00465BD8">
        <w:rPr>
          <w:sz w:val="24"/>
          <w:lang w:val="pl-PL"/>
        </w:rPr>
        <w:t>.</w:t>
      </w:r>
      <w:r w:rsidRPr="00AC1FC6">
        <w:rPr>
          <w:sz w:val="24"/>
          <w:lang w:val="pl-PL"/>
        </w:rPr>
        <w:t xml:space="preserve"> L 3 z </w:t>
      </w:r>
      <w:proofErr w:type="gramStart"/>
      <w:r w:rsidRPr="00AC1FC6">
        <w:rPr>
          <w:sz w:val="24"/>
          <w:lang w:val="pl-PL"/>
        </w:rPr>
        <w:t>5.1.2005</w:t>
      </w:r>
      <w:proofErr w:type="gramEnd"/>
      <w:r w:rsidRPr="00AC1FC6">
        <w:rPr>
          <w:sz w:val="24"/>
          <w:lang w:val="pl-PL"/>
        </w:rPr>
        <w:t xml:space="preserve">, s. 1, ELI: </w:t>
      </w:r>
      <w:hyperlink r:id="rId14" w:history="1">
        <w:r w:rsidRPr="00AC1FC6">
          <w:rPr>
            <w:rStyle w:val="Hyperlink"/>
            <w:sz w:val="24"/>
            <w:lang w:val="pl-PL"/>
          </w:rPr>
          <w:t>http://data.europa.eu/eli/reg/2005/1/oj</w:t>
        </w:r>
      </w:hyperlink>
      <w:r w:rsidRPr="00AC1FC6">
        <w:rPr>
          <w:sz w:val="24"/>
          <w:lang w:val="pl-PL"/>
        </w:rPr>
        <w:t>.</w:t>
      </w:r>
    </w:p>
  </w:footnote>
  <w:footnote w:id="15">
    <w:p w14:paraId="53E93BA1" w14:textId="54B420B9" w:rsidR="00E527F1" w:rsidRPr="00AC1FC6" w:rsidRDefault="00E527F1" w:rsidP="00AC1FC6">
      <w:pPr>
        <w:pStyle w:val="FootnoteText"/>
        <w:ind w:left="567" w:hanging="567"/>
        <w:rPr>
          <w:bCs/>
          <w:iCs/>
          <w:sz w:val="24"/>
          <w:lang w:val="pl-PL"/>
        </w:rPr>
      </w:pPr>
      <w:r w:rsidRPr="00AC1FC6">
        <w:rPr>
          <w:rStyle w:val="FootnoteReference"/>
          <w:bCs/>
          <w:iCs/>
          <w:sz w:val="24"/>
          <w:lang w:val="pl-PL"/>
        </w:rPr>
        <w:footnoteRef/>
      </w:r>
      <w:r w:rsidR="00AC1FC6" w:rsidRPr="00AC1FC6">
        <w:rPr>
          <w:sz w:val="24"/>
          <w:lang w:val="pl-PL"/>
        </w:rPr>
        <w:t xml:space="preserve"> </w:t>
      </w:r>
      <w:r w:rsidR="00AC1FC6" w:rsidRPr="00AC1FC6">
        <w:rPr>
          <w:sz w:val="24"/>
          <w:lang w:val="pl-PL"/>
        </w:rPr>
        <w:tab/>
      </w:r>
      <w:r w:rsidRPr="00AC1FC6">
        <w:rPr>
          <w:sz w:val="24"/>
          <w:lang w:val="pl-PL"/>
        </w:rPr>
        <w:t>Dz.U</w:t>
      </w:r>
      <w:r w:rsidR="00465BD8">
        <w:rPr>
          <w:sz w:val="24"/>
          <w:lang w:val="pl-PL"/>
        </w:rPr>
        <w:t>.</w:t>
      </w:r>
      <w:r w:rsidRPr="00AC1FC6">
        <w:rPr>
          <w:sz w:val="24"/>
          <w:lang w:val="pl-PL"/>
        </w:rPr>
        <w:t xml:space="preserve"> L 303 z 18.11.2009, s. 1, ELI: </w:t>
      </w:r>
      <w:hyperlink r:id="rId15" w:history="1">
        <w:r w:rsidRPr="00AC1FC6">
          <w:rPr>
            <w:rStyle w:val="Hyperlink"/>
            <w:sz w:val="24"/>
            <w:lang w:val="pl-PL"/>
          </w:rPr>
          <w:t>http://data.europa.eu/eli/reg/2009/1099/oj</w:t>
        </w:r>
      </w:hyperlink>
      <w:r w:rsidRPr="00AC1FC6">
        <w:rPr>
          <w:sz w:val="24"/>
          <w:lang w:val="pl-PL"/>
        </w:rPr>
        <w:t>.</w:t>
      </w:r>
    </w:p>
  </w:footnote>
  <w:footnote w:id="16">
    <w:p w14:paraId="35A160F0" w14:textId="1D58318D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L 4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7.1.2019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 xml:space="preserve">, s. 43, ELI: </w:t>
      </w:r>
      <w:hyperlink r:id="rId16" w:history="1">
        <w:r w:rsidRPr="00AC1FC6">
          <w:rPr>
            <w:rStyle w:val="Hyperlink"/>
            <w:sz w:val="24"/>
            <w:lang w:val="pl-PL"/>
          </w:rPr>
          <w:t>http://data.europa.eu/eli/reg/2019/6/oj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17">
    <w:p w14:paraId="0B109BAD" w14:textId="5B71A79E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C 220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22.6.2023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>, s. 1.</w:t>
      </w:r>
    </w:p>
  </w:footnote>
  <w:footnote w:id="18">
    <w:p w14:paraId="1730F013" w14:textId="3238377C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L 387 z 19.11.2020, s. 8, ELI: </w:t>
      </w:r>
      <w:hyperlink r:id="rId17" w:history="1">
        <w:r w:rsidRPr="00AC1FC6">
          <w:rPr>
            <w:rStyle w:val="Hyperlink"/>
            <w:sz w:val="24"/>
            <w:lang w:val="pl-PL"/>
          </w:rPr>
          <w:t>http://data.europa.eu/eli/dec_impl/2020/1729/oj</w:t>
        </w:r>
      </w:hyperlink>
      <w:r w:rsidRPr="00AC1FC6">
        <w:rPr>
          <w:color w:val="000000" w:themeColor="text1"/>
          <w:sz w:val="24"/>
          <w:u w:color="0000FF"/>
          <w:lang w:val="pl-PL"/>
        </w:rPr>
        <w:t>.</w:t>
      </w:r>
    </w:p>
  </w:footnote>
  <w:footnote w:id="19">
    <w:p w14:paraId="4B76D388" w14:textId="31B556C8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C 299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11.9.2015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>, s. 7.</w:t>
      </w:r>
    </w:p>
  </w:footnote>
  <w:footnote w:id="20">
    <w:p w14:paraId="4B7EE240" w14:textId="74A22348" w:rsidR="00E527F1" w:rsidRPr="008B4791" w:rsidRDefault="00E527F1" w:rsidP="00AC1FC6">
      <w:pPr>
        <w:pStyle w:val="FootnoteText"/>
        <w:ind w:left="567" w:hanging="567"/>
        <w:rPr>
          <w:color w:val="000000" w:themeColor="text1"/>
          <w:sz w:val="24"/>
          <w:lang w:val="fi-FI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8B4791">
        <w:rPr>
          <w:color w:val="000000" w:themeColor="text1"/>
          <w:sz w:val="24"/>
          <w:u w:color="0000FF"/>
          <w:lang w:val="fi-FI"/>
        </w:rPr>
        <w:t xml:space="preserve"> </w:t>
      </w:r>
      <w:r w:rsidR="00AC1FC6" w:rsidRPr="008B4791">
        <w:rPr>
          <w:color w:val="000000" w:themeColor="text1"/>
          <w:sz w:val="24"/>
          <w:u w:color="0000FF"/>
          <w:lang w:val="fi-FI"/>
        </w:rPr>
        <w:tab/>
      </w:r>
      <w:proofErr w:type="spellStart"/>
      <w:r w:rsidRPr="008B4791">
        <w:rPr>
          <w:color w:val="000000" w:themeColor="text1"/>
          <w:sz w:val="24"/>
          <w:u w:color="0000FF"/>
          <w:lang w:val="fi-FI"/>
        </w:rPr>
        <w:t>Dz</w:t>
      </w:r>
      <w:r w:rsidR="00465BD8">
        <w:rPr>
          <w:color w:val="000000" w:themeColor="text1"/>
          <w:sz w:val="24"/>
          <w:u w:color="0000FF"/>
          <w:lang w:val="fi-FI"/>
        </w:rPr>
        <w:t>.</w:t>
      </w:r>
      <w:r w:rsidRPr="008B4791">
        <w:rPr>
          <w:color w:val="000000" w:themeColor="text1"/>
          <w:sz w:val="24"/>
          <w:u w:color="0000FF"/>
          <w:lang w:val="fi-FI"/>
        </w:rPr>
        <w:t>U</w:t>
      </w:r>
      <w:proofErr w:type="spellEnd"/>
      <w:r w:rsidR="00465BD8">
        <w:rPr>
          <w:color w:val="000000" w:themeColor="text1"/>
          <w:sz w:val="24"/>
          <w:u w:color="0000FF"/>
          <w:lang w:val="fi-FI"/>
        </w:rPr>
        <w:t>.</w:t>
      </w:r>
      <w:r w:rsidRPr="008B4791">
        <w:rPr>
          <w:color w:val="000000" w:themeColor="text1"/>
          <w:sz w:val="24"/>
          <w:u w:color="0000FF"/>
          <w:lang w:val="fi-FI"/>
        </w:rPr>
        <w:t xml:space="preserve"> C, C/2024/2658, 29.4.2024, ELI: </w:t>
      </w:r>
      <w:hyperlink r:id="rId18" w:history="1">
        <w:r w:rsidRPr="008B4791">
          <w:rPr>
            <w:rStyle w:val="Hyperlink"/>
            <w:sz w:val="24"/>
            <w:lang w:val="fi-FI"/>
          </w:rPr>
          <w:t>http://data.europa.eu/eli/C/2024/2658/oj</w:t>
        </w:r>
      </w:hyperlink>
      <w:r w:rsidRPr="008B4791">
        <w:rPr>
          <w:color w:val="000000" w:themeColor="text1"/>
          <w:sz w:val="24"/>
          <w:u w:color="0000FF"/>
          <w:lang w:val="fi-FI"/>
        </w:rPr>
        <w:t>.</w:t>
      </w:r>
    </w:p>
  </w:footnote>
  <w:footnote w:id="21">
    <w:p w14:paraId="5DBA8026" w14:textId="63AACCFC" w:rsidR="00E527F1" w:rsidRPr="00802AD3" w:rsidRDefault="00E527F1" w:rsidP="00AC1FC6">
      <w:pPr>
        <w:pStyle w:val="FootnoteText"/>
        <w:ind w:left="567" w:hanging="567"/>
        <w:rPr>
          <w:color w:val="000000" w:themeColor="text1"/>
          <w:sz w:val="24"/>
          <w:lang w:val="fi-FI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802AD3">
        <w:rPr>
          <w:color w:val="000000" w:themeColor="text1"/>
          <w:sz w:val="24"/>
          <w:u w:color="0000FF"/>
          <w:lang w:val="fi-FI"/>
        </w:rPr>
        <w:t xml:space="preserve"> </w:t>
      </w:r>
      <w:r w:rsidR="00AC1FC6" w:rsidRPr="00802AD3">
        <w:rPr>
          <w:color w:val="000000" w:themeColor="text1"/>
          <w:sz w:val="24"/>
          <w:u w:color="0000FF"/>
          <w:lang w:val="fi-FI"/>
        </w:rPr>
        <w:tab/>
      </w:r>
      <w:proofErr w:type="spellStart"/>
      <w:r w:rsidRPr="00802AD3">
        <w:rPr>
          <w:color w:val="000000" w:themeColor="text1"/>
          <w:sz w:val="24"/>
          <w:u w:color="0000FF"/>
          <w:lang w:val="fi-FI"/>
        </w:rPr>
        <w:t>Dz.U</w:t>
      </w:r>
      <w:proofErr w:type="spellEnd"/>
      <w:r w:rsidR="00465BD8">
        <w:rPr>
          <w:color w:val="000000" w:themeColor="text1"/>
          <w:sz w:val="24"/>
          <w:u w:color="0000FF"/>
          <w:lang w:val="fi-FI"/>
        </w:rPr>
        <w:t>.</w:t>
      </w:r>
      <w:r w:rsidRPr="00802AD3">
        <w:rPr>
          <w:color w:val="000000" w:themeColor="text1"/>
          <w:sz w:val="24"/>
          <w:u w:color="0000FF"/>
          <w:lang w:val="fi-FI"/>
        </w:rPr>
        <w:t xml:space="preserve"> C, C/2024/483, 23.1.2024, ELI: </w:t>
      </w:r>
      <w:hyperlink r:id="rId19" w:history="1">
        <w:r w:rsidRPr="00802AD3">
          <w:rPr>
            <w:rStyle w:val="Hyperlink"/>
            <w:sz w:val="24"/>
            <w:lang w:val="fi-FI"/>
          </w:rPr>
          <w:t>http://data.europa.eu/eli/C/2024/483/oj</w:t>
        </w:r>
      </w:hyperlink>
      <w:r w:rsidRPr="00802AD3">
        <w:rPr>
          <w:color w:val="000000" w:themeColor="text1"/>
          <w:sz w:val="24"/>
          <w:u w:color="0000FF"/>
          <w:lang w:val="fi-FI"/>
        </w:rPr>
        <w:t>.</w:t>
      </w:r>
    </w:p>
  </w:footnote>
  <w:footnote w:id="22">
    <w:p w14:paraId="56D315E8" w14:textId="2A86C154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C 177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17.5.2023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>, s. 35.</w:t>
      </w:r>
    </w:p>
  </w:footnote>
  <w:footnote w:id="23">
    <w:p w14:paraId="7AFC58E4" w14:textId="0EB38EEE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C 167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11.5.2023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>, s. 77.</w:t>
      </w:r>
    </w:p>
  </w:footnote>
  <w:footnote w:id="24">
    <w:p w14:paraId="3DEB2D72" w14:textId="197F0B04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C 342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6.9.2022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>, s. 45.</w:t>
      </w:r>
    </w:p>
  </w:footnote>
  <w:footnote w:id="25">
    <w:p w14:paraId="023B49C1" w14:textId="39D66807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C 336 z </w:t>
      </w:r>
      <w:proofErr w:type="gramStart"/>
      <w:r w:rsidRPr="00AC1FC6">
        <w:rPr>
          <w:color w:val="000000" w:themeColor="text1"/>
          <w:sz w:val="24"/>
          <w:u w:color="0000FF"/>
          <w:lang w:val="pl-PL"/>
        </w:rPr>
        <w:t>2.9.2022</w:t>
      </w:r>
      <w:proofErr w:type="gramEnd"/>
      <w:r w:rsidRPr="00AC1FC6">
        <w:rPr>
          <w:color w:val="000000" w:themeColor="text1"/>
          <w:sz w:val="24"/>
          <w:u w:color="0000FF"/>
          <w:lang w:val="pl-PL"/>
        </w:rPr>
        <w:t>, s. 20.</w:t>
      </w:r>
    </w:p>
  </w:footnote>
  <w:footnote w:id="26">
    <w:p w14:paraId="378934B3" w14:textId="7161AAA2" w:rsidR="00E527F1" w:rsidRPr="00AC1FC6" w:rsidRDefault="00E527F1" w:rsidP="00AC1FC6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AC1FC6">
        <w:rPr>
          <w:color w:val="000000" w:themeColor="text1"/>
          <w:sz w:val="24"/>
          <w:u w:color="0000FF"/>
          <w:lang w:val="pl-PL"/>
        </w:rPr>
        <w:t xml:space="preserve"> </w:t>
      </w:r>
      <w:r w:rsidR="00AC1FC6" w:rsidRPr="00AC1FC6">
        <w:rPr>
          <w:color w:val="000000" w:themeColor="text1"/>
          <w:sz w:val="24"/>
          <w:u w:color="0000FF"/>
          <w:lang w:val="pl-PL"/>
        </w:rPr>
        <w:tab/>
      </w:r>
      <w:r w:rsidRPr="00AC1FC6">
        <w:rPr>
          <w:color w:val="000000" w:themeColor="text1"/>
          <w:sz w:val="24"/>
          <w:u w:color="0000FF"/>
          <w:lang w:val="pl-PL"/>
        </w:rPr>
        <w:t>Dz.U</w:t>
      </w:r>
      <w:r w:rsidR="00465BD8">
        <w:rPr>
          <w:color w:val="000000" w:themeColor="text1"/>
          <w:sz w:val="24"/>
          <w:u w:color="0000FF"/>
          <w:lang w:val="pl-PL"/>
        </w:rPr>
        <w:t>.</w:t>
      </w:r>
      <w:r w:rsidRPr="00AC1FC6">
        <w:rPr>
          <w:color w:val="000000" w:themeColor="text1"/>
          <w:sz w:val="24"/>
          <w:u w:color="0000FF"/>
          <w:lang w:val="pl-PL"/>
        </w:rPr>
        <w:t xml:space="preserve"> C 465 z 17.11.2021, s. 11.</w:t>
      </w:r>
    </w:p>
  </w:footnote>
  <w:footnote w:id="27">
    <w:p w14:paraId="25B78ABA" w14:textId="0B308961" w:rsidR="00E527F1" w:rsidRPr="008B4791" w:rsidRDefault="00E527F1" w:rsidP="00AC1FC6">
      <w:pPr>
        <w:pStyle w:val="FootnoteText"/>
        <w:ind w:left="567" w:hanging="567"/>
        <w:rPr>
          <w:color w:val="000000" w:themeColor="text1"/>
          <w:sz w:val="24"/>
          <w:lang w:val="fi-FI"/>
        </w:rPr>
      </w:pPr>
      <w:r w:rsidRPr="00AC1FC6">
        <w:rPr>
          <w:rStyle w:val="FootnoteReference"/>
          <w:color w:val="000000" w:themeColor="text1"/>
          <w:sz w:val="24"/>
          <w:lang w:val="pl-PL"/>
        </w:rPr>
        <w:footnoteRef/>
      </w:r>
      <w:r w:rsidR="00AC1FC6" w:rsidRPr="008B4791">
        <w:rPr>
          <w:color w:val="000000" w:themeColor="text1"/>
          <w:sz w:val="24"/>
          <w:lang w:val="fi-FI"/>
        </w:rPr>
        <w:t xml:space="preserve"> </w:t>
      </w:r>
      <w:r w:rsidR="00AC1FC6" w:rsidRPr="008B4791">
        <w:rPr>
          <w:color w:val="000000" w:themeColor="text1"/>
          <w:sz w:val="24"/>
          <w:lang w:val="fi-FI"/>
        </w:rPr>
        <w:tab/>
      </w:r>
      <w:proofErr w:type="spellStart"/>
      <w:r w:rsidRPr="008B4791">
        <w:rPr>
          <w:color w:val="000000" w:themeColor="text1"/>
          <w:sz w:val="24"/>
          <w:lang w:val="fi-FI"/>
        </w:rPr>
        <w:t>Dz.U</w:t>
      </w:r>
      <w:proofErr w:type="spellEnd"/>
      <w:r w:rsidR="00465BD8">
        <w:rPr>
          <w:color w:val="000000" w:themeColor="text1"/>
          <w:sz w:val="24"/>
          <w:lang w:val="fi-FI"/>
        </w:rPr>
        <w:t>.</w:t>
      </w:r>
      <w:r w:rsidRPr="008B4791">
        <w:rPr>
          <w:color w:val="000000" w:themeColor="text1"/>
          <w:sz w:val="24"/>
          <w:lang w:val="fi-FI"/>
        </w:rPr>
        <w:t xml:space="preserve"> C, C/2024/2657, 29.4.2024, ELI: </w:t>
      </w:r>
      <w:hyperlink r:id="rId20" w:history="1">
        <w:r w:rsidRPr="008B4791">
          <w:rPr>
            <w:rStyle w:val="Hyperlink"/>
            <w:sz w:val="24"/>
            <w:lang w:val="fi-FI"/>
          </w:rPr>
          <w:t>http://data.europa.eu/eli/C/2024/2657/oj</w:t>
        </w:r>
      </w:hyperlink>
      <w:r w:rsidRPr="008B4791">
        <w:rPr>
          <w:color w:val="000000" w:themeColor="text1"/>
          <w:sz w:val="24"/>
          <w:lang w:val="fi-FI"/>
        </w:rPr>
        <w:t>.</w:t>
      </w:r>
    </w:p>
  </w:footnote>
  <w:footnote w:id="28">
    <w:p w14:paraId="0D51C7EE" w14:textId="2FE1094E" w:rsidR="00E527F1" w:rsidRPr="00802AD3" w:rsidRDefault="00E527F1" w:rsidP="00AC1FC6">
      <w:pPr>
        <w:pStyle w:val="FootnoteText"/>
        <w:ind w:left="567" w:hanging="567"/>
        <w:rPr>
          <w:sz w:val="24"/>
          <w:lang w:val="en-GB"/>
        </w:rPr>
      </w:pPr>
      <w:r w:rsidRPr="00AC1FC6">
        <w:rPr>
          <w:rStyle w:val="FootnoteReference"/>
          <w:sz w:val="24"/>
          <w:lang w:val="pl-PL"/>
        </w:rPr>
        <w:footnoteRef/>
      </w:r>
      <w:r w:rsidR="00AC1FC6" w:rsidRPr="00802AD3">
        <w:rPr>
          <w:sz w:val="24"/>
          <w:lang w:val="en-GB"/>
        </w:rPr>
        <w:t xml:space="preserve"> </w:t>
      </w:r>
      <w:r w:rsidR="00AC1FC6" w:rsidRPr="00802AD3">
        <w:rPr>
          <w:sz w:val="24"/>
          <w:lang w:val="en-GB"/>
        </w:rPr>
        <w:tab/>
      </w:r>
      <w:r w:rsidRPr="00802AD3">
        <w:rPr>
          <w:sz w:val="24"/>
          <w:lang w:val="en-GB"/>
        </w:rPr>
        <w:t>FAO, „The future of food and agriculture – Alternative pathways to 2050” [„</w:t>
      </w:r>
      <w:proofErr w:type="spellStart"/>
      <w:r w:rsidRPr="00802AD3">
        <w:rPr>
          <w:sz w:val="24"/>
          <w:lang w:val="en-GB"/>
        </w:rPr>
        <w:t>Przyszłość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żywności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i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rolnictwa</w:t>
      </w:r>
      <w:proofErr w:type="spellEnd"/>
      <w:r w:rsidRPr="00802AD3">
        <w:rPr>
          <w:sz w:val="24"/>
          <w:lang w:val="en-GB"/>
        </w:rPr>
        <w:t xml:space="preserve"> – </w:t>
      </w:r>
      <w:proofErr w:type="spellStart"/>
      <w:r w:rsidRPr="00802AD3">
        <w:rPr>
          <w:sz w:val="24"/>
          <w:lang w:val="en-GB"/>
        </w:rPr>
        <w:t>alternatywne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ścieżki</w:t>
      </w:r>
      <w:proofErr w:type="spellEnd"/>
      <w:r w:rsidRPr="00802AD3">
        <w:rPr>
          <w:sz w:val="24"/>
          <w:lang w:val="en-GB"/>
        </w:rPr>
        <w:t xml:space="preserve"> do 2050 r.”], </w:t>
      </w:r>
      <w:hyperlink r:id="rId21" w:history="1">
        <w:r w:rsidRPr="00802AD3">
          <w:rPr>
            <w:rStyle w:val="Hyperlink"/>
            <w:sz w:val="24"/>
            <w:lang w:val="en-GB"/>
          </w:rPr>
          <w:t>https://www.fao.org/global-perspectives-studies/resources/detail/en/c/1157074/</w:t>
        </w:r>
      </w:hyperlink>
      <w:r w:rsidRPr="00802AD3">
        <w:rPr>
          <w:sz w:val="24"/>
          <w:lang w:val="en-GB"/>
        </w:rPr>
        <w:t>.</w:t>
      </w:r>
    </w:p>
  </w:footnote>
  <w:footnote w:id="29">
    <w:p w14:paraId="7AE9CBBD" w14:textId="4E3899B9" w:rsidR="00E527F1" w:rsidRPr="00802AD3" w:rsidRDefault="00E527F1" w:rsidP="00AC1FC6">
      <w:pPr>
        <w:pStyle w:val="FootnoteText"/>
        <w:ind w:left="567" w:hanging="567"/>
        <w:rPr>
          <w:sz w:val="24"/>
          <w:lang w:val="en-GB"/>
        </w:rPr>
      </w:pPr>
      <w:r w:rsidRPr="00AC1FC6">
        <w:rPr>
          <w:rStyle w:val="FootnoteReference"/>
          <w:sz w:val="24"/>
          <w:lang w:val="pl-PL"/>
        </w:rPr>
        <w:footnoteRef/>
      </w:r>
      <w:r w:rsidR="00AC1FC6" w:rsidRPr="00802AD3">
        <w:rPr>
          <w:sz w:val="24"/>
          <w:lang w:val="en-GB"/>
        </w:rPr>
        <w:t xml:space="preserve"> </w:t>
      </w:r>
      <w:r w:rsidR="00AC1FC6" w:rsidRPr="00802AD3">
        <w:rPr>
          <w:sz w:val="24"/>
          <w:lang w:val="en-GB"/>
        </w:rPr>
        <w:tab/>
      </w:r>
      <w:proofErr w:type="spellStart"/>
      <w:r w:rsidRPr="00802AD3">
        <w:rPr>
          <w:sz w:val="24"/>
          <w:lang w:val="en-GB"/>
        </w:rPr>
        <w:t>Europejska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Agencja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Leków</w:t>
      </w:r>
      <w:proofErr w:type="spellEnd"/>
      <w:r w:rsidRPr="00802AD3">
        <w:rPr>
          <w:sz w:val="24"/>
          <w:lang w:val="en-GB"/>
        </w:rPr>
        <w:t>, „European sales and use of antimicrobials for veterinary medicine” [</w:t>
      </w:r>
      <w:proofErr w:type="spellStart"/>
      <w:r w:rsidRPr="00802AD3">
        <w:rPr>
          <w:sz w:val="24"/>
          <w:lang w:val="en-GB"/>
        </w:rPr>
        <w:t>Sprzedaż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i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stosowanie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środków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przeciwdrobnoustrojowych</w:t>
      </w:r>
      <w:proofErr w:type="spellEnd"/>
      <w:r w:rsidRPr="00802AD3">
        <w:rPr>
          <w:sz w:val="24"/>
          <w:lang w:val="en-GB"/>
        </w:rPr>
        <w:t xml:space="preserve"> w </w:t>
      </w:r>
      <w:proofErr w:type="spellStart"/>
      <w:r w:rsidRPr="00802AD3">
        <w:rPr>
          <w:sz w:val="24"/>
          <w:lang w:val="en-GB"/>
        </w:rPr>
        <w:t>medycynie</w:t>
      </w:r>
      <w:proofErr w:type="spellEnd"/>
      <w:r w:rsidRPr="00802AD3">
        <w:rPr>
          <w:sz w:val="24"/>
          <w:lang w:val="en-GB"/>
        </w:rPr>
        <w:t xml:space="preserve"> </w:t>
      </w:r>
      <w:proofErr w:type="spellStart"/>
      <w:r w:rsidRPr="00802AD3">
        <w:rPr>
          <w:sz w:val="24"/>
          <w:lang w:val="en-GB"/>
        </w:rPr>
        <w:t>weterynaryjnej</w:t>
      </w:r>
      <w:proofErr w:type="spellEnd"/>
      <w:r w:rsidRPr="00802AD3">
        <w:rPr>
          <w:sz w:val="24"/>
          <w:lang w:val="en-GB"/>
        </w:rPr>
        <w:t xml:space="preserve"> w </w:t>
      </w:r>
      <w:proofErr w:type="spellStart"/>
      <w:r w:rsidRPr="00802AD3">
        <w:rPr>
          <w:sz w:val="24"/>
          <w:lang w:val="en-GB"/>
        </w:rPr>
        <w:t>Europie</w:t>
      </w:r>
      <w:proofErr w:type="spellEnd"/>
      <w:r w:rsidRPr="00802AD3">
        <w:rPr>
          <w:sz w:val="24"/>
          <w:lang w:val="en-GB"/>
        </w:rPr>
        <w:t xml:space="preserve">], 31 </w:t>
      </w:r>
      <w:proofErr w:type="spellStart"/>
      <w:r w:rsidRPr="00802AD3">
        <w:rPr>
          <w:sz w:val="24"/>
          <w:lang w:val="en-GB"/>
        </w:rPr>
        <w:t>marca</w:t>
      </w:r>
      <w:proofErr w:type="spellEnd"/>
      <w:r w:rsidRPr="00802AD3">
        <w:rPr>
          <w:sz w:val="24"/>
          <w:lang w:val="en-GB"/>
        </w:rPr>
        <w:t xml:space="preserve"> 2025 r., </w:t>
      </w:r>
      <w:hyperlink r:id="rId22" w:history="1">
        <w:r w:rsidRPr="00802AD3">
          <w:rPr>
            <w:rStyle w:val="Hyperlink"/>
            <w:sz w:val="24"/>
            <w:lang w:val="en-GB"/>
          </w:rPr>
          <w:t>https://www.ema.europa.eu/en/documents/report/european-sales-use-antimicrobials-veterinary-medicine-annual-surveillance-report-2023_en.pdf</w:t>
        </w:r>
      </w:hyperlink>
      <w:r w:rsidRPr="00802AD3">
        <w:rPr>
          <w:sz w:val="24"/>
          <w:lang w:val="en-GB"/>
        </w:rPr>
        <w:t>.</w:t>
      </w:r>
    </w:p>
  </w:footnote>
  <w:footnote w:id="30">
    <w:p w14:paraId="763A17EE" w14:textId="7F091B85" w:rsidR="00E527F1" w:rsidRPr="00AC1FC6" w:rsidRDefault="00E527F1" w:rsidP="00AC1FC6">
      <w:pPr>
        <w:pStyle w:val="FootnoteText"/>
        <w:ind w:left="567" w:hanging="567"/>
        <w:rPr>
          <w:sz w:val="24"/>
          <w:lang w:val="pl-PL"/>
        </w:rPr>
      </w:pPr>
      <w:r w:rsidRPr="00AC1FC6">
        <w:rPr>
          <w:rStyle w:val="FootnoteReference"/>
          <w:sz w:val="24"/>
          <w:lang w:val="pl-PL"/>
        </w:rPr>
        <w:footnoteRef/>
      </w:r>
      <w:r w:rsidR="00AC1FC6" w:rsidRPr="00AC1FC6">
        <w:rPr>
          <w:sz w:val="24"/>
          <w:lang w:val="pl-PL"/>
        </w:rPr>
        <w:t xml:space="preserve"> </w:t>
      </w:r>
      <w:r w:rsidR="00AC1FC6" w:rsidRPr="00AC1FC6">
        <w:rPr>
          <w:sz w:val="24"/>
          <w:lang w:val="pl-PL"/>
        </w:rPr>
        <w:tab/>
      </w:r>
      <w:r w:rsidRPr="00AC1FC6">
        <w:rPr>
          <w:sz w:val="24"/>
          <w:lang w:val="pl-PL"/>
        </w:rPr>
        <w:t>Rozporządzenie Komisji (UE) 2022/2472 z dnia 14 grudnia 2022 r. uznające niektóre kategorie pomocy w sektorach rolnym i leśnym oraz na obszarach wiejskich za zgodne z rynkiem wewnętrznym w zastosowaniu art. 107 i 108 Traktatu o funkcjonowaniu Unii Europejskiej (Dz.U. L 327 z 21.12.2022, s. 1, ELI: </w:t>
      </w:r>
      <w:hyperlink r:id="rId23" w:tooltip="Dostęp do dokumentu poprzez identyfikator URI w systemie ELI." w:history="1">
        <w:r w:rsidRPr="00AC1FC6">
          <w:rPr>
            <w:rStyle w:val="Hyperlink"/>
            <w:sz w:val="24"/>
            <w:lang w:val="pl-PL"/>
          </w:rPr>
          <w:t>http://data.europa.eu/eli/reg/2022/2472/oj</w:t>
        </w:r>
      </w:hyperlink>
      <w:r w:rsidRPr="00AC1FC6">
        <w:rPr>
          <w:sz w:val="24"/>
          <w:lang w:val="pl-PL"/>
        </w:rPr>
        <w:t xml:space="preserve">). </w:t>
      </w:r>
    </w:p>
  </w:footnote>
  <w:footnote w:id="31">
    <w:p w14:paraId="2DB4F27C" w14:textId="72448E4E" w:rsidR="00E527F1" w:rsidRPr="00AC1FC6" w:rsidRDefault="00E527F1" w:rsidP="00AC1FC6">
      <w:pPr>
        <w:pStyle w:val="FootnoteText"/>
        <w:ind w:left="567" w:hanging="567"/>
        <w:rPr>
          <w:sz w:val="24"/>
          <w:lang w:val="pl-PL"/>
        </w:rPr>
      </w:pPr>
      <w:r w:rsidRPr="00AC1FC6">
        <w:rPr>
          <w:rStyle w:val="FootnoteReference"/>
          <w:sz w:val="24"/>
          <w:lang w:val="pl-PL"/>
        </w:rPr>
        <w:footnoteRef/>
      </w:r>
      <w:r w:rsidR="00AC1FC6" w:rsidRPr="00AC1FC6">
        <w:rPr>
          <w:sz w:val="24"/>
          <w:lang w:val="pl-PL"/>
        </w:rPr>
        <w:t xml:space="preserve"> </w:t>
      </w:r>
      <w:r w:rsidR="00AC1FC6" w:rsidRPr="00AC1FC6">
        <w:rPr>
          <w:sz w:val="24"/>
          <w:lang w:val="pl-PL"/>
        </w:rPr>
        <w:tab/>
      </w:r>
      <w:r w:rsidRPr="00AC1FC6">
        <w:rPr>
          <w:sz w:val="24"/>
          <w:lang w:val="pl-PL"/>
        </w:rPr>
        <w:t>Dyrektywa Rady 92/43/EWG z dnia 21 maja 1992 r. w sprawie ochrony siedlisk przyrodniczych oraz dzikiej fauny i flory (Dz.U. L 206 z </w:t>
      </w:r>
      <w:proofErr w:type="gramStart"/>
      <w:r w:rsidRPr="00AC1FC6">
        <w:rPr>
          <w:sz w:val="24"/>
          <w:lang w:val="pl-PL"/>
        </w:rPr>
        <w:t>22.7.1992</w:t>
      </w:r>
      <w:proofErr w:type="gramEnd"/>
      <w:r w:rsidRPr="00AC1FC6">
        <w:rPr>
          <w:sz w:val="24"/>
          <w:lang w:val="pl-PL"/>
        </w:rPr>
        <w:t>, s. 7, ELI: </w:t>
      </w:r>
      <w:hyperlink r:id="rId24" w:tooltip="Dostęp do dokumentu poprzez identyfikator URI w systemie ELI." w:history="1">
        <w:r w:rsidRPr="00AC1FC6">
          <w:rPr>
            <w:rStyle w:val="Hyperlink"/>
            <w:sz w:val="24"/>
            <w:lang w:val="pl-PL"/>
          </w:rPr>
          <w:t>http://data.europa.eu/eli/dir/1992/43/oj</w:t>
        </w:r>
      </w:hyperlink>
      <w:r w:rsidRPr="00AC1FC6">
        <w:rPr>
          <w:sz w:val="24"/>
          <w:lang w:val="pl-PL"/>
        </w:rPr>
        <w:t xml:space="preserve">). </w:t>
      </w:r>
    </w:p>
  </w:footnote>
  <w:footnote w:id="32">
    <w:p w14:paraId="11C73D9D" w14:textId="648106D7" w:rsidR="00E527F1" w:rsidRPr="00AC1FC6" w:rsidRDefault="00E527F1" w:rsidP="00AC1FC6">
      <w:pPr>
        <w:pStyle w:val="FootnoteText"/>
        <w:ind w:left="567" w:hanging="567"/>
        <w:rPr>
          <w:sz w:val="24"/>
          <w:lang w:val="pl-PL"/>
        </w:rPr>
      </w:pPr>
      <w:r w:rsidRPr="00AC1FC6">
        <w:rPr>
          <w:rStyle w:val="FootnoteReference"/>
          <w:sz w:val="24"/>
          <w:lang w:val="pl-PL"/>
        </w:rPr>
        <w:footnoteRef/>
      </w:r>
      <w:r w:rsidR="00AC1FC6" w:rsidRPr="00AC1FC6">
        <w:rPr>
          <w:sz w:val="24"/>
          <w:lang w:val="pl-PL"/>
        </w:rPr>
        <w:t xml:space="preserve"> </w:t>
      </w:r>
      <w:r w:rsidR="00AC1FC6" w:rsidRPr="00AC1FC6">
        <w:rPr>
          <w:sz w:val="24"/>
          <w:lang w:val="pl-PL"/>
        </w:rPr>
        <w:tab/>
      </w:r>
      <w:r w:rsidRPr="00AC1FC6">
        <w:rPr>
          <w:sz w:val="24"/>
          <w:lang w:val="pl-PL"/>
        </w:rPr>
        <w:t>Dyrektywa Rady 91/676/EWG z dnia 12 grudnia 1991 r. dotycząca ochrony wód przed zanieczyszczeniami powodowanymi przez azotany pochodzenia rolniczego (Dz.U. L 375 z 31.12.1991, s. 1, ELI: </w:t>
      </w:r>
      <w:hyperlink r:id="rId25" w:tooltip="Dostęp do dokumentu poprzez identyfikator URI w systemie ELI." w:history="1">
        <w:r w:rsidRPr="00AC1FC6">
          <w:rPr>
            <w:rStyle w:val="Hyperlink"/>
            <w:sz w:val="24"/>
            <w:lang w:val="pl-PL"/>
          </w:rPr>
          <w:t>http://data.europa.eu/eli/dir/1991/676/oj</w:t>
        </w:r>
      </w:hyperlink>
      <w:r w:rsidRPr="00AC1FC6">
        <w:rPr>
          <w:sz w:val="24"/>
          <w:lang w:val="pl-PL"/>
        </w:rPr>
        <w:t>).</w:t>
      </w:r>
      <w:r w:rsidRPr="00AC1FC6">
        <w:rPr>
          <w:i/>
          <w:sz w:val="24"/>
          <w:lang w:val="pl-PL"/>
        </w:rPr>
        <w:t xml:space="preserve"> </w:t>
      </w:r>
    </w:p>
  </w:footnote>
  <w:footnote w:id="33">
    <w:p w14:paraId="23937D37" w14:textId="525E7B3A" w:rsidR="00E527F1" w:rsidRPr="00AC1FC6" w:rsidRDefault="00E527F1" w:rsidP="00AC1FC6">
      <w:pPr>
        <w:pStyle w:val="FootnoteText"/>
        <w:ind w:left="567" w:hanging="567"/>
        <w:rPr>
          <w:sz w:val="24"/>
          <w:lang w:val="pl-PL"/>
        </w:rPr>
      </w:pPr>
      <w:r w:rsidRPr="00AC1FC6">
        <w:rPr>
          <w:rStyle w:val="FootnoteReference"/>
          <w:sz w:val="24"/>
          <w:lang w:val="pl-PL"/>
        </w:rPr>
        <w:footnoteRef/>
      </w:r>
      <w:r w:rsidR="00AC1FC6" w:rsidRPr="00AC1FC6">
        <w:rPr>
          <w:sz w:val="24"/>
          <w:lang w:val="pl-PL"/>
        </w:rPr>
        <w:t xml:space="preserve"> </w:t>
      </w:r>
      <w:r w:rsidR="00AC1FC6" w:rsidRPr="00AC1FC6">
        <w:rPr>
          <w:sz w:val="24"/>
          <w:lang w:val="pl-PL"/>
        </w:rPr>
        <w:tab/>
      </w:r>
      <w:r w:rsidRPr="00AC1FC6">
        <w:rPr>
          <w:sz w:val="24"/>
          <w:lang w:val="pl-PL"/>
        </w:rPr>
        <w:t>Rozporządzenie Parlamentu Europejskiego i Rady (UE) nr 1169/2011 z dnia 25 października 2011 r. w sprawie przekazywania konsumentom informacji na temat żywności, zmiany rozporządzeń Parlamentu Europejskiego i Rady (WE) nr 1924/2006 i (WE) nr 1925/2006 oraz uchylenia dyrektywy Komisji 87/250/EWG, dyrektywy Rady 90/496/EWG, dyrektywy Komisji 1999/10/WE, dyrektywy 2000/13/WE Parlamentu Europejskiego i Rady, dyrektyw Komisji 2002/67/WE i 2008/5/WE oraz rozporządzenia Komisji (WE) nr 608/2004 (Dz.U. L 304 z 22.11.2011, s. 18, ELI: </w:t>
      </w:r>
      <w:hyperlink r:id="rId26" w:tooltip="Dostęp do dokumentu poprzez identyfikator URI w systemie ELI." w:history="1">
        <w:r w:rsidRPr="00AC1FC6">
          <w:rPr>
            <w:rStyle w:val="Hyperlink"/>
            <w:sz w:val="24"/>
            <w:lang w:val="pl-PL"/>
          </w:rPr>
          <w:t>http://data.europa.eu/eli/reg/2011/1169/oj</w:t>
        </w:r>
      </w:hyperlink>
      <w:r w:rsidRPr="00AC1FC6">
        <w:rPr>
          <w:sz w:val="24"/>
          <w:lang w:val="pl-PL"/>
        </w:rPr>
        <w:t>).</w:t>
      </w:r>
    </w:p>
  </w:footnote>
  <w:footnote w:id="34">
    <w:p w14:paraId="6C375DE7" w14:textId="59F4A95A" w:rsidR="00E527F1" w:rsidRPr="00AC1FC6" w:rsidRDefault="00E527F1" w:rsidP="00AC1FC6">
      <w:pPr>
        <w:pStyle w:val="FootnoteText"/>
        <w:ind w:left="567" w:hanging="567"/>
        <w:rPr>
          <w:sz w:val="24"/>
          <w:lang w:val="pl-PL"/>
        </w:rPr>
      </w:pPr>
      <w:r w:rsidRPr="00AC1FC6">
        <w:rPr>
          <w:rStyle w:val="FootnoteReference"/>
          <w:sz w:val="24"/>
          <w:lang w:val="pl-PL"/>
        </w:rPr>
        <w:footnoteRef/>
      </w:r>
      <w:r w:rsidR="00AC1FC6" w:rsidRPr="00AC1FC6">
        <w:rPr>
          <w:sz w:val="24"/>
          <w:lang w:val="pl-PL"/>
        </w:rPr>
        <w:t xml:space="preserve"> </w:t>
      </w:r>
      <w:r w:rsidR="00AC1FC6" w:rsidRPr="00AC1FC6">
        <w:rPr>
          <w:sz w:val="24"/>
          <w:lang w:val="pl-PL"/>
        </w:rPr>
        <w:tab/>
      </w:r>
      <w:r w:rsidRPr="00AC1FC6">
        <w:rPr>
          <w:sz w:val="24"/>
          <w:lang w:val="pl-PL"/>
        </w:rPr>
        <w:t xml:space="preserve">Rozporządzenie Parlamentu Europejskiego i Rady (UE) 2016/429 z dnia 9 marca 2016 r. w sprawie przenośnych chorób zwierząt oraz zmieniające i uchylające niektóre akty w dziedzinie zdrowia zwierząt (prawo o zdrowiu zwierząt), Dz.U. L 84 z </w:t>
      </w:r>
      <w:proofErr w:type="gramStart"/>
      <w:r w:rsidRPr="00AC1FC6">
        <w:rPr>
          <w:sz w:val="24"/>
          <w:lang w:val="pl-PL"/>
        </w:rPr>
        <w:t>31.3.2016</w:t>
      </w:r>
      <w:proofErr w:type="gramEnd"/>
      <w:r w:rsidRPr="00AC1FC6">
        <w:rPr>
          <w:sz w:val="24"/>
          <w:lang w:val="pl-PL"/>
        </w:rPr>
        <w:t>, s. 1, ELI: </w:t>
      </w:r>
      <w:hyperlink r:id="rId27" w:tooltip="Dostęp do dokumentu poprzez identyfikator URI w systemie ELI." w:history="1">
        <w:r w:rsidRPr="00AC1FC6">
          <w:rPr>
            <w:rStyle w:val="Hyperlink"/>
            <w:sz w:val="24"/>
            <w:lang w:val="pl-PL"/>
          </w:rPr>
          <w:t>http://data.europa.eu/eli/reg/2016/429/oj</w:t>
        </w:r>
      </w:hyperlink>
      <w:r w:rsidRPr="00AC1FC6">
        <w:rPr>
          <w:sz w:val="24"/>
          <w:lang w:val="pl-PL"/>
        </w:rPr>
        <w:t>).</w:t>
      </w:r>
      <w:r w:rsidRPr="00AC1FC6">
        <w:rPr>
          <w:i/>
          <w:sz w:val="24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19553" w14:textId="77777777" w:rsidR="00064002" w:rsidRPr="00AC1F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08430" w14:textId="77777777" w:rsidR="00064002" w:rsidRPr="00AC1F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A988" w14:textId="77777777" w:rsidR="00064002" w:rsidRPr="00AC1F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6855047">
    <w:abstractNumId w:val="9"/>
  </w:num>
  <w:num w:numId="2" w16cid:durableId="1572929735">
    <w:abstractNumId w:val="9"/>
  </w:num>
  <w:num w:numId="3" w16cid:durableId="1463695740">
    <w:abstractNumId w:val="7"/>
  </w:num>
  <w:num w:numId="4" w16cid:durableId="1128812891">
    <w:abstractNumId w:val="7"/>
  </w:num>
  <w:num w:numId="5" w16cid:durableId="1460412596">
    <w:abstractNumId w:val="6"/>
  </w:num>
  <w:num w:numId="6" w16cid:durableId="955451378">
    <w:abstractNumId w:val="6"/>
  </w:num>
  <w:num w:numId="7" w16cid:durableId="1041053710">
    <w:abstractNumId w:val="5"/>
  </w:num>
  <w:num w:numId="8" w16cid:durableId="589899160">
    <w:abstractNumId w:val="5"/>
  </w:num>
  <w:num w:numId="9" w16cid:durableId="1361008514">
    <w:abstractNumId w:val="4"/>
  </w:num>
  <w:num w:numId="10" w16cid:durableId="1925527061">
    <w:abstractNumId w:val="4"/>
  </w:num>
  <w:num w:numId="11" w16cid:durableId="599409577">
    <w:abstractNumId w:val="8"/>
  </w:num>
  <w:num w:numId="12" w16cid:durableId="1854227959">
    <w:abstractNumId w:val="8"/>
  </w:num>
  <w:num w:numId="13" w16cid:durableId="1083380552">
    <w:abstractNumId w:val="3"/>
  </w:num>
  <w:num w:numId="14" w16cid:durableId="1286696669">
    <w:abstractNumId w:val="3"/>
  </w:num>
  <w:num w:numId="15" w16cid:durableId="1248227580">
    <w:abstractNumId w:val="2"/>
  </w:num>
  <w:num w:numId="16" w16cid:durableId="796752313">
    <w:abstractNumId w:val="2"/>
  </w:num>
  <w:num w:numId="17" w16cid:durableId="1025403774">
    <w:abstractNumId w:val="1"/>
  </w:num>
  <w:num w:numId="18" w16cid:durableId="2025473812">
    <w:abstractNumId w:val="1"/>
  </w:num>
  <w:num w:numId="19" w16cid:durableId="62290535">
    <w:abstractNumId w:val="0"/>
  </w:num>
  <w:num w:numId="20" w16cid:durableId="54745277">
    <w:abstractNumId w:val="0"/>
  </w:num>
  <w:num w:numId="21" w16cid:durableId="411783470">
    <w:abstractNumId w:val="9"/>
  </w:num>
  <w:num w:numId="22" w16cid:durableId="1872912642">
    <w:abstractNumId w:val="7"/>
  </w:num>
  <w:num w:numId="23" w16cid:durableId="2043434026">
    <w:abstractNumId w:val="6"/>
  </w:num>
  <w:num w:numId="24" w16cid:durableId="1557203925">
    <w:abstractNumId w:val="5"/>
  </w:num>
  <w:num w:numId="25" w16cid:durableId="1474983547">
    <w:abstractNumId w:val="4"/>
  </w:num>
  <w:num w:numId="26" w16cid:durableId="1134059473">
    <w:abstractNumId w:val="8"/>
  </w:num>
  <w:num w:numId="27" w16cid:durableId="188179937">
    <w:abstractNumId w:val="3"/>
  </w:num>
  <w:num w:numId="28" w16cid:durableId="1654290138">
    <w:abstractNumId w:val="2"/>
  </w:num>
  <w:num w:numId="29" w16cid:durableId="207225996">
    <w:abstractNumId w:val="1"/>
  </w:num>
  <w:num w:numId="30" w16cid:durableId="1022053312">
    <w:abstractNumId w:val="0"/>
  </w:num>
  <w:num w:numId="31" w16cid:durableId="1029258248">
    <w:abstractNumId w:val="9"/>
  </w:num>
  <w:num w:numId="32" w16cid:durableId="1225142907">
    <w:abstractNumId w:val="7"/>
  </w:num>
  <w:num w:numId="33" w16cid:durableId="1129399789">
    <w:abstractNumId w:val="6"/>
  </w:num>
  <w:num w:numId="34" w16cid:durableId="1299070005">
    <w:abstractNumId w:val="5"/>
  </w:num>
  <w:num w:numId="35" w16cid:durableId="41902896">
    <w:abstractNumId w:val="4"/>
  </w:num>
  <w:num w:numId="36" w16cid:durableId="1503206456">
    <w:abstractNumId w:val="8"/>
  </w:num>
  <w:num w:numId="37" w16cid:durableId="159778569">
    <w:abstractNumId w:val="3"/>
  </w:num>
  <w:num w:numId="38" w16cid:durableId="540560851">
    <w:abstractNumId w:val="2"/>
  </w:num>
  <w:num w:numId="39" w16cid:durableId="614020097">
    <w:abstractNumId w:val="1"/>
  </w:num>
  <w:num w:numId="40" w16cid:durableId="1113285007">
    <w:abstractNumId w:val="0"/>
  </w:num>
  <w:num w:numId="41" w16cid:durableId="656344207">
    <w:abstractNumId w:val="10"/>
  </w:num>
  <w:num w:numId="42" w16cid:durableId="732241148">
    <w:abstractNumId w:val="10"/>
  </w:num>
  <w:num w:numId="43" w16cid:durableId="1466267527">
    <w:abstractNumId w:val="10"/>
  </w:num>
  <w:num w:numId="44" w16cid:durableId="5161616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8/2026"/>
    <w:docVar w:name="dvlangue" w:val="PL"/>
    <w:docVar w:name="dvnumam" w:val="0"/>
    <w:docVar w:name="dvpe" w:val="774.483"/>
    <w:docVar w:name="dvrapporteur" w:val="Sprawozdawca: "/>
    <w:docVar w:name="dvtitre" w:val="Rezolucja Parlamentu Europejskiego z dnia  2026 r. w sprawie sposobu zapewnienia zrównoważonej przyszłości unijnego sektora produkcji zwierzęcej w świetle konieczności zagwarantowania bezpieczeństwa żywnościowego, odporności rolników oraz wyzwań związanych z chorobami zwierzęcymi(2025/2053(INI))"/>
  </w:docVars>
  <w:rsids>
    <w:rsidRoot w:val="00EE4545"/>
    <w:rsid w:val="00002272"/>
    <w:rsid w:val="00064002"/>
    <w:rsid w:val="000677B9"/>
    <w:rsid w:val="000831BA"/>
    <w:rsid w:val="000A42CC"/>
    <w:rsid w:val="000D2A6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1118"/>
    <w:rsid w:val="00411CCE"/>
    <w:rsid w:val="0041666E"/>
    <w:rsid w:val="00421060"/>
    <w:rsid w:val="00465BD8"/>
    <w:rsid w:val="00471C19"/>
    <w:rsid w:val="004867E3"/>
    <w:rsid w:val="00494A28"/>
    <w:rsid w:val="004C0004"/>
    <w:rsid w:val="004C5D52"/>
    <w:rsid w:val="0050519A"/>
    <w:rsid w:val="005072A1"/>
    <w:rsid w:val="00514517"/>
    <w:rsid w:val="005344FA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AD3"/>
    <w:rsid w:val="00817416"/>
    <w:rsid w:val="008231DB"/>
    <w:rsid w:val="00842779"/>
    <w:rsid w:val="00865F67"/>
    <w:rsid w:val="00881A7B"/>
    <w:rsid w:val="008840E5"/>
    <w:rsid w:val="00887B3E"/>
    <w:rsid w:val="008B4791"/>
    <w:rsid w:val="008C2AC6"/>
    <w:rsid w:val="00930C23"/>
    <w:rsid w:val="0093193B"/>
    <w:rsid w:val="009509D8"/>
    <w:rsid w:val="00950B64"/>
    <w:rsid w:val="00981893"/>
    <w:rsid w:val="00A1687D"/>
    <w:rsid w:val="00A34F10"/>
    <w:rsid w:val="00A43E52"/>
    <w:rsid w:val="00A4678D"/>
    <w:rsid w:val="00A778C7"/>
    <w:rsid w:val="00AB441E"/>
    <w:rsid w:val="00AB6293"/>
    <w:rsid w:val="00AC1FC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7F1"/>
    <w:rsid w:val="00E820A4"/>
    <w:rsid w:val="00EB006A"/>
    <w:rsid w:val="00EB4772"/>
    <w:rsid w:val="00ED169E"/>
    <w:rsid w:val="00ED4235"/>
    <w:rsid w:val="00EE4545"/>
    <w:rsid w:val="00EF096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09F95"/>
  <w15:chartTrackingRefBased/>
  <w15:docId w15:val="{CAE3065C-55AE-4322-AB71-AED5D793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527F1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E527F1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E527F1"/>
    <w:rPr>
      <w:b/>
    </w:rPr>
  </w:style>
  <w:style w:type="character" w:customStyle="1" w:styleId="BoldItalic">
    <w:name w:val="BoldItalic"/>
    <w:uiPriority w:val="1"/>
    <w:rsid w:val="00E527F1"/>
    <w:rPr>
      <w:b/>
      <w:i/>
      <w:u w:val="none"/>
    </w:rPr>
  </w:style>
  <w:style w:type="character" w:customStyle="1" w:styleId="Italic">
    <w:name w:val="Italic"/>
    <w:uiPriority w:val="1"/>
    <w:rsid w:val="00E527F1"/>
    <w:rPr>
      <w:i/>
    </w:rPr>
  </w:style>
  <w:style w:type="paragraph" w:customStyle="1" w:styleId="Normal12a24b">
    <w:name w:val="Normal12a24b"/>
    <w:basedOn w:val="Normal"/>
    <w:rsid w:val="00E527F1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E527F1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527F1"/>
    <w:rPr>
      <w:snapToGrid w:val="0"/>
      <w:sz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impl/2020/2002/oj" TargetMode="External"/><Relationship Id="rId13" Type="http://schemas.openxmlformats.org/officeDocument/2006/relationships/hyperlink" Target="http://data.europa.eu/eli/dir/1998/58/oj" TargetMode="External"/><Relationship Id="rId18" Type="http://schemas.openxmlformats.org/officeDocument/2006/relationships/hyperlink" Target="http://data.europa.eu/eli/C/2024/2658/oj" TargetMode="External"/><Relationship Id="rId26" Type="http://schemas.openxmlformats.org/officeDocument/2006/relationships/hyperlink" Target="http://data.europa.eu/eli/reg/2011/1169/oj" TargetMode="External"/><Relationship Id="rId3" Type="http://schemas.openxmlformats.org/officeDocument/2006/relationships/hyperlink" Target="http://data.europa.eu/eli/reg/2021/2117/oj" TargetMode="External"/><Relationship Id="rId21" Type="http://schemas.openxmlformats.org/officeDocument/2006/relationships/hyperlink" Target="https://www.fao.org/global-perspectives-studies/resources/detail/en/c/1157074/" TargetMode="External"/><Relationship Id="rId7" Type="http://schemas.openxmlformats.org/officeDocument/2006/relationships/hyperlink" Target="http://data.europa.eu/eli/reg/2016/429/oj" TargetMode="External"/><Relationship Id="rId12" Type="http://schemas.openxmlformats.org/officeDocument/2006/relationships/hyperlink" Target="http://data.europa.eu/eli/reg_del/2020/687/oj" TargetMode="External"/><Relationship Id="rId17" Type="http://schemas.openxmlformats.org/officeDocument/2006/relationships/hyperlink" Target="http://data.europa.eu/eli/dec_impl/2020/1729/oj" TargetMode="External"/><Relationship Id="rId25" Type="http://schemas.openxmlformats.org/officeDocument/2006/relationships/hyperlink" Target="http://data.europa.eu/eli/dir/1991/676/oj" TargetMode="External"/><Relationship Id="rId2" Type="http://schemas.openxmlformats.org/officeDocument/2006/relationships/hyperlink" Target="http://data.europa.eu/eli/reg/2021/2116/oj" TargetMode="External"/><Relationship Id="rId16" Type="http://schemas.openxmlformats.org/officeDocument/2006/relationships/hyperlink" Target="http://data.europa.eu/eli/reg/2019/6/oj" TargetMode="External"/><Relationship Id="rId20" Type="http://schemas.openxmlformats.org/officeDocument/2006/relationships/hyperlink" Target="http://data.europa.eu/eli/C/2024/2657/oj" TargetMode="External"/><Relationship Id="rId1" Type="http://schemas.openxmlformats.org/officeDocument/2006/relationships/hyperlink" Target="http://data.europa.eu/eli/reg/2021/2115/oj" TargetMode="External"/><Relationship Id="rId6" Type="http://schemas.openxmlformats.org/officeDocument/2006/relationships/hyperlink" Target="https://agriculture.ec.europa.eu/document/download/171329ff-0f50-4fa5-946f-aea11032172e_en?filename=strategic-dialogue-report-2024_en.pdf" TargetMode="External"/><Relationship Id="rId11" Type="http://schemas.openxmlformats.org/officeDocument/2006/relationships/hyperlink" Target="http://data.europa.eu/eli/dir/2003/99/oj" TargetMode="External"/><Relationship Id="rId24" Type="http://schemas.openxmlformats.org/officeDocument/2006/relationships/hyperlink" Target="http://data.europa.eu/eli/dir/1992/43/oj" TargetMode="External"/><Relationship Id="rId5" Type="http://schemas.openxmlformats.org/officeDocument/2006/relationships/hyperlink" Target="http://data.europa.eu/eli/reg/2024/3012/oj" TargetMode="External"/><Relationship Id="rId15" Type="http://schemas.openxmlformats.org/officeDocument/2006/relationships/hyperlink" Target="http://data.europa.eu/eli/reg/2009/1099/oj" TargetMode="External"/><Relationship Id="rId23" Type="http://schemas.openxmlformats.org/officeDocument/2006/relationships/hyperlink" Target="http://data.europa.eu/eli/reg/2022/2472/oj" TargetMode="External"/><Relationship Id="rId10" Type="http://schemas.openxmlformats.org/officeDocument/2006/relationships/hyperlink" Target="http://data.europa.eu/eli/reg/2009/1069/oj" TargetMode="External"/><Relationship Id="rId19" Type="http://schemas.openxmlformats.org/officeDocument/2006/relationships/hyperlink" Target="http://data.europa.eu/eli/C/2024/483/oj" TargetMode="External"/><Relationship Id="rId4" Type="http://schemas.openxmlformats.org/officeDocument/2006/relationships/hyperlink" Target="http://data.europa.eu/eli/reg/2024/1468/oj" TargetMode="External"/><Relationship Id="rId9" Type="http://schemas.openxmlformats.org/officeDocument/2006/relationships/hyperlink" Target="http://data.europa.eu/eli/reg_del/2020/689/oj" TargetMode="External"/><Relationship Id="rId14" Type="http://schemas.openxmlformats.org/officeDocument/2006/relationships/hyperlink" Target="http://data.europa.eu/eli/reg/2005/1/oj" TargetMode="External"/><Relationship Id="rId22" Type="http://schemas.openxmlformats.org/officeDocument/2006/relationships/hyperlink" Target="https://www.ema.europa.eu/en/documents/report/european-sales-use-antimicrobials-veterinary-medicine-annual-surveillance-report-2023_en.pdf" TargetMode="External"/><Relationship Id="rId27" Type="http://schemas.openxmlformats.org/officeDocument/2006/relationships/hyperlink" Target="http://data.europa.eu/eli/reg/2016/4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34</Pages>
  <Words>13499</Words>
  <Characters>92591</Characters>
  <Application>Microsoft Office Word</Application>
  <DocSecurity>0</DocSecurity>
  <Lines>771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4</cp:revision>
  <cp:lastPrinted>2004-11-19T15:42:00Z</cp:lastPrinted>
  <dcterms:created xsi:type="dcterms:W3CDTF">2026-04-30T12:24:00Z</dcterms:created>
  <dcterms:modified xsi:type="dcterms:W3CDTF">2026-05-16T10:25:00Z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A10-0088/2026</vt:lpwstr>
  </property>
  <property fmtid="{D5CDD505-2E9C-101B-9397-08002B2CF9AE}" pid="4" name="&lt;Type&gt;">
    <vt:lpwstr>RR</vt:lpwstr>
  </property>
</Properties>
</file>