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1CA" w14:paraId="130DDBB2" w14:textId="77777777" w:rsidTr="0010095E">
        <w:trPr>
          <w:trHeight w:hRule="exact" w:val="1418"/>
        </w:trPr>
        <w:tc>
          <w:tcPr>
            <w:tcW w:w="6804" w:type="dxa"/>
            <w:shd w:val="clear" w:color="auto" w:fill="auto"/>
            <w:vAlign w:val="center"/>
          </w:tcPr>
          <w:p w14:paraId="0DF1E96C" w14:textId="77777777" w:rsidR="00751A4A" w:rsidRPr="006751CA" w:rsidRDefault="00653D11" w:rsidP="0010095E">
            <w:pPr>
              <w:pStyle w:val="EPName"/>
            </w:pPr>
            <w:r w:rsidRPr="006751CA">
              <w:t>Evropský parlament</w:t>
            </w:r>
          </w:p>
          <w:p w14:paraId="14948457" w14:textId="77777777" w:rsidR="00751A4A" w:rsidRPr="006751CA" w:rsidRDefault="005F1B17" w:rsidP="005F1B17">
            <w:pPr>
              <w:pStyle w:val="EPTerm"/>
              <w:rPr>
                <w:rStyle w:val="HideTWBExt"/>
                <w:noProof w:val="0"/>
                <w:vanish w:val="0"/>
                <w:color w:val="auto"/>
              </w:rPr>
            </w:pPr>
            <w:r w:rsidRPr="006751CA">
              <w:t>2024</w:t>
            </w:r>
            <w:r w:rsidR="00817416" w:rsidRPr="006751CA">
              <w:t>-202</w:t>
            </w:r>
            <w:r w:rsidRPr="006751CA">
              <w:t>9</w:t>
            </w:r>
          </w:p>
        </w:tc>
        <w:tc>
          <w:tcPr>
            <w:tcW w:w="2268" w:type="dxa"/>
            <w:shd w:val="clear" w:color="auto" w:fill="auto"/>
          </w:tcPr>
          <w:p w14:paraId="20A5C89C" w14:textId="77777777" w:rsidR="00751A4A" w:rsidRPr="006751CA" w:rsidRDefault="00187494" w:rsidP="0010095E">
            <w:pPr>
              <w:pStyle w:val="EPLogo"/>
            </w:pPr>
            <w:r w:rsidRPr="006751CA">
              <w:rPr>
                <w:noProof/>
                <w:lang w:eastAsia="ja-JP"/>
              </w:rPr>
              <w:drawing>
                <wp:inline distT="0" distB="0" distL="0" distR="0" wp14:anchorId="23A0ED51" wp14:editId="6FBD06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5B1F909" w14:textId="77777777" w:rsidR="00D058B8" w:rsidRPr="006751CA" w:rsidRDefault="00D058B8" w:rsidP="004C5D52">
      <w:pPr>
        <w:pStyle w:val="LineTop"/>
      </w:pPr>
    </w:p>
    <w:p w14:paraId="67AB78AD" w14:textId="77777777" w:rsidR="00680577" w:rsidRPr="006751CA" w:rsidRDefault="00653D11" w:rsidP="00680577">
      <w:pPr>
        <w:pStyle w:val="EPBodyTA1"/>
      </w:pPr>
      <w:r w:rsidRPr="006751CA">
        <w:t>PŘIJATÉ TEXTY</w:t>
      </w:r>
    </w:p>
    <w:p w14:paraId="38417DB5" w14:textId="77777777" w:rsidR="00D058B8" w:rsidRPr="006751CA" w:rsidRDefault="00D058B8" w:rsidP="00D058B8">
      <w:pPr>
        <w:pStyle w:val="LineBottom"/>
      </w:pPr>
    </w:p>
    <w:p w14:paraId="43806212" w14:textId="38ABE4B0" w:rsidR="00653D11" w:rsidRPr="006751CA" w:rsidRDefault="00653D11" w:rsidP="00653D11">
      <w:pPr>
        <w:pStyle w:val="ATHeading1"/>
      </w:pPr>
      <w:bookmarkStart w:id="0" w:name="TANumber"/>
      <w:r w:rsidRPr="006751CA">
        <w:t>P10_TA(2026)0</w:t>
      </w:r>
      <w:bookmarkEnd w:id="0"/>
      <w:r w:rsidR="00B86AB3">
        <w:t>159</w:t>
      </w:r>
    </w:p>
    <w:p w14:paraId="2F3F13CC" w14:textId="77777777" w:rsidR="00653D11" w:rsidRPr="006751CA" w:rsidRDefault="00653D11" w:rsidP="00653D11">
      <w:pPr>
        <w:pStyle w:val="ATHeading2"/>
      </w:pPr>
      <w:bookmarkStart w:id="1" w:name="title"/>
      <w:r w:rsidRPr="006751CA">
        <w:t>Bankovní unie – výroční zpráva za rok 2025</w:t>
      </w:r>
      <w:bookmarkEnd w:id="1"/>
    </w:p>
    <w:p w14:paraId="21E748FC" w14:textId="77777777" w:rsidR="00653D11" w:rsidRPr="006751CA" w:rsidRDefault="00653D11" w:rsidP="00653D11">
      <w:pPr>
        <w:rPr>
          <w:i/>
          <w:vanish/>
        </w:rPr>
      </w:pPr>
      <w:r w:rsidRPr="006751CA">
        <w:rPr>
          <w:i/>
        </w:rPr>
        <w:fldChar w:fldCharType="begin"/>
      </w:r>
      <w:r w:rsidRPr="006751CA">
        <w:rPr>
          <w:i/>
        </w:rPr>
        <w:instrText xml:space="preserve"> TC"(</w:instrText>
      </w:r>
      <w:bookmarkStart w:id="2" w:name="DocNumber"/>
      <w:r w:rsidRPr="006751CA">
        <w:rPr>
          <w:i/>
        </w:rPr>
        <w:instrText>A10-0079/2026</w:instrText>
      </w:r>
      <w:bookmarkEnd w:id="2"/>
      <w:r w:rsidRPr="006751CA">
        <w:rPr>
          <w:i/>
        </w:rPr>
        <w:instrText xml:space="preserve"> - Zpravodajka: Evelyn Regner)"\l3 \n&gt; \* MERGEFORMAT </w:instrText>
      </w:r>
      <w:r w:rsidRPr="006751CA">
        <w:rPr>
          <w:i/>
        </w:rPr>
        <w:fldChar w:fldCharType="end"/>
      </w:r>
    </w:p>
    <w:p w14:paraId="40E7B726" w14:textId="77777777" w:rsidR="00653D11" w:rsidRPr="006751CA" w:rsidRDefault="00653D11" w:rsidP="00653D11">
      <w:pPr>
        <w:rPr>
          <w:vanish/>
        </w:rPr>
      </w:pPr>
      <w:bookmarkStart w:id="3" w:name="Commission"/>
      <w:r w:rsidRPr="006751CA">
        <w:rPr>
          <w:vanish/>
        </w:rPr>
        <w:t>Hospodářský a měnový výbor</w:t>
      </w:r>
      <w:bookmarkEnd w:id="3"/>
    </w:p>
    <w:p w14:paraId="146A1136" w14:textId="77777777" w:rsidR="00653D11" w:rsidRPr="006751CA" w:rsidRDefault="00653D11" w:rsidP="00653D11">
      <w:pPr>
        <w:rPr>
          <w:vanish/>
        </w:rPr>
      </w:pPr>
      <w:bookmarkStart w:id="4" w:name="PE"/>
      <w:r w:rsidRPr="006751CA">
        <w:rPr>
          <w:vanish/>
        </w:rPr>
        <w:t>PE779.660</w:t>
      </w:r>
      <w:bookmarkEnd w:id="4"/>
    </w:p>
    <w:p w14:paraId="44230761" w14:textId="0C8578DD" w:rsidR="00653D11" w:rsidRPr="006751CA" w:rsidRDefault="00653D11" w:rsidP="00653D11">
      <w:pPr>
        <w:pStyle w:val="ATHeading3"/>
      </w:pPr>
      <w:bookmarkStart w:id="5" w:name="Sujet"/>
      <w:r w:rsidRPr="006751CA">
        <w:t>Usnesení Evropského parlamentu ze dne</w:t>
      </w:r>
      <w:r w:rsidR="00612E70">
        <w:t xml:space="preserve"> ze dne 30. dubna</w:t>
      </w:r>
      <w:r w:rsidRPr="006751CA">
        <w:t xml:space="preserve"> 2026 o bankovní unii – výroční zpráva za rok 2025</w:t>
      </w:r>
      <w:bookmarkEnd w:id="5"/>
      <w:r w:rsidRPr="006751CA">
        <w:t xml:space="preserve"> </w:t>
      </w:r>
      <w:bookmarkStart w:id="6" w:name="References"/>
      <w:r w:rsidRPr="006751CA">
        <w:t>(2025/2136(INI))</w:t>
      </w:r>
      <w:bookmarkEnd w:id="6"/>
    </w:p>
    <w:p w14:paraId="5E8CCDC1" w14:textId="77777777" w:rsidR="004C6DEC" w:rsidRPr="00612E70" w:rsidRDefault="004C6DEC" w:rsidP="00612E70">
      <w:pPr>
        <w:pStyle w:val="Normal12"/>
        <w:spacing w:before="360"/>
        <w:rPr>
          <w:i/>
          <w:iCs/>
        </w:rPr>
      </w:pPr>
      <w:r w:rsidRPr="00612E70">
        <w:rPr>
          <w:i/>
          <w:iCs/>
        </w:rPr>
        <w:t>Evropský parlament,</w:t>
      </w:r>
    </w:p>
    <w:p w14:paraId="5ABE4C71" w14:textId="77777777" w:rsidR="004C6DEC" w:rsidRPr="006751CA" w:rsidRDefault="004C6DEC" w:rsidP="004C6DEC">
      <w:pPr>
        <w:pStyle w:val="NormalHanging"/>
      </w:pPr>
      <w:r w:rsidRPr="006751CA">
        <w:t>–</w:t>
      </w:r>
      <w:r w:rsidRPr="006751CA">
        <w:tab/>
        <w:t>s ohledem na své usnesení ze dne 8. května 2025 o bankovní unii – výroční zpráva za rok 2024</w:t>
      </w:r>
      <w:r w:rsidRPr="006751CA">
        <w:rPr>
          <w:rStyle w:val="FootnoteReference"/>
        </w:rPr>
        <w:footnoteReference w:customMarkFollows="1" w:id="1"/>
        <w:t>1</w:t>
      </w:r>
      <w:r w:rsidRPr="006751CA">
        <w:t>,</w:t>
      </w:r>
    </w:p>
    <w:p w14:paraId="51875EAC" w14:textId="77777777" w:rsidR="004C6DEC" w:rsidRPr="006751CA" w:rsidRDefault="004C6DEC" w:rsidP="004C6DEC">
      <w:pPr>
        <w:pStyle w:val="NormalHanging"/>
      </w:pPr>
      <w:r w:rsidRPr="006751CA">
        <w:t>–</w:t>
      </w:r>
      <w:r w:rsidRPr="006751CA">
        <w:tab/>
        <w:t>s ohledem na opatření Komise v návaznosti na usnesení Parlamentu ze dne 8. května 2025 o bankovní unii – výroční zpráva za rok 2024,</w:t>
      </w:r>
    </w:p>
    <w:p w14:paraId="5147BB3C" w14:textId="77777777" w:rsidR="004C6DEC" w:rsidRPr="006751CA" w:rsidRDefault="004C6DEC" w:rsidP="004C6DEC">
      <w:pPr>
        <w:pStyle w:val="NormalHanging"/>
      </w:pPr>
      <w:r w:rsidRPr="006751CA">
        <w:t>–</w:t>
      </w:r>
      <w:r w:rsidRPr="006751CA">
        <w:tab/>
        <w:t>s ohledem na dokument zveřejněný Evropskou centrální bankou (ECB) s názvem „Feedback on the European Parliament’s resolution on Banking Union – annual report 2024“ (Odpověď na usnesení Evropského parlamentu o bankovní unii – výroční zpráva za rok 2024),</w:t>
      </w:r>
    </w:p>
    <w:p w14:paraId="47E6C2F7" w14:textId="77777777" w:rsidR="004C6DEC" w:rsidRPr="006751CA" w:rsidRDefault="004C6DEC" w:rsidP="004C6DEC">
      <w:pPr>
        <w:pStyle w:val="NormalHanging"/>
      </w:pPr>
      <w:r w:rsidRPr="006751CA">
        <w:t>–</w:t>
      </w:r>
      <w:r w:rsidRPr="006751CA">
        <w:tab/>
        <w:t>s ohledem na výroční zprávu ECB o činnosti dohledu za rok 2024, která byla zveřejněna dne 28. dubna 2025,</w:t>
      </w:r>
    </w:p>
    <w:p w14:paraId="7AD25338" w14:textId="77777777" w:rsidR="004C6DEC" w:rsidRPr="006751CA" w:rsidRDefault="004C6DEC" w:rsidP="004C6DEC">
      <w:pPr>
        <w:pStyle w:val="NormalHanging"/>
      </w:pPr>
      <w:r w:rsidRPr="006751CA">
        <w:t>–</w:t>
      </w:r>
      <w:r w:rsidRPr="006751CA">
        <w:tab/>
        <w:t>s ohledem na výroční zprávu Jednotného výboru pro řešení krizí (SRB) za rok 2024, která byla zveřejněna dne 26. června 2025,</w:t>
      </w:r>
    </w:p>
    <w:p w14:paraId="71CF9536" w14:textId="77777777" w:rsidR="004C6DEC" w:rsidRPr="006751CA" w:rsidRDefault="004C6DEC" w:rsidP="004C6DEC">
      <w:pPr>
        <w:pStyle w:val="NormalHanging"/>
      </w:pPr>
      <w:r w:rsidRPr="006751CA">
        <w:lastRenderedPageBreak/>
        <w:t>–</w:t>
      </w:r>
      <w:r w:rsidRPr="006751CA">
        <w:tab/>
        <w:t>s ohledem na přijetí směrnice o boji proti praní peněz (AMLD)</w:t>
      </w:r>
      <w:r w:rsidRPr="006751CA">
        <w:rPr>
          <w:rStyle w:val="FootnoteReference"/>
        </w:rPr>
        <w:footnoteReference w:customMarkFollows="1" w:id="2"/>
        <w:t>2</w:t>
      </w:r>
      <w:r w:rsidRPr="006751CA">
        <w:t xml:space="preserve"> a nařízení o boji proti praní peněz (AMLR)</w:t>
      </w:r>
      <w:r w:rsidRPr="006751CA">
        <w:rPr>
          <w:rStyle w:val="FootnoteReference"/>
        </w:rPr>
        <w:footnoteReference w:customMarkFollows="1" w:id="3"/>
        <w:t>3</w:t>
      </w:r>
      <w:r w:rsidRPr="006751CA">
        <w:t>a na zřízení Orgánu pro boj proti praní peněz (AMLA)</w:t>
      </w:r>
      <w:r w:rsidRPr="006751CA">
        <w:rPr>
          <w:rStyle w:val="FootnoteReference"/>
        </w:rPr>
        <w:footnoteReference w:customMarkFollows="1" w:id="4"/>
        <w:t>4</w:t>
      </w:r>
      <w:r w:rsidRPr="006751CA">
        <w:t>,</w:t>
      </w:r>
    </w:p>
    <w:p w14:paraId="439C1AD9" w14:textId="77777777" w:rsidR="004C6DEC" w:rsidRPr="006751CA" w:rsidRDefault="004C6DEC" w:rsidP="004C6DEC">
      <w:pPr>
        <w:pStyle w:val="NormalHanging"/>
      </w:pPr>
      <w:r w:rsidRPr="006751CA">
        <w:t>–</w:t>
      </w:r>
      <w:r w:rsidRPr="006751CA">
        <w:tab/>
        <w:t>s ohledem na provádění standardů Basel III, zejména na přijetí změn směrnice o kapitálových požadavcích</w:t>
      </w:r>
      <w:r w:rsidRPr="006751CA">
        <w:rPr>
          <w:rStyle w:val="FootnoteReference"/>
        </w:rPr>
        <w:footnoteReference w:customMarkFollows="1" w:id="5"/>
        <w:t>5</w:t>
      </w:r>
      <w:r w:rsidRPr="006751CA">
        <w:t xml:space="preserve"> a nařízení o kapitálových požadavcích</w:t>
      </w:r>
      <w:r w:rsidRPr="006751CA">
        <w:rPr>
          <w:rStyle w:val="FootnoteReference"/>
        </w:rPr>
        <w:footnoteReference w:customMarkFollows="1" w:id="6"/>
        <w:t>6</w:t>
      </w:r>
      <w:r w:rsidRPr="006751CA">
        <w:t>,</w:t>
      </w:r>
    </w:p>
    <w:p w14:paraId="56BED5C4" w14:textId="77777777" w:rsidR="004C6DEC" w:rsidRPr="006751CA" w:rsidRDefault="004C6DEC" w:rsidP="004C6DEC">
      <w:pPr>
        <w:pStyle w:val="NormalHanging"/>
      </w:pPr>
      <w:r w:rsidRPr="006751CA">
        <w:t>–</w:t>
      </w:r>
      <w:r w:rsidRPr="006751CA">
        <w:tab/>
        <w:t>s ohledem na přijetí nařízení Komise v přenesené pravomoci (EU) 2024/2795 ze dne 24. července 2024, kterým se mění nařízení Evropského parlamentu a Rady (EU) č. 575/2013, pokud jde o datum použitelnosti kapitálových požadavků k tržnímu riziku</w:t>
      </w:r>
      <w:r w:rsidRPr="006751CA">
        <w:rPr>
          <w:rStyle w:val="FootnoteReference"/>
        </w:rPr>
        <w:footnoteReference w:customMarkFollows="1" w:id="7"/>
        <w:t>7</w:t>
      </w:r>
      <w:r w:rsidRPr="006751CA">
        <w:t>,</w:t>
      </w:r>
    </w:p>
    <w:p w14:paraId="721B9F5C" w14:textId="77777777" w:rsidR="004C6DEC" w:rsidRPr="006751CA" w:rsidRDefault="004C6DEC" w:rsidP="004C6DEC">
      <w:pPr>
        <w:pStyle w:val="NormalHanging"/>
      </w:pPr>
      <w:r w:rsidRPr="006751CA">
        <w:t>–</w:t>
      </w:r>
      <w:r w:rsidRPr="006751CA">
        <w:tab/>
        <w:t>s ohledem na svůj postoj v prvním čtení ze dne 24. dubna 2024 k návrhu nařízení Evropského parlamentu a Rady, kterým se mění nařízení (EU) č. 806/2014, pokud jde o opatření včasného zásahu, podmínky zahájení řešení krize a financování opatření k řešení krize</w:t>
      </w:r>
      <w:r w:rsidRPr="006751CA">
        <w:rPr>
          <w:rStyle w:val="FootnoteReference"/>
        </w:rPr>
        <w:footnoteReference w:customMarkFollows="1" w:id="8"/>
        <w:t>8</w:t>
      </w:r>
      <w:r w:rsidRPr="006751CA">
        <w:t>,</w:t>
      </w:r>
    </w:p>
    <w:p w14:paraId="28BD807D" w14:textId="77777777" w:rsidR="004C6DEC" w:rsidRPr="006751CA" w:rsidRDefault="004C6DEC" w:rsidP="004C6DEC">
      <w:pPr>
        <w:pStyle w:val="NormalHanging"/>
      </w:pPr>
      <w:r w:rsidRPr="006751CA">
        <w:t>–</w:t>
      </w:r>
      <w:r w:rsidRPr="006751CA">
        <w:tab/>
        <w:t>s ohledem na svůj postoj v prvním čtení ze dne 24. dubna 2024 k návrhu směrnice Evropského parlamentu a Rady, kterou se mění směrnice 2014/59/EU, pokud jde o opatření včasného zásahu, podmínky zahájení řešení krize a financování opatření k řešení krize</w:t>
      </w:r>
      <w:r w:rsidRPr="006751CA">
        <w:rPr>
          <w:rStyle w:val="FootnoteReference"/>
        </w:rPr>
        <w:footnoteReference w:customMarkFollows="1" w:id="9"/>
        <w:t>9</w:t>
      </w:r>
      <w:r w:rsidRPr="006751CA">
        <w:t>,</w:t>
      </w:r>
    </w:p>
    <w:p w14:paraId="08F6FCD4" w14:textId="77777777" w:rsidR="004C6DEC" w:rsidRPr="006751CA" w:rsidRDefault="004C6DEC" w:rsidP="004C6DEC">
      <w:pPr>
        <w:pStyle w:val="NormalHanging"/>
      </w:pPr>
      <w:r w:rsidRPr="006751CA">
        <w:t>–</w:t>
      </w:r>
      <w:r w:rsidRPr="006751CA">
        <w:tab/>
        <w:t>s ohledem na svůj postoj v prvním čtení ze dne 24. dubna 2024 k návrhu směrnice Evropského parlamentu a Rady, kterou se mění směrnice 2014/49/EU, pokud jde o rozsah ochrany vkladů, použití finančních prostředků systémů pojištění vkladů, přeshraniční spolupráci a transparentnost</w:t>
      </w:r>
      <w:r w:rsidRPr="006751CA">
        <w:rPr>
          <w:rStyle w:val="FootnoteReference"/>
        </w:rPr>
        <w:footnoteReference w:customMarkFollows="1" w:id="10"/>
        <w:t>10</w:t>
      </w:r>
      <w:r w:rsidRPr="006751CA">
        <w:t>,</w:t>
      </w:r>
    </w:p>
    <w:p w14:paraId="064DF416" w14:textId="77777777" w:rsidR="004C6DEC" w:rsidRPr="006751CA" w:rsidRDefault="004C6DEC" w:rsidP="004C6DEC">
      <w:pPr>
        <w:pStyle w:val="NormalHanging"/>
      </w:pPr>
      <w:r w:rsidRPr="006751CA">
        <w:lastRenderedPageBreak/>
        <w:t>–</w:t>
      </w:r>
      <w:r w:rsidRPr="006751CA">
        <w:tab/>
        <w:t>s ohledem na zprávu Hospodářského a měnového výboru ze dne 23. dubna 2024 o návrhu nařízení Evropského parlamentu a Rady, kterým se mění nařízení (EU) č. 806/2014 za účelem zřízení evropského systému pojištění vkladů (EDIS),</w:t>
      </w:r>
    </w:p>
    <w:p w14:paraId="7799A3C4" w14:textId="0CD9335E" w:rsidR="004C6DEC" w:rsidRPr="006751CA" w:rsidRDefault="004C6DEC" w:rsidP="004C6DEC">
      <w:pPr>
        <w:pStyle w:val="NormalHanging"/>
      </w:pPr>
      <w:r w:rsidRPr="006751CA">
        <w:t>–</w:t>
      </w:r>
      <w:r w:rsidRPr="006751CA">
        <w:tab/>
        <w:t>s ohledem na sdělení Komise nazvané „Unie úspor a investic: Strategie na podporu bohatství občanů a hospodářské konkurenceschopnosti v EU“ (</w:t>
      </w:r>
      <w:hyperlink r:id="rId9" w:tgtFrame="https://eur-lex.europa.eu/legal-content/EN/ALL/?uri=CELEX:52025DC0124" w:history="1">
        <w:r w:rsidRPr="00612E70">
          <w:t>COM(2025)0124</w:t>
        </w:r>
      </w:hyperlink>
      <w:r w:rsidRPr="006751CA">
        <w:t>),</w:t>
      </w:r>
    </w:p>
    <w:p w14:paraId="5C2C83BF" w14:textId="77777777" w:rsidR="004C6DEC" w:rsidRPr="006751CA" w:rsidRDefault="004C6DEC" w:rsidP="004C6DEC">
      <w:pPr>
        <w:pStyle w:val="NormalHanging"/>
      </w:pPr>
      <w:r w:rsidRPr="006751CA">
        <w:t>–</w:t>
      </w:r>
      <w:r w:rsidRPr="006751CA">
        <w:tab/>
        <w:t>s ohledem na zprávu Enrica Letty ze dne 10. dubna 2024 nazvanou „Much more than a market – Speed, security, solidarity: empowering the Single Market to deliver a sustainable future and prosperity for all EU Citizens“ (Mnohem více než jen trh – rychlost, bezpečnost, solidarita: posílení jednotného trhu v zájmu zajištění udržitelné budoucnosti a prosperity pro všechny občany EU),</w:t>
      </w:r>
    </w:p>
    <w:p w14:paraId="32C725CE" w14:textId="77777777" w:rsidR="004C6DEC" w:rsidRPr="006751CA" w:rsidRDefault="004C6DEC" w:rsidP="004C6DEC">
      <w:pPr>
        <w:pStyle w:val="NormalHanging"/>
      </w:pPr>
      <w:r w:rsidRPr="006751CA">
        <w:t>–</w:t>
      </w:r>
      <w:r w:rsidRPr="006751CA">
        <w:tab/>
        <w:t>s ohledem na zprávu Maria Draghiho ze dne 9. září 2024 nazvanou „The future of European competitiveness“ (Budoucnost evropské konkurenceschopnosti),</w:t>
      </w:r>
    </w:p>
    <w:p w14:paraId="1D022D80" w14:textId="77777777" w:rsidR="004C6DEC" w:rsidRPr="006751CA" w:rsidRDefault="004C6DEC" w:rsidP="004C6DEC">
      <w:pPr>
        <w:pStyle w:val="NormalHanging"/>
      </w:pPr>
      <w:r w:rsidRPr="006751CA">
        <w:t>–</w:t>
      </w:r>
      <w:r w:rsidRPr="006751CA">
        <w:tab/>
        <w:t>s ohledem na prohlášení Euroskupiny ze dne 11. března 2024 o budoucnosti unie kapitálových trhů a na prohlášení Euroskupiny ze dne 16. června 2022 o budoucnosti bankovní unie a na navazující opatření Euroskupiny ze dne 28. dubna 2023,</w:t>
      </w:r>
    </w:p>
    <w:p w14:paraId="77983CEC" w14:textId="77777777" w:rsidR="004C6DEC" w:rsidRPr="006751CA" w:rsidRDefault="004C6DEC" w:rsidP="004C6DEC">
      <w:pPr>
        <w:pStyle w:val="NormalHanging"/>
      </w:pPr>
      <w:r w:rsidRPr="006751CA">
        <w:t>–</w:t>
      </w:r>
      <w:r w:rsidRPr="006751CA">
        <w:tab/>
        <w:t>s ohledem na publikace Basilejského výboru pro bankovní dohled nazvané „Disclosure of cryptoasset exposures“ (Zpřístupňování informací o expozicích vůči kryptoaktivům) a „Cryptoasset standard amendments“ (Změny standardů pro kryptoaktiva), které byly obě zveřejněny dne 17. července 2024,</w:t>
      </w:r>
    </w:p>
    <w:p w14:paraId="26661722" w14:textId="77777777" w:rsidR="004C6DEC" w:rsidRPr="006751CA" w:rsidRDefault="004C6DEC" w:rsidP="004C6DEC">
      <w:pPr>
        <w:pStyle w:val="NormalHanging"/>
      </w:pPr>
      <w:r w:rsidRPr="006751CA">
        <w:t>–</w:t>
      </w:r>
      <w:r w:rsidRPr="006751CA">
        <w:tab/>
        <w:t>s ohledem na publikaci Basilejského výboru pro bankovní dohled ze dne 25. dubna 2024 s názvem „Core Principles for effective banking supervision“ (Hlavní zásady pro účinný bankovní dohled),</w:t>
      </w:r>
    </w:p>
    <w:p w14:paraId="35922E52" w14:textId="77777777" w:rsidR="004C6DEC" w:rsidRPr="006751CA" w:rsidRDefault="004C6DEC" w:rsidP="004C6DEC">
      <w:pPr>
        <w:pStyle w:val="NormalHanging"/>
      </w:pPr>
      <w:r w:rsidRPr="006751CA">
        <w:t>–</w:t>
      </w:r>
      <w:r w:rsidRPr="006751CA">
        <w:tab/>
        <w:t>s ohledem na zprávu o finanční stabilitě ECB ze dne 17. listopadu 2025,</w:t>
      </w:r>
    </w:p>
    <w:p w14:paraId="4407D7C1" w14:textId="77777777" w:rsidR="004C6DEC" w:rsidRPr="006751CA" w:rsidRDefault="004C6DEC" w:rsidP="004C6DEC">
      <w:pPr>
        <w:pStyle w:val="NormalHanging"/>
      </w:pPr>
      <w:r w:rsidRPr="006751CA">
        <w:t>–</w:t>
      </w:r>
      <w:r w:rsidRPr="006751CA">
        <w:tab/>
        <w:t>s ohledem na publikaci Rady pro finanční stabilitu ze dne 9. listopadu 2015 s názvem „Principles on Loss-absorbing and Recapitalisation Capacity of G-SIBs in Resolution“ (Zásady týkající se schopnosti bank systémového významu absorbovat ztráty a rekapitalizovat při řešení krize),</w:t>
      </w:r>
    </w:p>
    <w:p w14:paraId="7BECEA64" w14:textId="77777777" w:rsidR="004C6DEC" w:rsidRPr="006751CA" w:rsidRDefault="004C6DEC" w:rsidP="004C6DEC">
      <w:pPr>
        <w:pStyle w:val="NormalHanging"/>
      </w:pPr>
      <w:r w:rsidRPr="006751CA">
        <w:t>–</w:t>
      </w:r>
      <w:r w:rsidRPr="006751CA">
        <w:tab/>
        <w:t>s ohledem na zprávu Rady pro finanční stabilitu ze dne 10. října 2023 nazvanou „2023 Bank Failures – Preliminary lessons learnt for resolution“ (Úpadky bank v roce 2023: Předběžné poznatky pro řešení),</w:t>
      </w:r>
    </w:p>
    <w:p w14:paraId="4AE8F204" w14:textId="77777777" w:rsidR="004C6DEC" w:rsidRPr="006751CA" w:rsidRDefault="004C6DEC" w:rsidP="004C6DEC">
      <w:pPr>
        <w:pStyle w:val="NormalHanging"/>
      </w:pPr>
      <w:r w:rsidRPr="006751CA">
        <w:t>–</w:t>
      </w:r>
      <w:r w:rsidRPr="006751CA">
        <w:tab/>
        <w:t>s ohledem na priority jednotného mechanismu dohledu v oblasti dohledu na období 2025–2027,</w:t>
      </w:r>
    </w:p>
    <w:p w14:paraId="65996EAC" w14:textId="77777777" w:rsidR="004C6DEC" w:rsidRPr="006751CA" w:rsidRDefault="004C6DEC" w:rsidP="004C6DEC">
      <w:pPr>
        <w:pStyle w:val="NormalHanging"/>
      </w:pPr>
      <w:r w:rsidRPr="006751CA">
        <w:t>–</w:t>
      </w:r>
      <w:r w:rsidRPr="006751CA">
        <w:tab/>
        <w:t>s ohledem na pololetní zprávu výboru SRB pro Euroskupinu z listopadu 2025,</w:t>
      </w:r>
    </w:p>
    <w:p w14:paraId="4A37B9EA" w14:textId="77777777" w:rsidR="004C6DEC" w:rsidRPr="006751CA" w:rsidRDefault="004C6DEC" w:rsidP="004C6DEC">
      <w:pPr>
        <w:pStyle w:val="NormalHanging"/>
      </w:pPr>
      <w:r w:rsidRPr="006751CA">
        <w:t>–</w:t>
      </w:r>
      <w:r w:rsidRPr="006751CA">
        <w:tab/>
        <w:t>s ohledem na zprávu Basilejského výboru pro bankovní dohled ze dne 10. července 2025 nazvanou „Banks interconnections with non-bank financial intermediaries“ (Propojení bank s nebankovními finančními zprostředkovateli),</w:t>
      </w:r>
    </w:p>
    <w:p w14:paraId="56E42265" w14:textId="77777777" w:rsidR="004C6DEC" w:rsidRPr="006751CA" w:rsidRDefault="004C6DEC" w:rsidP="004C6DEC">
      <w:pPr>
        <w:pStyle w:val="NormalHanging"/>
      </w:pPr>
      <w:r w:rsidRPr="006751CA">
        <w:t>–</w:t>
      </w:r>
      <w:r w:rsidRPr="006751CA">
        <w:tab/>
        <w:t>s ohledem na celounijní přezkum transparentnosti za rok 2025, jehož výsledek Evropský orgán pro bankovnictví zveřejnil v prosinci 2025,</w:t>
      </w:r>
    </w:p>
    <w:p w14:paraId="0908551C" w14:textId="47F66E50" w:rsidR="004C6DEC" w:rsidRPr="006751CA" w:rsidRDefault="004C6DEC" w:rsidP="004C6DEC">
      <w:pPr>
        <w:pStyle w:val="NormalHanging"/>
      </w:pPr>
      <w:r w:rsidRPr="006751CA">
        <w:lastRenderedPageBreak/>
        <w:t>–</w:t>
      </w:r>
      <w:r w:rsidRPr="006751CA">
        <w:tab/>
        <w:t xml:space="preserve">s ohledem na zprávu Evropského účetního dvora </w:t>
      </w:r>
      <w:r w:rsidR="00CF04B3">
        <w:t xml:space="preserve">12/2023 </w:t>
      </w:r>
      <w:r w:rsidRPr="006751CA">
        <w:t>ze dne 12. května 2023 nazvanou „Dohled EU nad úvěrovým rizikem bank – ECB vystupňovala své úsilí, avšak je zapotřebí dalších kroků, aby se zvýšila jistota, že je úvěrové riziko řádně řízeno a kryto“,</w:t>
      </w:r>
    </w:p>
    <w:p w14:paraId="1FB5D38A" w14:textId="77777777" w:rsidR="004C6DEC" w:rsidRPr="006751CA" w:rsidRDefault="004C6DEC" w:rsidP="004C6DEC">
      <w:pPr>
        <w:pStyle w:val="NormalHanging"/>
      </w:pPr>
      <w:r w:rsidRPr="006751CA">
        <w:t>–</w:t>
      </w:r>
      <w:r w:rsidRPr="006751CA">
        <w:tab/>
        <w:t>s ohledem na prohlášení předsedkyně Rady dohledu ECB Claudie Buchové na slyšeních pořádaných Hospodářským a měnovým výborem Parlamentu ve dnech 27. března 2025, 15. července 2025 a 5. listopadu 2025,</w:t>
      </w:r>
    </w:p>
    <w:p w14:paraId="1D8109BC" w14:textId="77777777" w:rsidR="004C6DEC" w:rsidRPr="006751CA" w:rsidRDefault="004C6DEC" w:rsidP="004C6DEC">
      <w:pPr>
        <w:pStyle w:val="NormalHanging"/>
      </w:pPr>
      <w:r w:rsidRPr="006751CA">
        <w:t>–</w:t>
      </w:r>
      <w:r w:rsidRPr="006751CA">
        <w:tab/>
        <w:t>s ohledem na prohlášení předsedy Jednotného výboru pro řešení krizí Dominiqua Laboureixe na slyšeních pořádaných Hospodářským a měnovým výborem Parlamentu ve dnech 3. března 2025, 15. července 2025 a 5. listopadu 2025,</w:t>
      </w:r>
    </w:p>
    <w:p w14:paraId="7A5F3867" w14:textId="77777777" w:rsidR="004C6DEC" w:rsidRPr="006751CA" w:rsidRDefault="004C6DEC" w:rsidP="004C6DEC">
      <w:pPr>
        <w:pStyle w:val="NormalHanging"/>
      </w:pPr>
      <w:r w:rsidRPr="006751CA">
        <w:t>–</w:t>
      </w:r>
      <w:r w:rsidRPr="006751CA">
        <w:tab/>
        <w:t>s ohledem na zprávy o posouzení rizik Evropského orgánu pro bankovnictví z června 2025,</w:t>
      </w:r>
    </w:p>
    <w:p w14:paraId="3203AFB8" w14:textId="77777777" w:rsidR="004C6DEC" w:rsidRPr="006751CA" w:rsidRDefault="004C6DEC" w:rsidP="004C6DEC">
      <w:pPr>
        <w:pStyle w:val="NormalHanging"/>
      </w:pPr>
      <w:r w:rsidRPr="006751CA">
        <w:t>–</w:t>
      </w:r>
      <w:r w:rsidRPr="006751CA">
        <w:tab/>
        <w:t>s ohledem na své usnesení ze dne 14. března 2019 o genderové vyváženosti při navrhování kandidátů v oblasti hospodářských a měnových záležitostí EU</w:t>
      </w:r>
      <w:r w:rsidRPr="006751CA">
        <w:rPr>
          <w:rStyle w:val="FootnoteReference"/>
        </w:rPr>
        <w:footnoteReference w:customMarkFollows="1" w:id="11"/>
        <w:t>11</w:t>
      </w:r>
      <w:r w:rsidRPr="006751CA">
        <w:t>,</w:t>
      </w:r>
    </w:p>
    <w:p w14:paraId="5278F9B0" w14:textId="77777777" w:rsidR="004C6DEC" w:rsidRPr="006751CA" w:rsidRDefault="004C6DEC" w:rsidP="004C6DEC">
      <w:pPr>
        <w:pStyle w:val="NormalHanging"/>
      </w:pPr>
      <w:r w:rsidRPr="006751CA">
        <w:t>–</w:t>
      </w:r>
      <w:r w:rsidRPr="006751CA">
        <w:tab/>
        <w:t>s ohledem na své usnesení ze dne 25. března 2021 o posílení mezinárodní úlohy eura</w:t>
      </w:r>
      <w:r w:rsidRPr="006751CA">
        <w:rPr>
          <w:rStyle w:val="FootnoteReference"/>
        </w:rPr>
        <w:footnoteReference w:customMarkFollows="1" w:id="12"/>
        <w:t>12</w:t>
      </w:r>
      <w:r w:rsidRPr="006751CA">
        <w:t>,</w:t>
      </w:r>
    </w:p>
    <w:p w14:paraId="060FB899" w14:textId="77777777" w:rsidR="004C6DEC" w:rsidRPr="006751CA" w:rsidRDefault="004C6DEC" w:rsidP="004C6DEC">
      <w:pPr>
        <w:pStyle w:val="NormalHanging"/>
      </w:pPr>
      <w:r w:rsidRPr="006751CA">
        <w:t>–</w:t>
      </w:r>
      <w:r w:rsidRPr="006751CA">
        <w:tab/>
        <w:t>s ohledem na článek 55 jednacího řádu,</w:t>
      </w:r>
    </w:p>
    <w:p w14:paraId="24296906" w14:textId="77777777" w:rsidR="004C6DEC" w:rsidRPr="006751CA" w:rsidRDefault="004C6DEC" w:rsidP="004C6DEC">
      <w:pPr>
        <w:pStyle w:val="NormalHanging"/>
      </w:pPr>
      <w:r w:rsidRPr="006751CA">
        <w:t>–</w:t>
      </w:r>
      <w:r w:rsidRPr="006751CA">
        <w:tab/>
        <w:t>s ohledem na zprávu Hospodářského a měnového výboru (A10-0079/2026),</w:t>
      </w:r>
    </w:p>
    <w:p w14:paraId="63AEE1CC" w14:textId="77777777" w:rsidR="004C6DEC" w:rsidRPr="006751CA" w:rsidRDefault="004C6DEC" w:rsidP="004C6DEC">
      <w:pPr>
        <w:pStyle w:val="NormalHanging"/>
      </w:pPr>
      <w:r w:rsidRPr="006751CA">
        <w:t>A.</w:t>
      </w:r>
      <w:r w:rsidRPr="006751CA">
        <w:tab/>
        <w:t>vzhledem k tomu, že cílem bankovní unie je zajistit bankovní stabilitu, a tím i finanční systém, vyhnout se rekapitalizacím z prostředků daňových poplatníků, posílit odolnost, umožnit řádné řešení krizí, snížit roztříštěnost trhu, zlepšit ochranu vkladatelů a zvýšit konkurenceschopnost, přeshraniční činnost a přístup k financování, a tím snížit náklady pro zákazníky bank; vzhledem k tomu, že bankovní služby jsou pro občany a podniky důležité; vzhledem k tomu, že bankovní prostředí Evropské unie a jeho bankovní struktury jsou rozmanité; vzhledem k tomu, že riziko „too big to fail“ nebylo plně vyřešeno;</w:t>
      </w:r>
    </w:p>
    <w:p w14:paraId="4719280D" w14:textId="77777777" w:rsidR="004C6DEC" w:rsidRPr="006751CA" w:rsidRDefault="004C6DEC" w:rsidP="004C6DEC">
      <w:pPr>
        <w:pStyle w:val="NormalHanging"/>
      </w:pPr>
      <w:r w:rsidRPr="006751CA">
        <w:t>B.</w:t>
      </w:r>
      <w:r w:rsidRPr="006751CA">
        <w:tab/>
        <w:t>vzhledem k tomu, že cílem bankovní unie je zajistit, aby banky byly spolehlivé a schopné odolávat případným budoucím finančním krizím; vzhledem k tomu, že řešení problémů neživotaschopných bank musí probíhat bez použití peněz daňových poplatníků a s minimálním dopadem na reálnou ekonomiku a sníží se roztříštěnost trhu zavedením harmonizovaných pravidel pro finanční sektor;</w:t>
      </w:r>
    </w:p>
    <w:p w14:paraId="2B224581" w14:textId="77777777" w:rsidR="004C6DEC" w:rsidRPr="006751CA" w:rsidRDefault="004C6DEC" w:rsidP="004C6DEC">
      <w:pPr>
        <w:pStyle w:val="NormalHanging"/>
      </w:pPr>
      <w:r w:rsidRPr="006751CA">
        <w:t>C.</w:t>
      </w:r>
      <w:r w:rsidRPr="006751CA">
        <w:tab/>
        <w:t>vzhledem k tomu, že silný a diverzifikovaný bankovní sektor je klíčem k zajištění hospodářského růstu, financování malých a středních podniků (MSP) a začínajících inovativních podniků a přechodu na zelenou a digitální ekonomiku;</w:t>
      </w:r>
    </w:p>
    <w:p w14:paraId="5CD123FA" w14:textId="77777777" w:rsidR="004C6DEC" w:rsidRPr="006751CA" w:rsidRDefault="004C6DEC" w:rsidP="004C6DEC">
      <w:pPr>
        <w:pStyle w:val="NormalHanging"/>
      </w:pPr>
      <w:r w:rsidRPr="006751CA">
        <w:t>D.</w:t>
      </w:r>
      <w:r w:rsidRPr="006751CA">
        <w:tab/>
        <w:t>vzhledem k tomu, že bankovní unie, která se skládá z jednotného mechanismu dohledu a jednotného mechanismu pro řešení krizí, slaďuje dohled s krizovým řízením a zajišťuje vysokou úroveň ochrany vkladů, avšak bez evropského systému pojištění vkladů zůstává neúplná;</w:t>
      </w:r>
    </w:p>
    <w:p w14:paraId="5E5E1DE9" w14:textId="77777777" w:rsidR="004C6DEC" w:rsidRPr="006751CA" w:rsidRDefault="004C6DEC" w:rsidP="004C6DEC">
      <w:pPr>
        <w:pStyle w:val="NormalHanging"/>
      </w:pPr>
      <w:r w:rsidRPr="006751CA">
        <w:lastRenderedPageBreak/>
        <w:t>E.</w:t>
      </w:r>
      <w:r w:rsidRPr="006751CA">
        <w:tab/>
        <w:t>vzhledem k tomu, že dokončená bankovní unie by znamenala pozitivní vývoj pro občany a hospodářství EU, neboť by poskytla základ pro stabilnější bankovní systém, snížení systémového rizika, posílení hospodářské soutěže, lepší výběr pro spotřebitele, větší možnosti přeshraničního bankovnictví a přístupu k retailovým finančním službám, větší hospodářské investice, lepší přístup domácností a podniků k financování a snížení nákladů pro bankovní klienty;</w:t>
      </w:r>
    </w:p>
    <w:p w14:paraId="5BAE69A8" w14:textId="77777777" w:rsidR="004C6DEC" w:rsidRPr="006751CA" w:rsidRDefault="004C6DEC" w:rsidP="004C6DEC">
      <w:pPr>
        <w:pStyle w:val="NormalHanging"/>
      </w:pPr>
      <w:r w:rsidRPr="006751CA">
        <w:t>F.</w:t>
      </w:r>
      <w:r w:rsidRPr="006751CA">
        <w:tab/>
        <w:t>vzhledem k tomu, že nebankovní finanční zprostředkovatelé (tzv. „stínové banky“) zůstávají mimo strukturu bankovní unie, což činí bankovní sektor EU zranitelným vůči rizikům;</w:t>
      </w:r>
    </w:p>
    <w:p w14:paraId="4D182F17" w14:textId="77777777" w:rsidR="004C6DEC" w:rsidRPr="006751CA" w:rsidRDefault="004C6DEC" w:rsidP="004C6DEC">
      <w:pPr>
        <w:pStyle w:val="NormalHanging"/>
      </w:pPr>
      <w:r w:rsidRPr="006751CA">
        <w:t>G.</w:t>
      </w:r>
      <w:r w:rsidRPr="006751CA">
        <w:tab/>
        <w:t>vzhledem k tomu, že základní podmínkou účinné měnové politiky a odolného finančního systému je finanční stabilita; vzhledem k tomu, že EU se již dohodla na provádění rámce Basel III a měla by uplatňovat standardy Basel III a zároveň zohledňovat konkurenceschopnost bankovního sektoru EU, jakož i mezinárodní vývoj;</w:t>
      </w:r>
    </w:p>
    <w:p w14:paraId="33D37620" w14:textId="77777777" w:rsidR="004C6DEC" w:rsidRPr="006751CA" w:rsidRDefault="004C6DEC" w:rsidP="004C6DEC">
      <w:pPr>
        <w:pStyle w:val="NormalHanging"/>
      </w:pPr>
      <w:r w:rsidRPr="006751CA">
        <w:t>H.</w:t>
      </w:r>
      <w:r w:rsidRPr="006751CA">
        <w:tab/>
        <w:t>vzhledem k tomu, že ruská agrese proti Ukrajině a její hospodářské a sociální důsledky mají a budou mít i nadále přímý i nepřímý dopad na bankovní sektor EU; vzhledem k tomu, že banky EU hrají klíčovou úlohu při zajišťování průběžného uplatňování a dodržování sankcí, které EU uložila Rusku v reakci na invazi;</w:t>
      </w:r>
    </w:p>
    <w:p w14:paraId="52676B43" w14:textId="77777777" w:rsidR="004C6DEC" w:rsidRPr="006751CA" w:rsidRDefault="004C6DEC" w:rsidP="004C6DEC">
      <w:pPr>
        <w:pStyle w:val="NormalHanging"/>
      </w:pPr>
      <w:r w:rsidRPr="006751CA">
        <w:t>I.</w:t>
      </w:r>
      <w:r w:rsidRPr="006751CA">
        <w:tab/>
        <w:t>vzhledem k tomu, že jedním z klíčových cílů bankovní unie je, aby daňoví poplatníci nenesli náklady na nápravná opatření v případě úpadku banky;</w:t>
      </w:r>
    </w:p>
    <w:p w14:paraId="648AC7AC" w14:textId="77777777" w:rsidR="004C6DEC" w:rsidRPr="006751CA" w:rsidRDefault="004C6DEC" w:rsidP="004C6DEC">
      <w:pPr>
        <w:pStyle w:val="NormalHanging"/>
      </w:pPr>
      <w:r w:rsidRPr="006751CA">
        <w:t>J.</w:t>
      </w:r>
      <w:r w:rsidRPr="006751CA">
        <w:tab/>
        <w:t>vzhledem k tomu, že změna klimatu, zhoršování životního prostředí a přechod na nízkouhlíkové hospodářství mohou představovat rizika pro finanční stabilitu a jsou faktory, které lze zohlednit při posuzování rizik pro banky;</w:t>
      </w:r>
    </w:p>
    <w:p w14:paraId="3B1B05A0" w14:textId="77777777" w:rsidR="004C6DEC" w:rsidRPr="006751CA" w:rsidRDefault="004C6DEC" w:rsidP="004C6DEC">
      <w:pPr>
        <w:pStyle w:val="NormalHanging"/>
      </w:pPr>
      <w:r w:rsidRPr="006751CA">
        <w:t>K.</w:t>
      </w:r>
      <w:r w:rsidRPr="006751CA">
        <w:tab/>
        <w:t>vzhledem k tomu, že digitální euro by v EU zvýšilo efektivitu plateb, odolnost, finanční začlenění, inovace, důvěru veřejnosti a mezinárodní úlohu eura;</w:t>
      </w:r>
    </w:p>
    <w:p w14:paraId="16B3936F" w14:textId="77777777" w:rsidR="004C6DEC" w:rsidRPr="006751CA" w:rsidRDefault="004C6DEC" w:rsidP="004C6DEC">
      <w:pPr>
        <w:pStyle w:val="NormalHanging"/>
      </w:pPr>
      <w:r w:rsidRPr="006751CA">
        <w:t>L.</w:t>
      </w:r>
      <w:r w:rsidRPr="006751CA">
        <w:tab/>
        <w:t>vzhledem k tomu, že banky v EU vykazují od roku 2022 rekordní zisky díky zpožděnému promítnutí dopadů politiky zpřísňování měnové politiky; vzhledem k tomu, že několik členských států zavedlo dočasné odvody bank, aby zajistily spravedlivý příspěvek a zároveň zachovaly stabilitu a sociální soudržnost;</w:t>
      </w:r>
    </w:p>
    <w:p w14:paraId="022BC7AB" w14:textId="77777777" w:rsidR="004C6DEC" w:rsidRPr="006751CA" w:rsidRDefault="004C6DEC" w:rsidP="004C6DEC">
      <w:pPr>
        <w:pStyle w:val="NormalHanging"/>
      </w:pPr>
      <w:r w:rsidRPr="006751CA">
        <w:t>M.</w:t>
      </w:r>
      <w:r w:rsidRPr="006751CA">
        <w:tab/>
        <w:t>vzhledem k tomu, že Komise se ve svém sdělení nazvaném „Unie úspor a investic“ z března 2025 zavazuje podnikat „rozhodné kroky k dalšímu rozvoji bankovní unie, a to i stanovením dalšího postupu v oblasti evropského systému pojištění vkladů“, ale od té doby dosud nepředložila žádný návrh týkající se dokončení bankovní unie;</w:t>
      </w:r>
    </w:p>
    <w:p w14:paraId="6497A364" w14:textId="77777777" w:rsidR="004C6DEC" w:rsidRPr="006751CA" w:rsidRDefault="004C6DEC" w:rsidP="004C6DEC">
      <w:pPr>
        <w:pStyle w:val="NormalHanging"/>
      </w:pPr>
      <w:r w:rsidRPr="006751CA">
        <w:t>N.</w:t>
      </w:r>
      <w:r w:rsidRPr="006751CA">
        <w:tab/>
        <w:t>vzhledem k tomu, že banky jsou základním pilířem našeho hospodářství a bankovní sektor patří mezi strategicky nejdůležitější odvětví; vzhledem k tomu, že stabilita, odolnost a konkurenceschopnost mají zásadní význam pro zajištění toho, aby se finanční systém dokázal přizpůsobit globálním výzvám, podporovat inovace a účinně naplňovat potřeby podniků a občanů;</w:t>
      </w:r>
    </w:p>
    <w:p w14:paraId="28641CFB" w14:textId="77777777" w:rsidR="004C6DEC" w:rsidRPr="006751CA" w:rsidRDefault="004C6DEC" w:rsidP="004C6DEC">
      <w:pPr>
        <w:pStyle w:val="NormalHanging"/>
      </w:pPr>
      <w:r w:rsidRPr="006751CA">
        <w:t>O.</w:t>
      </w:r>
      <w:r w:rsidRPr="006751CA">
        <w:tab/>
        <w:t>vzhledem k tomu, že se stále více používají elektronické peněžní tokeny, které jsou stále více propojeny s bankami v rámci bankovní unie;</w:t>
      </w:r>
    </w:p>
    <w:p w14:paraId="23B89803" w14:textId="77777777" w:rsidR="004C6DEC" w:rsidRPr="006751CA" w:rsidRDefault="004C6DEC" w:rsidP="004C6DEC">
      <w:pPr>
        <w:pStyle w:val="Normal12a"/>
      </w:pPr>
      <w:r w:rsidRPr="006751CA">
        <w:rPr>
          <w:b/>
          <w:i/>
        </w:rPr>
        <w:t xml:space="preserve">Obecné informace </w:t>
      </w:r>
    </w:p>
    <w:p w14:paraId="7BAC61DC" w14:textId="77777777" w:rsidR="004C6DEC" w:rsidRPr="006751CA" w:rsidRDefault="004C6DEC" w:rsidP="004C6DEC">
      <w:pPr>
        <w:pStyle w:val="NormalHanging12a"/>
      </w:pPr>
      <w:r w:rsidRPr="006751CA">
        <w:lastRenderedPageBreak/>
        <w:t>1.</w:t>
      </w:r>
      <w:r w:rsidRPr="006751CA">
        <w:tab/>
        <w:t>vítá pokrok, kterého se v rámci jednotného mechanismu dohledu (SSM) a jednotného mechanismu pro řešení krizí (SRM) podařilo dosáhnout v uplynulém desetiletí; vyzývá k úplnému a rychlému dokončení bankovní unie a k pokračování práce na vytvoření jejího třetího pilíře, evropského systému pojištění vkladů a opatření k prohloubení integrace trhu a usnadnění účinného oběhu kapitálu a likvidity v rámci bankovních skupin; zdůrazňuje, že bankovní unie musí podporovat inkluzivnější, konkurenceschopnější a udržitelnější finanční systém, který bude v souladu se sociální soudržností a souběžnou transformací;</w:t>
      </w:r>
    </w:p>
    <w:p w14:paraId="1F332CA9" w14:textId="77777777" w:rsidR="004C6DEC" w:rsidRPr="006751CA" w:rsidRDefault="004C6DEC" w:rsidP="004C6DEC">
      <w:pPr>
        <w:pStyle w:val="NormalHanging12a"/>
      </w:pPr>
      <w:r w:rsidRPr="006751CA">
        <w:t>2.</w:t>
      </w:r>
      <w:r w:rsidRPr="006751CA">
        <w:tab/>
        <w:t>vyzývá Komisi, aby upřednostnila dokončení bankovní unie a unie úspor a investic; zdůrazňuje jejich význam pro občany, malé a střední podniky a reálnou ekonomiku, neboť podporují odolnost, udržitelnou prosperitu, kvalitní pracovní místa a finanční stabilitu; zdůrazňuje skutečnost, že integrovanější bankovní unie podpoří růst a konkurenceschopnost evropských bank; zdůrazňuje, že je zapotřebí silný a spolehlivý rámec, který bude založen na jasných pravidlech a povinnostech a který zabrání bankovní panice, prohloubí finanční stabilitu a konkurenceschopnost a posílí bankovní sektor EU; zdůrazňuje, že dokončení unie kapitálových trhů spolu s rozvojem bankovní unie pomůže vytvořit lepší podmínky pro financování evropského hospodářství, a to jak pro domácnosti, tak pro podniky, které jsou stále do značné míry závislé na bankovních úvěrech, pokud jde o investice a tvorbu pracovních míst, a zároveň se tak přispěje k odolnosti evropského hospodářství;</w:t>
      </w:r>
    </w:p>
    <w:p w14:paraId="09450D10" w14:textId="77777777" w:rsidR="004C6DEC" w:rsidRPr="006751CA" w:rsidRDefault="004C6DEC" w:rsidP="004C6DEC">
      <w:pPr>
        <w:pStyle w:val="NormalHanging12a"/>
      </w:pPr>
      <w:r w:rsidRPr="006751CA">
        <w:t>3.</w:t>
      </w:r>
      <w:r w:rsidRPr="006751CA">
        <w:tab/>
        <w:t>upozorňuje na propastné rozdíly v úrokových sazbách pro domácnosti a malé a střední podniky v jednotlivých členských státech vybízí Komisi, aby zvážila, zda není třeba přijmout opatření ke zlepšení přístupu všech občanů a podniků, zejména malých a středních podniků, k tolik potřebnému kapitálu za spravedlivé a konkurenceschopné sazby;</w:t>
      </w:r>
    </w:p>
    <w:p w14:paraId="7101D98F" w14:textId="77777777" w:rsidR="00580291" w:rsidRDefault="004C6DEC" w:rsidP="004C6DEC">
      <w:pPr>
        <w:pStyle w:val="NormalHanging12a"/>
      </w:pPr>
      <w:r w:rsidRPr="006751CA">
        <w:t>4.</w:t>
      </w:r>
      <w:r w:rsidRPr="006751CA">
        <w:tab/>
        <w:t>zdůrazňuje úlohu bankovního sektoru při financování souběžné transformace; zdůrazňuje úsilí o zjednodušení rámce EU pro udržitelné financování s cílem zajistit soudržnost, omezit zdvojování činností a sladit povinnosti v oblasti bankovnictví, zveřejňování informací a řízení rizik; upozorňuje na doporučení Evropského orgánu pro pojišťovnictví a zaměstnanecké penzijní pojištění stanovit vyšší kapitálové požadavky pro uvízlá aktiva;</w:t>
      </w:r>
    </w:p>
    <w:p w14:paraId="24EBB219" w14:textId="6EC0AEE1" w:rsidR="004C6DEC" w:rsidRPr="006751CA" w:rsidRDefault="004C6DEC" w:rsidP="004C6DEC">
      <w:pPr>
        <w:pStyle w:val="NormalHanging12a"/>
      </w:pPr>
      <w:r w:rsidRPr="006751CA">
        <w:t>5.</w:t>
      </w:r>
      <w:r w:rsidRPr="006751CA">
        <w:tab/>
        <w:t>s politováním konstatuje, že v retailovém bankovnictví stále existují překážky pro poskytování přeshraničních služeb; vyzdvihuje potenciál integrované bankovní unie pro posílení hospodářské soutěže a rozšíření možnosti volby pro spotřebitele v oblasti retailového bankovnictví, a to i díky lepším možnostem poskytování přeshraničních retailových bankovních služeb;</w:t>
      </w:r>
    </w:p>
    <w:p w14:paraId="011C1D89" w14:textId="77777777" w:rsidR="004C6DEC" w:rsidRPr="006751CA" w:rsidRDefault="004C6DEC" w:rsidP="004C6DEC">
      <w:pPr>
        <w:pStyle w:val="NormalHanging12a"/>
      </w:pPr>
      <w:r w:rsidRPr="006751CA">
        <w:t>6.</w:t>
      </w:r>
      <w:r w:rsidRPr="006751CA">
        <w:tab/>
        <w:t>bere na vědomí pokrok, jehož bylo dosaženo v jednáních o digitálním euru, která probíhala on-line i off-line; vítá potenciál digitálního eura doplnit a zachovat hotovost a zároveň posílit finanční suverenitu a autonomii EU a přispět k finanční inkluzivitě; oceňuje, že Rada v prosinci 2025 formulovala svůj postoj ve věci digitálního eura a považuje za zásadní, aby Parlament co nejdříve finalizoval svůj vlastní postoj;</w:t>
      </w:r>
    </w:p>
    <w:p w14:paraId="2EA5C9F1" w14:textId="77777777" w:rsidR="004C6DEC" w:rsidRPr="006751CA" w:rsidRDefault="004C6DEC" w:rsidP="004C6DEC">
      <w:pPr>
        <w:pStyle w:val="NormalHanging12a"/>
      </w:pPr>
      <w:r w:rsidRPr="006751CA">
        <w:t>7.</w:t>
      </w:r>
      <w:r w:rsidRPr="006751CA">
        <w:tab/>
        <w:t xml:space="preserve">domnívá se, že posun směrem k genderové vyváženosti ve finančních institucích, zejména v jejich vedení, je jen omezený; zdůrazňuje, že rozmanitost ve vedení a lepší </w:t>
      </w:r>
      <w:r w:rsidRPr="006751CA">
        <w:lastRenderedPageBreak/>
        <w:t>přístup k financování pro podniky vedené ženami</w:t>
      </w:r>
      <w:r w:rsidRPr="006751CA">
        <w:rPr>
          <w:rStyle w:val="FootnoteReference"/>
        </w:rPr>
        <w:footnoteReference w:customMarkFollows="1" w:id="13"/>
        <w:t>13</w:t>
      </w:r>
      <w:r w:rsidRPr="006751CA">
        <w:t xml:space="preserve"> zlepšují správu, inovace a hospodářskou výkonnost; vyzývá finanční instituce, zúčastněné strany, Komisi a členské státy, aby přijaly účinné strategie rozmanitosti, monitorovaly genderové rozdíly a začlenily genderovou rovnost do rámců dohledu a investic, a zajistily tak přístup ke kapitálu pro všechny v celé EU; připomíná, že postojem Parlamentu je prosazovat a upřednostňovat genderově vyvážené užší seznamy budoucích kandidátů; zdůrazňuje, že je důležité zajistit vyvážené zastoupení žen a mužů na všech úrovních řízení v orgánech a institucích EU, které jsou odpovědné za bankovní unii;</w:t>
      </w:r>
    </w:p>
    <w:p w14:paraId="2940ECBC" w14:textId="77777777" w:rsidR="004C6DEC" w:rsidRPr="006751CA" w:rsidRDefault="004C6DEC" w:rsidP="004C6DEC">
      <w:pPr>
        <w:pStyle w:val="NormalHanging12a"/>
      </w:pPr>
      <w:r w:rsidRPr="006751CA">
        <w:t>8.</w:t>
      </w:r>
      <w:r w:rsidRPr="006751CA">
        <w:tab/>
        <w:t>konstatuje, že po zvýšení sazeb ECB se v EU výrazně zlepšila ziskovost a odolnost bank</w:t>
      </w:r>
      <w:r w:rsidRPr="006751CA">
        <w:rPr>
          <w:rStyle w:val="FootnoteReference"/>
        </w:rPr>
        <w:footnoteReference w:customMarkFollows="1" w:id="14"/>
        <w:t>14</w:t>
      </w:r>
      <w:r w:rsidRPr="006751CA">
        <w:t xml:space="preserve"> a v roce 2025 zůstala vysoká; zdůrazňuje, že tato ziskovost a odolnost může podpořit zásadní investice do hospodářství a financování domácností a podniků, zejména malých a středních podniků a start-upů, jakož i mladých odborníků; poukazuje na význam bank při podpoře malých a středních podniků a místních ekonomik a vyzývá Komisi, aby zajistila, aby byla jakákoli regulace i nadále citlivá vůči rizikům; trvá na tom, že úvěrové instituce čerpající státní podporu musí dodržovat obezřetnostní pravidla pro vyplácení dividend, zpětný odkup akcií a pohyblivé složky odměny;</w:t>
      </w:r>
    </w:p>
    <w:p w14:paraId="3AC6A088" w14:textId="77777777" w:rsidR="004C6DEC" w:rsidRPr="006751CA" w:rsidRDefault="004C6DEC" w:rsidP="004C6DEC">
      <w:pPr>
        <w:pStyle w:val="NormalHanging12a"/>
      </w:pPr>
      <w:r w:rsidRPr="006751CA">
        <w:t>9.</w:t>
      </w:r>
      <w:r w:rsidRPr="006751CA">
        <w:tab/>
        <w:t>zdůrazňuje, že řádné fungování a důvěryhodnost bankovní unie závisí rovněž na důsledném dodržování a účinném prosazování právních předpisů EU na ochranu spotřebitele v bankovním sektoru; poukazuje na to, že úvěrové instituce nesmí používat nespravedlivé smluvní podmínky a obchodní praktiky, zejména v oblasti hypoték a retailových úvěrů; zdůrazňuje skutečnost, že spotřebitelům, včetně vypůjčovatelů, musí být poskytnuta účinná ochrana, právní jistota a přístup k účinným opravným prostředkům; vyzývá členské státy a příslušné orgány, aby zajistily přísný dohled a vymahatelnost práva pro případ porušení pravidel; dále vyzdvihuje nutnost zajistit odpovídající ochranu hlavního bydliště, zejména v případě zranitelných domácností, s přihlédnutím k velikosti bydliště a k tomu, zda vypůjčovatelé již splatili podstatnou část svého úvěru, např. 50 % původního úvěru;</w:t>
      </w:r>
    </w:p>
    <w:p w14:paraId="71095463" w14:textId="77777777" w:rsidR="004C6DEC" w:rsidRPr="006751CA" w:rsidRDefault="004C6DEC" w:rsidP="004C6DEC">
      <w:pPr>
        <w:pStyle w:val="NormalHanging12a"/>
      </w:pPr>
      <w:r w:rsidRPr="006751CA">
        <w:t>10.</w:t>
      </w:r>
      <w:r w:rsidRPr="006751CA">
        <w:tab/>
        <w:t>vítá úlohu orgánu AMLA při posilování boje EU proti praní peněz a financování terorismu; vyzývá k důslednému provádění, posílené spolupráci, sdílení informací a koordinovanému prosazování v celé EU; zdůrazňuje potřebu účinné spolupráce mezi orgánem AMLA a evropskými dozorovými orgány a orgány obezřetnostního dohledu; zdůrazňuje, že je třeba, aby orgán AMLA při své činnosti v oblasti dohledu a regulace dodržoval zásadu proporcionality a koordinace;</w:t>
      </w:r>
    </w:p>
    <w:p w14:paraId="0DF74D5C" w14:textId="77777777" w:rsidR="004C6DEC" w:rsidRPr="006751CA" w:rsidRDefault="004C6DEC" w:rsidP="004C6DEC">
      <w:pPr>
        <w:pStyle w:val="NormalHanging12a"/>
      </w:pPr>
      <w:r w:rsidRPr="006751CA">
        <w:t>11.</w:t>
      </w:r>
      <w:r w:rsidRPr="006751CA">
        <w:tab/>
        <w:t xml:space="preserve">zdůrazňuje skutečnost, že pro dohled a stabilitu má zásadní význam důkladné, přiměřené, konzistentní a včasné účetní výkaznictví; zdůrazňuje význam právní jistoty, předvídatelnosti a stability pro bankovní sektor a skutečnost, že zjednodušení nesmí oslabit obezřetnostní normy, normy odolnosti, ochrany spotřebitele nebo stability; zdůrazňuje, že jsou zapotřebí další opatření, která podpoří digitalizaci a zjednodušení při současném zachování těchto norem; apeluje na vytvoření vyváženějšího a integrovanějšího přístupu, včetně centralizovaného datového centra, které díky standardizovaným definicím, slovníku a úložišti omezí zbytečnou složitost, zabrání </w:t>
      </w:r>
      <w:r w:rsidRPr="006751CA">
        <w:lastRenderedPageBreak/>
        <w:t>zdvojování činností, zlepší kvalitu údajů a zároveň zachová pevnost rámce bankovní unie;</w:t>
      </w:r>
    </w:p>
    <w:p w14:paraId="635F6B68" w14:textId="77777777" w:rsidR="004C6DEC" w:rsidRPr="006751CA" w:rsidRDefault="004C6DEC" w:rsidP="004C6DEC">
      <w:pPr>
        <w:pStyle w:val="NormalHanging12a"/>
      </w:pPr>
      <w:r w:rsidRPr="006751CA">
        <w:t>12.</w:t>
      </w:r>
      <w:r w:rsidRPr="006751CA">
        <w:tab/>
        <w:t>bere na vědomí institucionální a regulační pokrok, který posílil odolnost bank v eurozóně; konstatuje, že stále přetrvávají závažné překážky, které brání využití plného potenciálu jednotného trhu EU v oblasti finančních služeb; vyzývá Komisi, členské státy a orgány EU, aby sladily své ambice s konkrétními kroky k dokončení unie úspor a investic a jednotného trhu a podpořily zjednodušení a konkurenceschopnost; vyzývá Komisi, aby ve své zprávě o konkurenceschopnosti bankovního sektoru EU za rok 2026 navrhla smysluplná opatření zaměřená na zvýšení konkurenceschopnosti bank v EU a zároveň zachovala zásadní úlohu bank při financování investic nezbytných k uskutečnění ekologické a digitální transformace Unie;</w:t>
      </w:r>
    </w:p>
    <w:p w14:paraId="5EA85C55" w14:textId="77777777" w:rsidR="004C6DEC" w:rsidRPr="006751CA" w:rsidRDefault="004C6DEC" w:rsidP="004C6DEC">
      <w:pPr>
        <w:pStyle w:val="NormalHanging12a"/>
      </w:pPr>
      <w:r w:rsidRPr="006751CA">
        <w:t>13.</w:t>
      </w:r>
      <w:r w:rsidRPr="006751CA">
        <w:tab/>
        <w:t>zdůrazňuje, že vzhledem k přetrvávající geopolitické nejistotě, potenciálně nadhodnoceným akciovým trhům a nedávným případům otřesů ve Spojených státech, k nimž došlo po netransparentním poskytování úvěrů v nebankovním sektoru (soukromých úvěrů), by orgány dohledu měly zachovat výhled do budoucna a dostatečně sledovat rizika a banky by měly udržovat odpovídající kapitálové rezervy a zajistit svou operativní odolnost; poukazuje v této souvislosti na to, že je třeba zlepšit dohled nad nebankovními finančními zprostředkovateli a zvýšit jejich odolnost; zdůrazňuje, že obezřetný dohled dnes může chránit daňové poplatníky, vkladatele a reálnou ekonomiku před budoucími ztrátami;</w:t>
      </w:r>
    </w:p>
    <w:p w14:paraId="7BEB03C3" w14:textId="77777777" w:rsidR="004C6DEC" w:rsidRPr="006751CA" w:rsidRDefault="004C6DEC" w:rsidP="004C6DEC">
      <w:pPr>
        <w:pStyle w:val="Normal12a"/>
      </w:pPr>
      <w:r w:rsidRPr="006751CA">
        <w:rPr>
          <w:b/>
          <w:i/>
        </w:rPr>
        <w:t xml:space="preserve">Dohled </w:t>
      </w:r>
    </w:p>
    <w:p w14:paraId="01FC5CB6" w14:textId="77777777" w:rsidR="004C6DEC" w:rsidRPr="006751CA" w:rsidRDefault="004C6DEC" w:rsidP="004C6DEC">
      <w:pPr>
        <w:pStyle w:val="NormalHanging12a"/>
      </w:pPr>
      <w:r w:rsidRPr="006751CA">
        <w:t>14.</w:t>
      </w:r>
      <w:r w:rsidRPr="006751CA">
        <w:tab/>
        <w:t>konstatuje, že souhrnný poměr kmenového kapitálu tier 1 (CET1) bank v rámci jednotného mechanismu dohledu dosáhl ve 2. čtvrtletí 2025 úrovně 16,12 %, přičemž návratnost vlastního kapitálu činila 10,11 %, zatímco objem úvěrů v selhání se snížil na 2,22 % a objem úvěrů stupně 2 činil 9,59 %</w:t>
      </w:r>
      <w:r w:rsidRPr="006751CA">
        <w:rPr>
          <w:rStyle w:val="FootnoteReference"/>
        </w:rPr>
        <w:footnoteReference w:customMarkFollows="1" w:id="15"/>
        <w:t>15</w:t>
      </w:r>
      <w:r w:rsidRPr="006751CA">
        <w:t>; zdůrazňuje, že je třeba sledovat úvěrové riziko a zároveň udržovat dostatečný kapitál a likviditu, aby byl bankovní sektor odolný; zdůrazňuje, že pokrok v oblasti opatření ke snížení rizik nešel ruku v ruce s odpovídajícím pokrokem v oblasti sdílení rizik;</w:t>
      </w:r>
    </w:p>
    <w:p w14:paraId="497D51D0" w14:textId="77777777" w:rsidR="004C6DEC" w:rsidRPr="006751CA" w:rsidRDefault="004C6DEC" w:rsidP="004C6DEC">
      <w:pPr>
        <w:pStyle w:val="NormalHanging12a"/>
      </w:pPr>
      <w:r w:rsidRPr="006751CA">
        <w:t>15.</w:t>
      </w:r>
      <w:r w:rsidRPr="006751CA">
        <w:tab/>
        <w:t>upozorňuje na nepříznivé makroekonomické podmínky a geopolitické překážky, které by mohly vést ke zhoršení kvality aktiv;</w:t>
      </w:r>
    </w:p>
    <w:p w14:paraId="67B86C08" w14:textId="77777777" w:rsidR="004C6DEC" w:rsidRPr="006751CA" w:rsidRDefault="004C6DEC" w:rsidP="004C6DEC">
      <w:pPr>
        <w:pStyle w:val="NormalHanging12a"/>
      </w:pPr>
      <w:r w:rsidRPr="006751CA">
        <w:t>16.</w:t>
      </w:r>
      <w:r w:rsidRPr="006751CA">
        <w:tab/>
        <w:t>poukazuje na rostoucí expozici bank nebankovním finančním zprostředkovatelům, což s sebou nese potenciální rizika, od rizik týkajících se likvidity až po rizika týkající se protistran, a vyzývá ke komplexnímu evropskému dohledu nad sektorem nebankovních finančních zprostředkovatelů; zdůrazňuje skutečnost, že mezinárodní a evropské orgány opakovaně poukazují na riziko vyplývající z nebankovního finančního sektoru, zejména kvůli jeho většímu propojení s tradičním bankovním sektorem; podporuje zátěžové testy v rámci celého systému s cílem posoudit základní odolnost trhu; naléhavě vyzývá Komisi, aby prozkoumala nedostatky v souboru nástrojů dohledu, včetně likvidity a systémových rizik, a aby případně navrhla opatření na ochranu finanční stability;</w:t>
      </w:r>
    </w:p>
    <w:p w14:paraId="29156D16" w14:textId="77777777" w:rsidR="004C6DEC" w:rsidRPr="006751CA" w:rsidRDefault="004C6DEC" w:rsidP="004C6DEC">
      <w:pPr>
        <w:pStyle w:val="NormalHanging12a"/>
      </w:pPr>
      <w:r w:rsidRPr="006751CA">
        <w:t>17.</w:t>
      </w:r>
      <w:r w:rsidRPr="006751CA">
        <w:tab/>
        <w:t xml:space="preserve">vítá dokončení a provedení rámce Basel III, který posílí odolnost v EU; konstatuje, že jiné jurisdikce prosazují méně ambiciózní program jejich uplatňování; poukazuje na přetrvávající nejasnosti ohledně zavádění standardů Basel III v některých dalších </w:t>
      </w:r>
      <w:r w:rsidRPr="006751CA">
        <w:lastRenderedPageBreak/>
        <w:t>jurisdikcích; připomíná, že jednotný mechanismus dohledu opakovaně uvedl, že provádění zásadního přezkumu obchodního portfolia by posílilo odolnost bank v EU a neohrozilo jejich konkurenceschopnost; vyzývá Komisi, aby přezkoumala rozhodnutí o rovnocennosti s jurisdikcemi, které tyto standardy neuplatňují;</w:t>
      </w:r>
    </w:p>
    <w:p w14:paraId="3606BA56" w14:textId="77777777" w:rsidR="004C6DEC" w:rsidRPr="006751CA" w:rsidRDefault="004C6DEC" w:rsidP="004C6DEC">
      <w:pPr>
        <w:pStyle w:val="NormalHanging12a"/>
      </w:pPr>
      <w:r w:rsidRPr="006751CA">
        <w:t>18.</w:t>
      </w:r>
      <w:r w:rsidRPr="006751CA">
        <w:tab/>
        <w:t>bere na vědomí publikaci ECB</w:t>
      </w:r>
      <w:r w:rsidRPr="006751CA">
        <w:rPr>
          <w:rStyle w:val="FootnoteReference"/>
        </w:rPr>
        <w:footnoteReference w:customMarkFollows="1" w:id="16"/>
        <w:t>16</w:t>
      </w:r>
      <w:r w:rsidRPr="006751CA">
        <w:t xml:space="preserve"> , v níž se uvádí, že vysoké kapitálové požadavky neomezují konkurenceschopnost bank, ale spíše zajišťují jejich odolnost a jejich schopnost financovat ekonomiku v průběhu celého cyklu;</w:t>
      </w:r>
    </w:p>
    <w:p w14:paraId="3B274AD0" w14:textId="77777777" w:rsidR="004C6DEC" w:rsidRPr="006751CA" w:rsidRDefault="004C6DEC" w:rsidP="004C6DEC">
      <w:pPr>
        <w:pStyle w:val="NormalHanging12a"/>
      </w:pPr>
      <w:r w:rsidRPr="006751CA">
        <w:t>19.</w:t>
      </w:r>
      <w:r w:rsidRPr="006751CA">
        <w:tab/>
        <w:t>s politováním konstatuje, že rostoucí měrou dochází k uzavírání bankovních poboček, což se dotýká zranitelných a okrajových komunit; připomíná práva občanů na přístup k základním finančním službám; poukazuje na úlohu menších bank, pokud jde o přístup domácností a malých podniků ke službám; zdůrazňuje skutečnost, že rozmanitost bankovních obchodních modelů zvyšuje odolnost finančního systému; bere na vědomí význam digitalizace a umělé inteligence z hlediska zvyšování účinnosti bankovního sektoru; se znepokojením však konstatuje, že dochází ke ztrátě pracovních míst v souvislosti s umělou inteligencí; vyzývá úvěrové instituce, aby zavedly rekvalifikační politiku a zajistily lidský dohled nad automatizovanými rozhodnutími; zdůrazňuje, že je třeba zajistit kvalitu pracovních míst, spravedlivé podmínky a rovný přístup k bankovnictví;</w:t>
      </w:r>
    </w:p>
    <w:p w14:paraId="6D6DD1AB" w14:textId="77777777" w:rsidR="004C6DEC" w:rsidRPr="006751CA" w:rsidRDefault="004C6DEC" w:rsidP="004C6DEC">
      <w:pPr>
        <w:pStyle w:val="NormalHanging12a"/>
      </w:pPr>
      <w:r w:rsidRPr="006751CA">
        <w:t>20.</w:t>
      </w:r>
      <w:r w:rsidRPr="006751CA">
        <w:tab/>
        <w:t>uznává specifická rizika, která kryptoaktiva představují, a zároveň uznává příležitosti, které nabízejí, jako jsou stablecoiny denominované v eurech; vyzývá k důslednému dohledu nad kryptoaktivy, který bude vstřícný k inovacím, ale zároveň zajistí, že inovace budou sloužit veřejnosti; vyzývá orgány EU a vnitrostátní orgány, aby monitorovaly expozice, řešily rizika, potíraly spekulativní chování, bojovaly proti finančním trestným činům a chránily spotřebitele; zdůrazňuje význam celosvětových norem v této oblasti;</w:t>
      </w:r>
    </w:p>
    <w:p w14:paraId="29119199" w14:textId="77777777" w:rsidR="004C6DEC" w:rsidRPr="006751CA" w:rsidRDefault="004C6DEC" w:rsidP="004C6DEC">
      <w:pPr>
        <w:pStyle w:val="NormalHanging12a"/>
      </w:pPr>
      <w:r w:rsidRPr="006751CA">
        <w:t>21.</w:t>
      </w:r>
      <w:r w:rsidRPr="006751CA">
        <w:tab/>
        <w:t>vyzývá Komisi, orgán EBA a příslušné vnitrostátní orgány v rámci bankovní unie, aby zajistily přísné, důsledné a přesné provádění a prosazování nařízení o trzích kryptoaktiv</w:t>
      </w:r>
      <w:r w:rsidRPr="006751CA">
        <w:rPr>
          <w:rStyle w:val="FootnoteReference"/>
        </w:rPr>
        <w:footnoteReference w:customMarkFollows="1" w:id="17"/>
        <w:t>17</w:t>
      </w:r>
      <w:r w:rsidRPr="006751CA">
        <w:t xml:space="preserve"> coby nezbytného doplňku rámce pro finanční stabilitu Unie založeného na bankách;</w:t>
      </w:r>
    </w:p>
    <w:p w14:paraId="220B5374" w14:textId="77777777" w:rsidR="004C6DEC" w:rsidRPr="006751CA" w:rsidRDefault="004C6DEC" w:rsidP="004C6DEC">
      <w:pPr>
        <w:pStyle w:val="NormalHanging12a"/>
      </w:pPr>
      <w:r w:rsidRPr="006751CA">
        <w:t>22.</w:t>
      </w:r>
      <w:r w:rsidRPr="006751CA">
        <w:tab/>
        <w:t>bere na vědomí nejistotu, která pro banky v EU vyplývá z víceemisních stablecoinů třetích zemí; zdůrazňuje potenciální regulatorní arbitráž mezi jurisdikcemi, která by mohla vést k bankovní panice v EU a vedlejším účinkům;</w:t>
      </w:r>
    </w:p>
    <w:p w14:paraId="278D5DD0" w14:textId="77777777" w:rsidR="004C6DEC" w:rsidRPr="006751CA" w:rsidRDefault="004C6DEC" w:rsidP="004C6DEC">
      <w:pPr>
        <w:pStyle w:val="Normal12a"/>
      </w:pPr>
      <w:r w:rsidRPr="006751CA">
        <w:rPr>
          <w:b/>
          <w:i/>
        </w:rPr>
        <w:t xml:space="preserve">Řešení krizí </w:t>
      </w:r>
    </w:p>
    <w:p w14:paraId="7554B1C7" w14:textId="77777777" w:rsidR="004C6DEC" w:rsidRPr="006751CA" w:rsidRDefault="004C6DEC" w:rsidP="004C6DEC">
      <w:pPr>
        <w:pStyle w:val="NormalHanging12a"/>
      </w:pPr>
      <w:r w:rsidRPr="006751CA">
        <w:t>23.</w:t>
      </w:r>
      <w:r w:rsidRPr="006751CA">
        <w:tab/>
        <w:t xml:space="preserve">chválí reformu krizového řízení a pojištění vkladů za to, že zajistila soudržné krizové řízení a pojištění vkladů, posílení stability, ochranu úspor a daňových poplatníků a že zajistila lepší využívání veřejných prostředků k řešení krizí bank, pokud je to ve veřejném zájmu v rámci jasného regulačního rámce; zdůrazňuje, že je třeba, aby menší </w:t>
      </w:r>
      <w:r w:rsidRPr="006751CA">
        <w:lastRenderedPageBreak/>
        <w:t>a střední banky byly flexibilní a aby příslušné orgány měly k dispozici účinné nástroje, údaje a rozhodovací mechanismy s cílem zajistit odolnou a sociálně odpovědnou bankovní unii a umožnit jim účinně reagovat na úpadky bank a poskytovat nezbytné záruky zaštítěné regulačním rámcem, který podporuje rozvoj bank a přispívá k odolné a finančně stabilní bankovní unii;</w:t>
      </w:r>
    </w:p>
    <w:p w14:paraId="4D35087E" w14:textId="77777777" w:rsidR="004C6DEC" w:rsidRPr="006751CA" w:rsidRDefault="004C6DEC" w:rsidP="004C6DEC">
      <w:pPr>
        <w:pStyle w:val="NormalHanging12a"/>
      </w:pPr>
      <w:r w:rsidRPr="006751CA">
        <w:t>24.</w:t>
      </w:r>
      <w:r w:rsidRPr="006751CA">
        <w:tab/>
        <w:t>vítá předběžnou dohodu mezi Parlamentem a Radou ze dne 19. listopadu 2025 o směrnici, kterou se harmonizují některé aspekty insolvenčního práva, neboť další sladění insolvenčních právních předpisů a restrukturalizačních postupů by mohlo podpořit dokončení bankovní unie;</w:t>
      </w:r>
    </w:p>
    <w:p w14:paraId="0693A484" w14:textId="77777777" w:rsidR="004C6DEC" w:rsidRPr="006751CA" w:rsidRDefault="004C6DEC" w:rsidP="004C6DEC">
      <w:pPr>
        <w:pStyle w:val="NormalHanging12a"/>
      </w:pPr>
      <w:r w:rsidRPr="006751CA">
        <w:t>25.</w:t>
      </w:r>
      <w:r w:rsidRPr="006751CA">
        <w:tab/>
        <w:t>zdůrazňuje, že v souladu s fiskální odpovědností a tržní disciplínou by v případě krizových situací bank měli v první řadě nést odpovědnost akcionáři, věřitelé nebo mechanismy financované odvětvím, zatímco veřejné prostředky by měly být použity až jako poslední možnost, protože při řešení krizí bank se nesmíme spoléhat na peníze daňových poplatníků; zdůrazňuje potřebu nepřetržitého a účinného dohledu nad dodržováním obezřetnostních pravidel a pravidel pro řešení krizí, která zajišťují důvěryhodnost a účinné provádění nástrojů v případě krizových situací bank;</w:t>
      </w:r>
    </w:p>
    <w:p w14:paraId="691B0E27" w14:textId="77777777" w:rsidR="004C6DEC" w:rsidRPr="006751CA" w:rsidRDefault="004C6DEC" w:rsidP="004C6DEC">
      <w:pPr>
        <w:pStyle w:val="NormalHanging12a"/>
      </w:pPr>
      <w:r w:rsidRPr="006751CA">
        <w:t>26.</w:t>
      </w:r>
      <w:r w:rsidRPr="006751CA">
        <w:tab/>
        <w:t>připomíná, že dostatečný minimální požadavek na kapitál a způsobilé závazky (MREL) představuje základ důvěryhodného rámce pro řešení krizí a poskytuje orgánům nezbytnou při volbě vhodných strategií řešení v krizových situacích;</w:t>
      </w:r>
    </w:p>
    <w:p w14:paraId="4DFAE2D5" w14:textId="77777777" w:rsidR="004C6DEC" w:rsidRPr="006751CA" w:rsidRDefault="004C6DEC" w:rsidP="004C6DEC">
      <w:pPr>
        <w:pStyle w:val="NormalHanging12a"/>
      </w:pPr>
      <w:r w:rsidRPr="006751CA">
        <w:t>27.</w:t>
      </w:r>
      <w:r w:rsidRPr="006751CA">
        <w:tab/>
        <w:t>připomíná, že banky musí v průběhu řešení krize pokračovat v poskytování základních služeb; zdůrazňuje potřebu jasného a předvídatelného rámce, který chrání vkladatele a podporuje menší klienty a podniky, včetně malých a středních podniků;</w:t>
      </w:r>
    </w:p>
    <w:p w14:paraId="2CDCD81A" w14:textId="77777777" w:rsidR="004C6DEC" w:rsidRPr="006751CA" w:rsidRDefault="004C6DEC" w:rsidP="004C6DEC">
      <w:pPr>
        <w:pStyle w:val="NormalHanging12a"/>
      </w:pPr>
      <w:r w:rsidRPr="006751CA">
        <w:t>28.</w:t>
      </w:r>
      <w:r w:rsidRPr="006751CA">
        <w:tab/>
        <w:t>vítá Jednotný fond pro řešení krizí jakožto plně sdílenou záchrannou síť financovanou odvětvím; opakuje výzvu k úplné ratifikaci dohody, kterou se mění Smlouva o zřízení Evropského mechanismu stability (ESM) s cílem posílit důvěryhodnost, způsobilost k řešení krize a odolnost eurozóny; vyzdvihuje cíl ochrany daňových poplatníků v případě řešení krize a připomíná, že nad rámec dohodnutého společného jištění nesmí sanace bank v krizi vyžadovat žádné další zdroje daňových poplatníků;</w:t>
      </w:r>
    </w:p>
    <w:p w14:paraId="2F5B254E" w14:textId="77777777" w:rsidR="004C6DEC" w:rsidRPr="006751CA" w:rsidRDefault="004C6DEC" w:rsidP="004C6DEC">
      <w:pPr>
        <w:pStyle w:val="NormalHanging12a"/>
      </w:pPr>
      <w:r w:rsidRPr="006751CA">
        <w:t>29.</w:t>
      </w:r>
      <w:r w:rsidRPr="006751CA">
        <w:tab/>
        <w:t>připomíná, že politika nulové rizikové váhy u veřejného dluhu by mohla být problémem, který by bylo třeba řešit v souladu s mezinárodními standardy;</w:t>
      </w:r>
    </w:p>
    <w:p w14:paraId="56B2DC3B" w14:textId="77777777" w:rsidR="004C6DEC" w:rsidRPr="006751CA" w:rsidRDefault="004C6DEC" w:rsidP="004C6DEC">
      <w:pPr>
        <w:pStyle w:val="Normal12a"/>
      </w:pPr>
      <w:r w:rsidRPr="006751CA">
        <w:rPr>
          <w:b/>
          <w:i/>
        </w:rPr>
        <w:t xml:space="preserve">Pojištění vkladů </w:t>
      </w:r>
    </w:p>
    <w:p w14:paraId="26B7946F" w14:textId="77777777" w:rsidR="004C6DEC" w:rsidRPr="006751CA" w:rsidRDefault="004C6DEC" w:rsidP="004C6DEC">
      <w:pPr>
        <w:pStyle w:val="NormalHanging12a"/>
      </w:pPr>
      <w:r w:rsidRPr="006751CA">
        <w:t>30.</w:t>
      </w:r>
      <w:r w:rsidRPr="006751CA">
        <w:tab/>
        <w:t>znovu potvrzuje, že je pevně odhodlán dále rozvíjet evropský systém pojištění vkladů jakožto třetí pilíř bankovní unie; připomíná, že návrh evropského systému pojištění vkladů byl předložen v roce 2015; zdůrazňuje, že společný systém ochrany vkladů je nezbytný k zajištění stejné ochrany vkladatelů v celé Unii, k dalšímu posílení finanční stability a k výraznému omezení zbývajících vazeb mezi bankami a státy; zdůrazňuje, že příspěvky do evropského systému pojištění vkladů by měly zohledňovat rizikový profil každého zúčastněného odvětví; zdůrazňuje rovněž, že je nutné důsledně uplatňovat stávající pravidla, aby banky v EU mohly efektivně financovat podniky v celé EU a zvyšovat svou konkurenceschopnost;</w:t>
      </w:r>
    </w:p>
    <w:p w14:paraId="6BC6275C" w14:textId="77777777" w:rsidR="004C6DEC" w:rsidRPr="006751CA" w:rsidRDefault="004C6DEC" w:rsidP="004C6DEC">
      <w:pPr>
        <w:pStyle w:val="NormalHanging12a"/>
      </w:pPr>
      <w:r w:rsidRPr="006751CA">
        <w:t>31.</w:t>
      </w:r>
      <w:r w:rsidRPr="006751CA">
        <w:tab/>
        <w:t xml:space="preserve">vítá přijetí balíčku krizového řízení a pojištění vkladů jakožto pozitivní krok, který posiluje vnitrostátní systémy pojištění vkladů, upevňuje důvěru v bankovní sektor </w:t>
      </w:r>
      <w:r w:rsidRPr="006751CA">
        <w:lastRenderedPageBreak/>
        <w:t>a zlepšuje provozní a právní podmínky pro postupný a důvěryhodný přechod ke společné unijní ochraně vkladatelů a daňových poplatníků; připomíná postoj Hospodářského a měnového výboru Parlamentu z roku 2024 ke zřízení evropského systému pojištění vkladů; důrazně vyzývá Radu, aby v jednáních pokročila; vyzývá nového předsedu Euroskupiny, aby co nejdříve obnovil diskuse na toto téma;</w:t>
      </w:r>
    </w:p>
    <w:p w14:paraId="2BE0E7BD" w14:textId="77777777" w:rsidR="004C6DEC" w:rsidRPr="006751CA" w:rsidRDefault="004C6DEC" w:rsidP="004C6DEC">
      <w:pPr>
        <w:pStyle w:val="NormalCenter12a"/>
      </w:pPr>
      <w:r w:rsidRPr="006751CA">
        <w:t>°</w:t>
      </w:r>
    </w:p>
    <w:p w14:paraId="6E27061D" w14:textId="77777777" w:rsidR="004C6DEC" w:rsidRPr="006751CA" w:rsidRDefault="004C6DEC" w:rsidP="004C6DEC">
      <w:pPr>
        <w:pStyle w:val="NormalCenter12a"/>
      </w:pPr>
      <w:r w:rsidRPr="006751CA">
        <w:t>°</w:t>
      </w:r>
      <w:r w:rsidRPr="006751CA">
        <w:tab/>
        <w:t>°</w:t>
      </w:r>
    </w:p>
    <w:p w14:paraId="6A22792C" w14:textId="18126CDD" w:rsidR="006751CA" w:rsidRPr="006751CA" w:rsidRDefault="004C6DEC" w:rsidP="006751CA">
      <w:pPr>
        <w:pStyle w:val="NormalHanging12a"/>
      </w:pPr>
      <w:r w:rsidRPr="006751CA">
        <w:t>32.</w:t>
      </w:r>
      <w:r w:rsidRPr="006751CA">
        <w:tab/>
        <w:t>pověřuje svou předsedkyni, aby předala toto usnesení Radě, Komisi, Evropské centrální bance, Jednotnému výboru pro řešení krizí a Evropskému orgánu pro bankovnictví.</w:t>
      </w:r>
    </w:p>
    <w:p w14:paraId="3946BD6F" w14:textId="12A75F77" w:rsidR="00E365E1" w:rsidRPr="006751CA" w:rsidRDefault="00E365E1" w:rsidP="00653D11"/>
    <w:sectPr w:rsidR="00E365E1" w:rsidRPr="006751CA" w:rsidSect="006751CA">
      <w:headerReference w:type="even" r:id="rId10"/>
      <w:headerReference w:type="default" r:id="rId11"/>
      <w:footerReference w:type="even" r:id="rId12"/>
      <w:footerReference w:type="default" r:id="rId13"/>
      <w:headerReference w:type="first" r:id="rId14"/>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6E041D" w14:textId="77777777" w:rsidR="00653D11" w:rsidRPr="006751CA" w:rsidRDefault="00653D11">
      <w:r w:rsidRPr="006751CA">
        <w:separator/>
      </w:r>
    </w:p>
  </w:endnote>
  <w:endnote w:type="continuationSeparator" w:id="0">
    <w:p w14:paraId="448586E4" w14:textId="77777777" w:rsidR="00653D11" w:rsidRPr="006751CA" w:rsidRDefault="00653D11">
      <w:r w:rsidRPr="006751C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92E0E" w14:textId="77777777" w:rsidR="00064002" w:rsidRPr="006751CA"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B175D" w14:textId="77777777" w:rsidR="00064002" w:rsidRPr="006751CA"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5AE37F" w14:textId="77777777" w:rsidR="00064002" w:rsidRPr="006751CA"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ADAB8" w14:textId="77777777" w:rsidR="00653D11" w:rsidRPr="006751CA" w:rsidRDefault="00653D11">
      <w:r w:rsidRPr="006751CA">
        <w:separator/>
      </w:r>
    </w:p>
  </w:footnote>
  <w:footnote w:type="continuationSeparator" w:id="0">
    <w:p w14:paraId="4C8A0CB8" w14:textId="77777777" w:rsidR="00653D11" w:rsidRPr="006751CA" w:rsidRDefault="00653D11">
      <w:r w:rsidRPr="006751CA">
        <w:continuationSeparator/>
      </w:r>
    </w:p>
  </w:footnote>
  <w:footnote w:id="1">
    <w:p w14:paraId="68A9C1CC" w14:textId="1348047D" w:rsidR="004C6DEC" w:rsidRPr="006751CA" w:rsidRDefault="004C6DEC" w:rsidP="006751CA">
      <w:pPr>
        <w:pStyle w:val="FootnoteText"/>
        <w:ind w:left="567" w:hanging="567"/>
        <w:rPr>
          <w:sz w:val="24"/>
          <w:lang w:val="cs-CZ"/>
        </w:rPr>
      </w:pPr>
      <w:r w:rsidRPr="006751CA">
        <w:rPr>
          <w:sz w:val="24"/>
          <w:vertAlign w:val="superscript"/>
          <w:lang w:val="cs-CZ"/>
        </w:rPr>
        <w:t>1</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Přijaté texty, P10_TA(2025)0105.</w:t>
      </w:r>
    </w:p>
  </w:footnote>
  <w:footnote w:id="2">
    <w:p w14:paraId="537CA45F" w14:textId="6C38DB71" w:rsidR="004C6DEC" w:rsidRPr="006751CA" w:rsidRDefault="004C6DEC" w:rsidP="006751CA">
      <w:pPr>
        <w:pStyle w:val="FootnoteText"/>
        <w:ind w:left="567" w:hanging="567"/>
        <w:rPr>
          <w:sz w:val="24"/>
          <w:lang w:val="cs-CZ"/>
        </w:rPr>
      </w:pPr>
      <w:r w:rsidRPr="006751CA">
        <w:rPr>
          <w:sz w:val="24"/>
          <w:vertAlign w:val="superscript"/>
          <w:lang w:val="cs-CZ"/>
        </w:rPr>
        <w:t>2</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Směrnice Evropského parlamentu a Rady (EU) 2024/1640 ze dne 31. května 2024 o mechanismech, které mají členské státy zavést za účelem předcházení využívání finančního systému k praní peněz nebo financování terorismu, o změně směrnice (EU) 2019/1937 a o změně a zrušení směrnice (EU) 2015/849 (Úř. věst. L, 2024/1640, 19.6.2024, ELI: </w:t>
      </w:r>
      <w:hyperlink r:id="rId1" w:tgtFrame="http://data.europa.eu/eli/dir/2024/1640/oj" w:history="1">
        <w:r w:rsidRPr="006751CA">
          <w:rPr>
            <w:rStyle w:val="Hyperlink"/>
            <w:sz w:val="24"/>
            <w:lang w:val="cs-CZ"/>
          </w:rPr>
          <w:t>http://data.europa.eu/eli/dir/2024/1640/oj</w:t>
        </w:r>
      </w:hyperlink>
      <w:r w:rsidRPr="006751CA">
        <w:rPr>
          <w:sz w:val="24"/>
          <w:lang w:val="cs-CZ"/>
        </w:rPr>
        <w:t>).</w:t>
      </w:r>
    </w:p>
  </w:footnote>
  <w:footnote w:id="3">
    <w:p w14:paraId="6FBAB49D" w14:textId="3C9E228D" w:rsidR="004C6DEC" w:rsidRPr="006751CA" w:rsidRDefault="004C6DEC" w:rsidP="006751CA">
      <w:pPr>
        <w:pStyle w:val="FootnoteText"/>
        <w:ind w:left="567" w:hanging="567"/>
        <w:rPr>
          <w:sz w:val="24"/>
          <w:lang w:val="cs-CZ"/>
        </w:rPr>
      </w:pPr>
      <w:r w:rsidRPr="006751CA">
        <w:rPr>
          <w:sz w:val="24"/>
          <w:vertAlign w:val="superscript"/>
          <w:lang w:val="cs-CZ"/>
        </w:rPr>
        <w:t>3</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Nařízení Evropského parlamentu a Rady (EU) 2024/1624 ze dne 31. května 2024 o předcházení využívání finančního systému k praní peněz nebo financování terorismu (Úř. věst. L, 2024/1624, 19.6.2024, ELI: </w:t>
      </w:r>
      <w:hyperlink r:id="rId2" w:tgtFrame="http://data.europa.eu/eli/reg/2024/1624/oj" w:history="1">
        <w:r w:rsidRPr="006751CA">
          <w:rPr>
            <w:rStyle w:val="Hyperlink"/>
            <w:sz w:val="24"/>
            <w:lang w:val="cs-CZ"/>
          </w:rPr>
          <w:t>http://data.europa.eu/eli/reg/2024/1624/oj</w:t>
        </w:r>
      </w:hyperlink>
      <w:r w:rsidRPr="006751CA">
        <w:rPr>
          <w:sz w:val="24"/>
          <w:lang w:val="cs-CZ"/>
        </w:rPr>
        <w:t>).</w:t>
      </w:r>
    </w:p>
  </w:footnote>
  <w:footnote w:id="4">
    <w:p w14:paraId="68AFDEA6" w14:textId="37A6F014" w:rsidR="004C6DEC" w:rsidRPr="006751CA" w:rsidRDefault="004C6DEC" w:rsidP="006751CA">
      <w:pPr>
        <w:pStyle w:val="FootnoteText"/>
        <w:ind w:left="567" w:hanging="567"/>
        <w:rPr>
          <w:sz w:val="24"/>
          <w:lang w:val="cs-CZ"/>
        </w:rPr>
      </w:pPr>
      <w:r w:rsidRPr="006751CA">
        <w:rPr>
          <w:sz w:val="24"/>
          <w:vertAlign w:val="superscript"/>
          <w:lang w:val="cs-CZ"/>
        </w:rPr>
        <w:t>4</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Nařízení Evropského parlamentu a Rady (EU) 2024/1620 ze dne 31. května 2024, kterým se zřizuje Orgán pro boj proti praní peněz a financování terorismu a mění nařízení (EU) č. 1093/2010, (EU) č. 1094/2010 a (EU) č. 1095/2010 (Úř. věst. L, 2024/1620, 19.6.2024, ELI: </w:t>
      </w:r>
      <w:hyperlink r:id="rId3" w:tgtFrame="http://data.europa.eu/eli/reg/2024/1620/oj" w:history="1">
        <w:r w:rsidRPr="006751CA">
          <w:rPr>
            <w:rStyle w:val="Hyperlink"/>
            <w:sz w:val="24"/>
            <w:lang w:val="cs-CZ"/>
          </w:rPr>
          <w:t>http://data.europa.eu/eli/reg/2024/1620/oj</w:t>
        </w:r>
      </w:hyperlink>
      <w:r w:rsidRPr="006751CA">
        <w:rPr>
          <w:sz w:val="24"/>
          <w:lang w:val="cs-CZ"/>
        </w:rPr>
        <w:t>).</w:t>
      </w:r>
    </w:p>
  </w:footnote>
  <w:footnote w:id="5">
    <w:p w14:paraId="3DFD6AA2" w14:textId="4B53C218" w:rsidR="004C6DEC" w:rsidRPr="006751CA" w:rsidRDefault="004C6DEC" w:rsidP="006751CA">
      <w:pPr>
        <w:pStyle w:val="FootnoteText"/>
        <w:ind w:left="567" w:hanging="567"/>
        <w:rPr>
          <w:sz w:val="24"/>
          <w:lang w:val="cs-CZ"/>
        </w:rPr>
      </w:pPr>
      <w:r w:rsidRPr="006751CA">
        <w:rPr>
          <w:sz w:val="24"/>
          <w:vertAlign w:val="superscript"/>
          <w:lang w:val="cs-CZ"/>
        </w:rPr>
        <w:t>5</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Směrnice Evropského parlamentu a Rady (EU) 2024/1619 ze dne 31. května 2024, kterou se mění směrnice 2013/36/EU, pokud jde o pravomoci dohledu, sankce, pobočky ze třetích zemí a environmentální, sociální a správní rizika (Úř. věst. L, 2024/1619, 19.6.2024, ELI: </w:t>
      </w:r>
      <w:hyperlink r:id="rId4" w:tgtFrame="http://data.europa.eu/eli/dir/2024/1619/oj" w:history="1">
        <w:r w:rsidRPr="006751CA">
          <w:rPr>
            <w:rStyle w:val="Hyperlink"/>
            <w:sz w:val="24"/>
            <w:lang w:val="cs-CZ"/>
          </w:rPr>
          <w:t>http://data.europa.eu/eli/dir/2024/1619/oj</w:t>
        </w:r>
      </w:hyperlink>
      <w:r w:rsidRPr="006751CA">
        <w:rPr>
          <w:sz w:val="24"/>
          <w:lang w:val="cs-CZ"/>
        </w:rPr>
        <w:t>).</w:t>
      </w:r>
    </w:p>
  </w:footnote>
  <w:footnote w:id="6">
    <w:p w14:paraId="3DF0AB02" w14:textId="181971BD" w:rsidR="004C6DEC" w:rsidRPr="006751CA" w:rsidRDefault="004C6DEC" w:rsidP="006751CA">
      <w:pPr>
        <w:pStyle w:val="FootnoteText"/>
        <w:ind w:left="567" w:hanging="567"/>
        <w:rPr>
          <w:sz w:val="24"/>
          <w:lang w:val="cs-CZ"/>
        </w:rPr>
      </w:pPr>
      <w:r w:rsidRPr="006751CA">
        <w:rPr>
          <w:sz w:val="24"/>
          <w:vertAlign w:val="superscript"/>
          <w:lang w:val="cs-CZ"/>
        </w:rPr>
        <w:t>6</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Nařízení Evropského parlamentu a Rady (EU) 2024/1623 ze dne 31. května 2024, kterým se mění nařízení (EU) č. 575/2013, pokud jde o požadavky týkající se úvěrového rizika, rizika úvěrové úpravy v ocenění, operačního rizika, tržního rizika a minimální výstupní prahy (Úř. věst. L, 2024/1623, 19.6.2024, ELI: </w:t>
      </w:r>
      <w:hyperlink r:id="rId5" w:tgtFrame="http://data.europa.eu/eli/reg/2024/1623/oj" w:history="1">
        <w:r w:rsidRPr="006751CA">
          <w:rPr>
            <w:rStyle w:val="Hyperlink"/>
            <w:sz w:val="24"/>
            <w:lang w:val="cs-CZ"/>
          </w:rPr>
          <w:t>http://data.europa.eu/eli/reg/2024/1623/oj</w:t>
        </w:r>
      </w:hyperlink>
      <w:r w:rsidRPr="006751CA">
        <w:rPr>
          <w:sz w:val="24"/>
          <w:lang w:val="cs-CZ"/>
        </w:rPr>
        <w:t>).</w:t>
      </w:r>
    </w:p>
  </w:footnote>
  <w:footnote w:id="7">
    <w:p w14:paraId="54DD439E" w14:textId="777A5AEC" w:rsidR="004C6DEC" w:rsidRPr="006751CA" w:rsidRDefault="004C6DEC" w:rsidP="006751CA">
      <w:pPr>
        <w:pStyle w:val="FootnoteText"/>
        <w:ind w:left="567" w:hanging="567"/>
        <w:rPr>
          <w:sz w:val="24"/>
          <w:lang w:val="cs-CZ"/>
        </w:rPr>
      </w:pPr>
      <w:r w:rsidRPr="006751CA">
        <w:rPr>
          <w:sz w:val="24"/>
          <w:vertAlign w:val="superscript"/>
          <w:lang w:val="cs-CZ"/>
        </w:rPr>
        <w:t>7</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Úř. věst. L</w:t>
      </w:r>
      <w:r w:rsidR="00612E70">
        <w:rPr>
          <w:sz w:val="24"/>
          <w:lang w:val="cs-CZ"/>
        </w:rPr>
        <w:t>,</w:t>
      </w:r>
      <w:r w:rsidRPr="006751CA">
        <w:rPr>
          <w:sz w:val="24"/>
          <w:lang w:val="cs-CZ"/>
        </w:rPr>
        <w:t xml:space="preserve"> 2024/2795, 31.10.2024, ELI: </w:t>
      </w:r>
      <w:hyperlink r:id="rId6" w:tgtFrame="http://data.europa.eu/eli/reg_del/2024/2795/oj" w:history="1">
        <w:r w:rsidRPr="006751CA">
          <w:rPr>
            <w:rStyle w:val="Hyperlink"/>
            <w:sz w:val="24"/>
            <w:lang w:val="cs-CZ"/>
          </w:rPr>
          <w:t>http://data.europa.eu/eli/reg_del/2024/2795/oj</w:t>
        </w:r>
      </w:hyperlink>
      <w:r w:rsidRPr="006751CA">
        <w:rPr>
          <w:sz w:val="24"/>
          <w:lang w:val="cs-CZ"/>
        </w:rPr>
        <w:t>.</w:t>
      </w:r>
    </w:p>
  </w:footnote>
  <w:footnote w:id="8">
    <w:p w14:paraId="4777E0B6" w14:textId="02684865" w:rsidR="004C6DEC" w:rsidRPr="006751CA" w:rsidRDefault="004C6DEC" w:rsidP="006751CA">
      <w:pPr>
        <w:pStyle w:val="FootnoteText"/>
        <w:ind w:left="567" w:hanging="567"/>
        <w:rPr>
          <w:sz w:val="24"/>
          <w:lang w:val="cs-CZ"/>
        </w:rPr>
      </w:pPr>
      <w:r w:rsidRPr="006751CA">
        <w:rPr>
          <w:sz w:val="24"/>
          <w:vertAlign w:val="superscript"/>
          <w:lang w:val="cs-CZ"/>
        </w:rPr>
        <w:t>8</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Úř. věst. C, C/2025/3752, 17.9.2025, ELI: </w:t>
      </w:r>
      <w:hyperlink r:id="rId7" w:tgtFrame="http://data.europa.eu/eli/C/2025/3752/oj" w:history="1">
        <w:r w:rsidRPr="006751CA">
          <w:rPr>
            <w:rStyle w:val="Hyperlink"/>
            <w:sz w:val="24"/>
            <w:lang w:val="cs-CZ"/>
          </w:rPr>
          <w:t>http://data.europa.eu/eli/C/2025/3752/oj</w:t>
        </w:r>
      </w:hyperlink>
      <w:r w:rsidRPr="006751CA">
        <w:rPr>
          <w:sz w:val="24"/>
          <w:lang w:val="cs-CZ"/>
        </w:rPr>
        <w:t>.</w:t>
      </w:r>
    </w:p>
  </w:footnote>
  <w:footnote w:id="9">
    <w:p w14:paraId="5CF47790" w14:textId="10E49C44" w:rsidR="004C6DEC" w:rsidRPr="006751CA" w:rsidRDefault="004C6DEC" w:rsidP="006751CA">
      <w:pPr>
        <w:pStyle w:val="FootnoteText"/>
        <w:ind w:left="567" w:hanging="567"/>
        <w:rPr>
          <w:sz w:val="24"/>
          <w:lang w:val="cs-CZ"/>
        </w:rPr>
      </w:pPr>
      <w:r w:rsidRPr="006751CA">
        <w:rPr>
          <w:sz w:val="24"/>
          <w:vertAlign w:val="superscript"/>
          <w:lang w:val="cs-CZ"/>
        </w:rPr>
        <w:t>9</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Úř. věst. </w:t>
      </w:r>
      <w:r w:rsidR="00612E70">
        <w:rPr>
          <w:sz w:val="24"/>
          <w:lang w:val="cs-CZ"/>
        </w:rPr>
        <w:t xml:space="preserve">C, </w:t>
      </w:r>
      <w:r w:rsidRPr="006751CA">
        <w:rPr>
          <w:sz w:val="24"/>
          <w:lang w:val="cs-CZ"/>
        </w:rPr>
        <w:t xml:space="preserve">C/2025/3753, 17.9.2025, ELI: </w:t>
      </w:r>
      <w:hyperlink r:id="rId8" w:tgtFrame="http://data.europa.eu/eli/C/2025/3753/oj" w:history="1">
        <w:r w:rsidRPr="006751CA">
          <w:rPr>
            <w:rStyle w:val="Hyperlink"/>
            <w:sz w:val="24"/>
            <w:lang w:val="cs-CZ"/>
          </w:rPr>
          <w:t>http://data.europa.eu/eli/C/2025/3753/oj</w:t>
        </w:r>
      </w:hyperlink>
      <w:r w:rsidRPr="006751CA">
        <w:rPr>
          <w:sz w:val="24"/>
          <w:lang w:val="cs-CZ"/>
        </w:rPr>
        <w:t>.</w:t>
      </w:r>
    </w:p>
  </w:footnote>
  <w:footnote w:id="10">
    <w:p w14:paraId="299BBA29" w14:textId="7DB1A180" w:rsidR="004C6DEC" w:rsidRPr="006751CA" w:rsidRDefault="004C6DEC" w:rsidP="006751CA">
      <w:pPr>
        <w:pStyle w:val="FootnoteText"/>
        <w:ind w:left="567" w:hanging="567"/>
        <w:rPr>
          <w:sz w:val="24"/>
          <w:lang w:val="cs-CZ"/>
        </w:rPr>
      </w:pPr>
      <w:r w:rsidRPr="006751CA">
        <w:rPr>
          <w:sz w:val="24"/>
          <w:vertAlign w:val="superscript"/>
          <w:lang w:val="cs-CZ"/>
        </w:rPr>
        <w:t>10</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Úř. věst. C, C/2025/3754, 17.9.2025, ELI: </w:t>
      </w:r>
      <w:hyperlink r:id="rId9" w:tgtFrame="http://data.europa.eu/eli/C/2025/3754/oj" w:history="1">
        <w:r w:rsidRPr="006751CA">
          <w:rPr>
            <w:rStyle w:val="Hyperlink"/>
            <w:sz w:val="24"/>
            <w:lang w:val="cs-CZ"/>
          </w:rPr>
          <w:t>http://data.europa.eu/eli/C/2025/3754/oj</w:t>
        </w:r>
      </w:hyperlink>
      <w:r w:rsidRPr="006751CA">
        <w:rPr>
          <w:sz w:val="24"/>
          <w:lang w:val="cs-CZ"/>
        </w:rPr>
        <w:t>.</w:t>
      </w:r>
    </w:p>
  </w:footnote>
  <w:footnote w:id="11">
    <w:p w14:paraId="5641917B" w14:textId="2CE1CE17" w:rsidR="004C6DEC" w:rsidRPr="006751CA" w:rsidRDefault="004C6DEC" w:rsidP="006751CA">
      <w:pPr>
        <w:pStyle w:val="FootnoteText"/>
        <w:ind w:left="567" w:hanging="567"/>
        <w:rPr>
          <w:sz w:val="24"/>
          <w:lang w:val="cs-CZ"/>
        </w:rPr>
      </w:pPr>
      <w:r w:rsidRPr="006751CA">
        <w:rPr>
          <w:sz w:val="24"/>
          <w:vertAlign w:val="superscript"/>
          <w:lang w:val="cs-CZ"/>
        </w:rPr>
        <w:t>11</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Úř. věst. C 23, 21.1.2021, s. 105.</w:t>
      </w:r>
    </w:p>
  </w:footnote>
  <w:footnote w:id="12">
    <w:p w14:paraId="2C770CAD" w14:textId="7FD987A2" w:rsidR="004C6DEC" w:rsidRPr="006751CA" w:rsidRDefault="004C6DEC" w:rsidP="006751CA">
      <w:pPr>
        <w:pStyle w:val="FootnoteText"/>
        <w:ind w:left="567" w:hanging="567"/>
        <w:rPr>
          <w:sz w:val="24"/>
          <w:lang w:val="cs-CZ"/>
        </w:rPr>
      </w:pPr>
      <w:r w:rsidRPr="006751CA">
        <w:rPr>
          <w:sz w:val="24"/>
          <w:vertAlign w:val="superscript"/>
          <w:lang w:val="cs-CZ"/>
        </w:rPr>
        <w:t>12</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Úř. věst. C 494, 8.12.2021, s. 118.</w:t>
      </w:r>
    </w:p>
  </w:footnote>
  <w:footnote w:id="13">
    <w:p w14:paraId="6E2E1F63" w14:textId="348B29F8" w:rsidR="004C6DEC" w:rsidRPr="006751CA" w:rsidRDefault="004C6DEC" w:rsidP="006751CA">
      <w:pPr>
        <w:pStyle w:val="FootnoteText"/>
        <w:ind w:left="567" w:hanging="567"/>
        <w:rPr>
          <w:sz w:val="24"/>
          <w:lang w:val="cs-CZ"/>
        </w:rPr>
      </w:pPr>
      <w:r w:rsidRPr="006751CA">
        <w:rPr>
          <w:sz w:val="24"/>
          <w:vertAlign w:val="superscript"/>
          <w:lang w:val="cs-CZ"/>
        </w:rPr>
        <w:t>13</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Evropský institut pro rovnost žen a mužů, „Gender in entrepreneurship“ (Gender v podnikání), 2017, s. 5-6.</w:t>
      </w:r>
    </w:p>
  </w:footnote>
  <w:footnote w:id="14">
    <w:p w14:paraId="7A77114C" w14:textId="7F2D80CB" w:rsidR="004C6DEC" w:rsidRPr="006751CA" w:rsidRDefault="004C6DEC" w:rsidP="006751CA">
      <w:pPr>
        <w:pStyle w:val="FootnoteText"/>
        <w:ind w:left="567" w:hanging="567"/>
        <w:rPr>
          <w:sz w:val="24"/>
          <w:lang w:val="cs-CZ"/>
        </w:rPr>
      </w:pPr>
      <w:r w:rsidRPr="006751CA">
        <w:rPr>
          <w:sz w:val="24"/>
          <w:vertAlign w:val="superscript"/>
          <w:lang w:val="cs-CZ"/>
        </w:rPr>
        <w:t>14</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Maneely, M./Ratnovski, L., „Bank Profits and Bank Taxes in the EU“ (Zisky a zdanění bank v EU), MMF, červenec 2024.</w:t>
      </w:r>
    </w:p>
  </w:footnote>
  <w:footnote w:id="15">
    <w:p w14:paraId="44DF8606" w14:textId="5DADFF79" w:rsidR="004C6DEC" w:rsidRPr="006751CA" w:rsidRDefault="004C6DEC" w:rsidP="006751CA">
      <w:pPr>
        <w:pStyle w:val="FootnoteText"/>
        <w:ind w:left="567" w:hanging="567"/>
        <w:rPr>
          <w:sz w:val="24"/>
          <w:lang w:val="cs-CZ"/>
        </w:rPr>
      </w:pPr>
      <w:r w:rsidRPr="006751CA">
        <w:rPr>
          <w:sz w:val="24"/>
          <w:vertAlign w:val="superscript"/>
          <w:lang w:val="cs-CZ"/>
        </w:rPr>
        <w:t>15</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ECB, „Statistika bankovního dohledu – druhé čtvrtletí 2025“.</w:t>
      </w:r>
    </w:p>
  </w:footnote>
  <w:footnote w:id="16">
    <w:p w14:paraId="4E255FEF" w14:textId="56DBB840" w:rsidR="004C6DEC" w:rsidRPr="006751CA" w:rsidRDefault="004C6DEC" w:rsidP="006751CA">
      <w:pPr>
        <w:pStyle w:val="FootnoteText"/>
        <w:ind w:left="567" w:hanging="567"/>
        <w:rPr>
          <w:sz w:val="24"/>
          <w:lang w:val="cs-CZ"/>
        </w:rPr>
      </w:pPr>
      <w:r w:rsidRPr="006751CA">
        <w:rPr>
          <w:sz w:val="24"/>
          <w:vertAlign w:val="superscript"/>
          <w:lang w:val="cs-CZ"/>
        </w:rPr>
        <w:t>16</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Behn, M. &amp; Reghezza, A., „Capital requirements: a pillar or a burden for banks competitiveness?“ (Kapitálové požadavky: pilíř nebo zátěž pro konkurenceschopnost bank?), </w:t>
      </w:r>
      <w:r w:rsidRPr="006751CA">
        <w:rPr>
          <w:i/>
          <w:sz w:val="24"/>
          <w:lang w:val="cs-CZ"/>
        </w:rPr>
        <w:t>ECB Occasional Paper Series</w:t>
      </w:r>
      <w:r w:rsidRPr="006751CA">
        <w:rPr>
          <w:sz w:val="24"/>
          <w:lang w:val="cs-CZ"/>
        </w:rPr>
        <w:t>, č. 376, Frankfurt 2025.</w:t>
      </w:r>
    </w:p>
  </w:footnote>
  <w:footnote w:id="17">
    <w:p w14:paraId="0ADE1FCE" w14:textId="7778931D" w:rsidR="004C6DEC" w:rsidRPr="006751CA" w:rsidRDefault="004C6DEC" w:rsidP="006751CA">
      <w:pPr>
        <w:pStyle w:val="FootnoteText"/>
        <w:ind w:left="567" w:hanging="567"/>
        <w:rPr>
          <w:sz w:val="24"/>
          <w:lang w:val="cs-CZ"/>
        </w:rPr>
      </w:pPr>
      <w:r w:rsidRPr="006751CA">
        <w:rPr>
          <w:sz w:val="24"/>
          <w:vertAlign w:val="superscript"/>
          <w:lang w:val="cs-CZ"/>
        </w:rPr>
        <w:t>17</w:t>
      </w:r>
      <w:r w:rsidR="006751CA" w:rsidRPr="006751CA">
        <w:rPr>
          <w:sz w:val="24"/>
          <w:vertAlign w:val="superscript"/>
          <w:lang w:val="cs-CZ"/>
        </w:rPr>
        <w:t xml:space="preserve"> </w:t>
      </w:r>
      <w:r w:rsidR="006751CA" w:rsidRPr="006751CA">
        <w:rPr>
          <w:sz w:val="24"/>
          <w:vertAlign w:val="superscript"/>
          <w:lang w:val="cs-CZ"/>
        </w:rPr>
        <w:tab/>
      </w:r>
      <w:r w:rsidRPr="006751CA">
        <w:rPr>
          <w:sz w:val="24"/>
          <w:lang w:val="cs-CZ"/>
        </w:rPr>
        <w:t xml:space="preserve">Nařízení Evropského parlamentu a Rady (EU) 2023/1114 ze dne 31. května 2023 o trzích kryptoaktiv a o změně nařízení (EU) č. 1093/2010 a (EU) č. 1095/2010 a směrnic 2013/36/EU a (EU) 2019/1937 (Úř. věst. L 150, 9.6.2023, s. 40, ELI: </w:t>
      </w:r>
      <w:hyperlink r:id="rId10" w:tgtFrame="http://data.europa.eu/eli/reg/2023/1114/oj" w:history="1">
        <w:r w:rsidRPr="006751CA">
          <w:rPr>
            <w:rStyle w:val="Hyperlink"/>
            <w:sz w:val="24"/>
            <w:lang w:val="cs-CZ"/>
          </w:rPr>
          <w:t>http://data.europa.eu/eli/reg/2023/1114/oj</w:t>
        </w:r>
      </w:hyperlink>
      <w:r w:rsidRPr="006751CA">
        <w:rPr>
          <w:sz w:val="24"/>
          <w:lang w:val="cs-CZ"/>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0FAADA" w14:textId="77777777" w:rsidR="00064002" w:rsidRPr="006751CA"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A85B81" w14:textId="77777777" w:rsidR="00064002" w:rsidRPr="006751CA"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E1BC73" w14:textId="77777777" w:rsidR="00064002" w:rsidRPr="006751CA"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3868937">
    <w:abstractNumId w:val="9"/>
  </w:num>
  <w:num w:numId="2" w16cid:durableId="396560010">
    <w:abstractNumId w:val="9"/>
  </w:num>
  <w:num w:numId="3" w16cid:durableId="1769036086">
    <w:abstractNumId w:val="7"/>
  </w:num>
  <w:num w:numId="4" w16cid:durableId="301009761">
    <w:abstractNumId w:val="7"/>
  </w:num>
  <w:num w:numId="5" w16cid:durableId="832530569">
    <w:abstractNumId w:val="6"/>
  </w:num>
  <w:num w:numId="6" w16cid:durableId="1957174241">
    <w:abstractNumId w:val="6"/>
  </w:num>
  <w:num w:numId="7" w16cid:durableId="1061706859">
    <w:abstractNumId w:val="5"/>
  </w:num>
  <w:num w:numId="8" w16cid:durableId="1836023694">
    <w:abstractNumId w:val="5"/>
  </w:num>
  <w:num w:numId="9" w16cid:durableId="554319895">
    <w:abstractNumId w:val="4"/>
  </w:num>
  <w:num w:numId="10" w16cid:durableId="1310524600">
    <w:abstractNumId w:val="4"/>
  </w:num>
  <w:num w:numId="11" w16cid:durableId="1202479502">
    <w:abstractNumId w:val="8"/>
  </w:num>
  <w:num w:numId="12" w16cid:durableId="460920617">
    <w:abstractNumId w:val="8"/>
  </w:num>
  <w:num w:numId="13" w16cid:durableId="775752392">
    <w:abstractNumId w:val="3"/>
  </w:num>
  <w:num w:numId="14" w16cid:durableId="2082481766">
    <w:abstractNumId w:val="3"/>
  </w:num>
  <w:num w:numId="15" w16cid:durableId="740829945">
    <w:abstractNumId w:val="2"/>
  </w:num>
  <w:num w:numId="16" w16cid:durableId="1809087148">
    <w:abstractNumId w:val="2"/>
  </w:num>
  <w:num w:numId="17" w16cid:durableId="1562406904">
    <w:abstractNumId w:val="1"/>
  </w:num>
  <w:num w:numId="18" w16cid:durableId="1682051588">
    <w:abstractNumId w:val="1"/>
  </w:num>
  <w:num w:numId="19" w16cid:durableId="1769807752">
    <w:abstractNumId w:val="0"/>
  </w:num>
  <w:num w:numId="20" w16cid:durableId="949358899">
    <w:abstractNumId w:val="0"/>
  </w:num>
  <w:num w:numId="21" w16cid:durableId="1280070807">
    <w:abstractNumId w:val="9"/>
  </w:num>
  <w:num w:numId="22" w16cid:durableId="1786342422">
    <w:abstractNumId w:val="7"/>
  </w:num>
  <w:num w:numId="23" w16cid:durableId="1065226622">
    <w:abstractNumId w:val="6"/>
  </w:num>
  <w:num w:numId="24" w16cid:durableId="263222508">
    <w:abstractNumId w:val="5"/>
  </w:num>
  <w:num w:numId="25" w16cid:durableId="1386758166">
    <w:abstractNumId w:val="4"/>
  </w:num>
  <w:num w:numId="26" w16cid:durableId="1592397433">
    <w:abstractNumId w:val="8"/>
  </w:num>
  <w:num w:numId="27" w16cid:durableId="1253851358">
    <w:abstractNumId w:val="3"/>
  </w:num>
  <w:num w:numId="28" w16cid:durableId="890190836">
    <w:abstractNumId w:val="2"/>
  </w:num>
  <w:num w:numId="29" w16cid:durableId="431361366">
    <w:abstractNumId w:val="1"/>
  </w:num>
  <w:num w:numId="30" w16cid:durableId="1726567167">
    <w:abstractNumId w:val="0"/>
  </w:num>
  <w:num w:numId="31" w16cid:durableId="447354774">
    <w:abstractNumId w:val="9"/>
  </w:num>
  <w:num w:numId="32" w16cid:durableId="429399375">
    <w:abstractNumId w:val="7"/>
  </w:num>
  <w:num w:numId="33" w16cid:durableId="1985157510">
    <w:abstractNumId w:val="6"/>
  </w:num>
  <w:num w:numId="34" w16cid:durableId="69893681">
    <w:abstractNumId w:val="5"/>
  </w:num>
  <w:num w:numId="35" w16cid:durableId="1232960654">
    <w:abstractNumId w:val="4"/>
  </w:num>
  <w:num w:numId="36" w16cid:durableId="51079305">
    <w:abstractNumId w:val="8"/>
  </w:num>
  <w:num w:numId="37" w16cid:durableId="302854313">
    <w:abstractNumId w:val="3"/>
  </w:num>
  <w:num w:numId="38" w16cid:durableId="953365214">
    <w:abstractNumId w:val="2"/>
  </w:num>
  <w:num w:numId="39" w16cid:durableId="332530019">
    <w:abstractNumId w:val="1"/>
  </w:num>
  <w:num w:numId="40" w16cid:durableId="2143040183">
    <w:abstractNumId w:val="0"/>
  </w:num>
  <w:num w:numId="41" w16cid:durableId="1707831732">
    <w:abstractNumId w:val="10"/>
  </w:num>
  <w:num w:numId="42" w16cid:durableId="637225930">
    <w:abstractNumId w:val="10"/>
  </w:num>
  <w:num w:numId="43" w16cid:durableId="467822033">
    <w:abstractNumId w:val="10"/>
  </w:num>
  <w:num w:numId="44" w16cid:durableId="603719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79/2026"/>
    <w:docVar w:name="dvlangue" w:val="CS"/>
    <w:docVar w:name="dvnumam" w:val="0"/>
    <w:docVar w:name="dvpe" w:val="779.660"/>
    <w:docVar w:name="dvrapporteur" w:val="Zpravodajka: "/>
    <w:docVar w:name="dvtitre" w:val="Usnesení Evropského parlamentu ze dne.... 2026 o bankovní unii – výroční zpráva za rok 2025(2025/2136(INI))"/>
  </w:docVars>
  <w:rsids>
    <w:rsidRoot w:val="00653D1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C6DEC"/>
    <w:rsid w:val="0050519A"/>
    <w:rsid w:val="005072A1"/>
    <w:rsid w:val="00514517"/>
    <w:rsid w:val="00545827"/>
    <w:rsid w:val="00560270"/>
    <w:rsid w:val="00580291"/>
    <w:rsid w:val="00584686"/>
    <w:rsid w:val="005C2568"/>
    <w:rsid w:val="005F1B17"/>
    <w:rsid w:val="006037C0"/>
    <w:rsid w:val="00612E70"/>
    <w:rsid w:val="00653D11"/>
    <w:rsid w:val="006631B6"/>
    <w:rsid w:val="006751CA"/>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31943"/>
    <w:rsid w:val="00A43E52"/>
    <w:rsid w:val="00A4678D"/>
    <w:rsid w:val="00A778C7"/>
    <w:rsid w:val="00AB441E"/>
    <w:rsid w:val="00AB6293"/>
    <w:rsid w:val="00AE0928"/>
    <w:rsid w:val="00AF3B82"/>
    <w:rsid w:val="00B12E95"/>
    <w:rsid w:val="00B22876"/>
    <w:rsid w:val="00B558F0"/>
    <w:rsid w:val="00B86AB3"/>
    <w:rsid w:val="00BC4768"/>
    <w:rsid w:val="00BD48FE"/>
    <w:rsid w:val="00BD7BD8"/>
    <w:rsid w:val="00BE6ADC"/>
    <w:rsid w:val="00C05BFE"/>
    <w:rsid w:val="00C23CD4"/>
    <w:rsid w:val="00C61C0C"/>
    <w:rsid w:val="00C941CB"/>
    <w:rsid w:val="00CC2357"/>
    <w:rsid w:val="00CF04B3"/>
    <w:rsid w:val="00CF071A"/>
    <w:rsid w:val="00D058B8"/>
    <w:rsid w:val="00D56C11"/>
    <w:rsid w:val="00D834A0"/>
    <w:rsid w:val="00D872DF"/>
    <w:rsid w:val="00D91E21"/>
    <w:rsid w:val="00DA7FCD"/>
    <w:rsid w:val="00E22D88"/>
    <w:rsid w:val="00E365E1"/>
    <w:rsid w:val="00E820A4"/>
    <w:rsid w:val="00EB006A"/>
    <w:rsid w:val="00EB4772"/>
    <w:rsid w:val="00ED169E"/>
    <w:rsid w:val="00ED4235"/>
    <w:rsid w:val="00F04346"/>
    <w:rsid w:val="00F075DC"/>
    <w:rsid w:val="00F149E9"/>
    <w:rsid w:val="00F5134D"/>
    <w:rsid w:val="00F54643"/>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588E05"/>
  <w15:chartTrackingRefBased/>
  <w15:docId w15:val="{FE987E39-93FD-4465-9E92-042C5777C9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cs-CZ"/>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4C6DEC"/>
    <w:pPr>
      <w:widowControl/>
      <w:spacing w:after="240"/>
    </w:pPr>
    <w:rPr>
      <w:szCs w:val="24"/>
      <w:lang w:eastAsia="en-US"/>
    </w:rPr>
  </w:style>
  <w:style w:type="paragraph" w:customStyle="1" w:styleId="NormalHanging12a">
    <w:name w:val="NormalHanging12a"/>
    <w:basedOn w:val="Normal"/>
    <w:rsid w:val="004C6DEC"/>
    <w:pPr>
      <w:widowControl/>
      <w:spacing w:after="240"/>
      <w:ind w:left="566" w:hanging="566"/>
    </w:pPr>
    <w:rPr>
      <w:szCs w:val="24"/>
      <w:lang w:eastAsia="en-US"/>
    </w:rPr>
  </w:style>
  <w:style w:type="paragraph" w:customStyle="1" w:styleId="Normal12">
    <w:name w:val="Normal12"/>
    <w:basedOn w:val="Normal"/>
    <w:rsid w:val="004C6DEC"/>
    <w:pPr>
      <w:widowControl/>
      <w:spacing w:after="240"/>
    </w:pPr>
    <w:rPr>
      <w:szCs w:val="24"/>
      <w:lang w:eastAsia="en-US"/>
    </w:rPr>
  </w:style>
  <w:style w:type="paragraph" w:customStyle="1" w:styleId="NormalHanging">
    <w:name w:val="NormalHanging"/>
    <w:basedOn w:val="Normal"/>
    <w:rsid w:val="004C6DEC"/>
    <w:pPr>
      <w:widowControl/>
      <w:spacing w:after="240"/>
      <w:ind w:left="566" w:hanging="566"/>
    </w:pPr>
    <w:rPr>
      <w:szCs w:val="24"/>
      <w:lang w:eastAsia="en-US"/>
    </w:rPr>
  </w:style>
  <w:style w:type="paragraph" w:customStyle="1" w:styleId="NormalCenter12a">
    <w:name w:val="NormalCenter12a"/>
    <w:basedOn w:val="Normal"/>
    <w:rsid w:val="004C6DEC"/>
    <w:pPr>
      <w:widowControl/>
      <w:spacing w:after="240"/>
      <w:jc w:val="center"/>
    </w:pPr>
    <w:rPr>
      <w:szCs w:val="24"/>
      <w:lang w:eastAsia="en-US"/>
    </w:rPr>
  </w:style>
  <w:style w:type="character" w:styleId="Hyperlink">
    <w:name w:val="Hyperlink"/>
    <w:basedOn w:val="DefaultParagraphFont"/>
    <w:rsid w:val="004C6DEC"/>
    <w:rPr>
      <w:color w:val="0000FF"/>
      <w:u w:val="single"/>
    </w:rPr>
  </w:style>
  <w:style w:type="paragraph" w:styleId="Revision">
    <w:name w:val="Revision"/>
    <w:hidden/>
    <w:uiPriority w:val="99"/>
    <w:semiHidden/>
    <w:rsid w:val="00B86AB3"/>
    <w:rPr>
      <w:sz w:val="24"/>
      <w:lang w:val="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ur-lex.europa.eu/legal-content/EN/ALL/?uri=CELEX:52025DC0124"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3753/oj" TargetMode="External"/><Relationship Id="rId3" Type="http://schemas.openxmlformats.org/officeDocument/2006/relationships/hyperlink" Target="http://data.europa.eu/eli/reg/2024/1620/oj" TargetMode="External"/><Relationship Id="rId7" Type="http://schemas.openxmlformats.org/officeDocument/2006/relationships/hyperlink" Target="http://data.europa.eu/eli/C/2025/3752/oj" TargetMode="External"/><Relationship Id="rId2" Type="http://schemas.openxmlformats.org/officeDocument/2006/relationships/hyperlink" Target="http://data.europa.eu/eli/reg/2024/1624/oj" TargetMode="External"/><Relationship Id="rId1" Type="http://schemas.openxmlformats.org/officeDocument/2006/relationships/hyperlink" Target="http://data.europa.eu/eli/dir/2024/1640/oj" TargetMode="External"/><Relationship Id="rId6" Type="http://schemas.openxmlformats.org/officeDocument/2006/relationships/hyperlink" Target="http://data.europa.eu/eli/reg_del/2024/2795/oj" TargetMode="External"/><Relationship Id="rId5" Type="http://schemas.openxmlformats.org/officeDocument/2006/relationships/hyperlink" Target="http://data.europa.eu/eli/reg/2024/1623/oj" TargetMode="External"/><Relationship Id="rId10" Type="http://schemas.openxmlformats.org/officeDocument/2006/relationships/hyperlink" Target="http://data.europa.eu/eli/reg/2023/1114/oj" TargetMode="External"/><Relationship Id="rId4" Type="http://schemas.openxmlformats.org/officeDocument/2006/relationships/hyperlink" Target="http://data.europa.eu/eli/dir/2024/1619/oj" TargetMode="External"/><Relationship Id="rId9" Type="http://schemas.openxmlformats.org/officeDocument/2006/relationships/hyperlink" Target="http://data.europa.eu/eli/C/2025/375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3831</Words>
  <Characters>23400</Characters>
  <Application>Microsoft Office Word</Application>
  <DocSecurity>0</DocSecurity>
  <Lines>195</Lines>
  <Paragraphs>54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27177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HILL Romana</dc:creator>
  <cp:keywords/>
  <cp:lastModifiedBy>SMAKALOVA Sona</cp:lastModifiedBy>
  <cp:revision>2</cp:revision>
  <cp:lastPrinted>2004-11-19T15:42:00Z</cp:lastPrinted>
  <dcterms:created xsi:type="dcterms:W3CDTF">2026-06-05T08:36:00Z</dcterms:created>
  <dcterms:modified xsi:type="dcterms:W3CDTF">2026-06-05T08:36:00Z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A10-0079/2026</vt:lpwstr>
  </property>
  <property fmtid="{D5CDD505-2E9C-101B-9397-08002B2CF9AE}" pid="4" name="&lt;Type&gt;">
    <vt:lpwstr>RR</vt:lpwstr>
  </property>
</Properties>
</file>