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009C" w14:paraId="10F17C3C" w14:textId="77777777" w:rsidTr="0010095E">
        <w:trPr>
          <w:trHeight w:hRule="exact" w:val="1418"/>
        </w:trPr>
        <w:tc>
          <w:tcPr>
            <w:tcW w:w="6804" w:type="dxa"/>
            <w:shd w:val="clear" w:color="auto" w:fill="auto"/>
            <w:vAlign w:val="center"/>
          </w:tcPr>
          <w:p w14:paraId="5F36A86C" w14:textId="77777777" w:rsidR="00751A4A" w:rsidRPr="0051009C" w:rsidRDefault="005F4E94" w:rsidP="0010095E">
            <w:pPr>
              <w:pStyle w:val="EPName"/>
            </w:pPr>
            <w:r w:rsidRPr="0051009C">
              <w:t>Ευρωπαϊκό Κοινοβούλιο</w:t>
            </w:r>
          </w:p>
          <w:p w14:paraId="4EE81259" w14:textId="77777777" w:rsidR="00751A4A" w:rsidRPr="0051009C" w:rsidRDefault="005F1B17" w:rsidP="005F1B17">
            <w:pPr>
              <w:pStyle w:val="EPTerm"/>
              <w:rPr>
                <w:rStyle w:val="HideTWBExt"/>
                <w:noProof w:val="0"/>
                <w:vanish w:val="0"/>
                <w:color w:val="auto"/>
              </w:rPr>
            </w:pPr>
            <w:r w:rsidRPr="0051009C">
              <w:t>2024</w:t>
            </w:r>
            <w:r w:rsidR="00817416" w:rsidRPr="0051009C">
              <w:t>-202</w:t>
            </w:r>
            <w:r w:rsidRPr="0051009C">
              <w:t>9</w:t>
            </w:r>
          </w:p>
        </w:tc>
        <w:tc>
          <w:tcPr>
            <w:tcW w:w="2268" w:type="dxa"/>
            <w:shd w:val="clear" w:color="auto" w:fill="auto"/>
          </w:tcPr>
          <w:p w14:paraId="3814CC61" w14:textId="77777777" w:rsidR="00751A4A" w:rsidRPr="0051009C" w:rsidRDefault="00187494" w:rsidP="0010095E">
            <w:pPr>
              <w:pStyle w:val="EPLogo"/>
            </w:pPr>
            <w:r w:rsidRPr="0051009C">
              <w:rPr>
                <w:noProof/>
                <w:lang w:eastAsia="ja-JP"/>
              </w:rPr>
              <w:drawing>
                <wp:inline distT="0" distB="0" distL="0" distR="0" wp14:anchorId="7EFB831E" wp14:editId="11E211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37B8DB" w14:textId="77777777" w:rsidR="00D058B8" w:rsidRPr="0051009C" w:rsidRDefault="00D058B8" w:rsidP="004C5D52">
      <w:pPr>
        <w:pStyle w:val="LineTop"/>
      </w:pPr>
    </w:p>
    <w:p w14:paraId="43BB5FBB" w14:textId="77777777" w:rsidR="00680577" w:rsidRPr="0051009C" w:rsidRDefault="005F4E94" w:rsidP="00680577">
      <w:pPr>
        <w:pStyle w:val="EPBodyTA1"/>
      </w:pPr>
      <w:r w:rsidRPr="0051009C">
        <w:t>ΚΕΙΜΕΝΑ ΠΟΥ ΕΓΚΡΙΘΗΚΑΝ</w:t>
      </w:r>
    </w:p>
    <w:p w14:paraId="06546F4A" w14:textId="77777777" w:rsidR="00D058B8" w:rsidRPr="0051009C" w:rsidRDefault="00D058B8" w:rsidP="00D058B8">
      <w:pPr>
        <w:pStyle w:val="LineBottom"/>
      </w:pPr>
    </w:p>
    <w:p w14:paraId="703E2200" w14:textId="14CCEA00" w:rsidR="005F4E94" w:rsidRPr="0051009C" w:rsidRDefault="005F4E94" w:rsidP="005F4E94">
      <w:pPr>
        <w:pStyle w:val="ATHeading1"/>
      </w:pPr>
      <w:bookmarkStart w:id="0" w:name="TANumber"/>
      <w:r w:rsidRPr="0051009C">
        <w:t>P10_TA(2026)0</w:t>
      </w:r>
      <w:r w:rsidR="006A163A" w:rsidRPr="0051009C">
        <w:t>159</w:t>
      </w:r>
      <w:bookmarkEnd w:id="0"/>
    </w:p>
    <w:p w14:paraId="1AAB5C14" w14:textId="77777777" w:rsidR="005F4E94" w:rsidRPr="0051009C" w:rsidRDefault="005F4E94" w:rsidP="005F4E94">
      <w:pPr>
        <w:pStyle w:val="ATHeading2"/>
      </w:pPr>
      <w:bookmarkStart w:id="1" w:name="title"/>
      <w:r w:rsidRPr="0051009C">
        <w:t>Τραπεζική Ένωση – ετήσια έκθεση για το 2025</w:t>
      </w:r>
      <w:bookmarkEnd w:id="1"/>
    </w:p>
    <w:p w14:paraId="3AF82B54" w14:textId="77777777" w:rsidR="005F4E94" w:rsidRPr="0051009C" w:rsidRDefault="005F4E94" w:rsidP="005F4E94">
      <w:pPr>
        <w:rPr>
          <w:i/>
          <w:vanish/>
        </w:rPr>
      </w:pPr>
      <w:r w:rsidRPr="0051009C">
        <w:rPr>
          <w:i/>
        </w:rPr>
        <w:fldChar w:fldCharType="begin"/>
      </w:r>
      <w:r w:rsidRPr="0051009C">
        <w:rPr>
          <w:i/>
        </w:rPr>
        <w:instrText xml:space="preserve"> TC"(</w:instrText>
      </w:r>
      <w:bookmarkStart w:id="2" w:name="DocNumber"/>
      <w:r w:rsidRPr="0051009C">
        <w:rPr>
          <w:i/>
        </w:rPr>
        <w:instrText>A10-0079/2026</w:instrText>
      </w:r>
      <w:bookmarkEnd w:id="2"/>
      <w:r w:rsidRPr="0051009C">
        <w:rPr>
          <w:i/>
        </w:rPr>
        <w:instrText xml:space="preserve"> - Εισηγήτρια: Evelyn Regner)"\l3 \n&gt; \* MERGEFORMAT </w:instrText>
      </w:r>
      <w:r w:rsidRPr="0051009C">
        <w:rPr>
          <w:i/>
        </w:rPr>
        <w:fldChar w:fldCharType="end"/>
      </w:r>
    </w:p>
    <w:p w14:paraId="5DA31AF8" w14:textId="77777777" w:rsidR="005F4E94" w:rsidRPr="0051009C" w:rsidRDefault="005F4E94" w:rsidP="005F4E94">
      <w:pPr>
        <w:rPr>
          <w:vanish/>
        </w:rPr>
      </w:pPr>
      <w:bookmarkStart w:id="3" w:name="Commission"/>
      <w:r w:rsidRPr="0051009C">
        <w:rPr>
          <w:vanish/>
        </w:rPr>
        <w:t>Επιτροπή Οικονομικής και Νομισματικής Πολιτικής</w:t>
      </w:r>
      <w:bookmarkEnd w:id="3"/>
    </w:p>
    <w:p w14:paraId="554E73AF" w14:textId="77777777" w:rsidR="005F4E94" w:rsidRPr="0051009C" w:rsidRDefault="005F4E94" w:rsidP="005F4E94">
      <w:pPr>
        <w:rPr>
          <w:vanish/>
        </w:rPr>
      </w:pPr>
      <w:bookmarkStart w:id="4" w:name="PE"/>
      <w:r w:rsidRPr="0051009C">
        <w:rPr>
          <w:vanish/>
        </w:rPr>
        <w:t>PE779.660</w:t>
      </w:r>
      <w:bookmarkEnd w:id="4"/>
    </w:p>
    <w:p w14:paraId="3DB8E760" w14:textId="5FA794CE" w:rsidR="005F4E94" w:rsidRPr="0051009C" w:rsidRDefault="005F4E94" w:rsidP="005F4E94">
      <w:pPr>
        <w:pStyle w:val="ATHeading3"/>
      </w:pPr>
      <w:bookmarkStart w:id="5" w:name="Sujet"/>
      <w:r w:rsidRPr="0051009C">
        <w:t xml:space="preserve">Ψήφισμα του Ευρωπαϊκού Κοινοβουλίου της </w:t>
      </w:r>
      <w:r w:rsidR="00827EEA" w:rsidRPr="0051009C">
        <w:t xml:space="preserve">30ής Απριλίου </w:t>
      </w:r>
      <w:r w:rsidRPr="0051009C">
        <w:t>2026 σχετικά με την Τραπεζική Ένωση – ετήσια έκθεση για το 2025</w:t>
      </w:r>
      <w:bookmarkEnd w:id="5"/>
      <w:r w:rsidRPr="0051009C">
        <w:t xml:space="preserve"> </w:t>
      </w:r>
      <w:bookmarkStart w:id="6" w:name="References"/>
      <w:r w:rsidRPr="0051009C">
        <w:t>(2025/2136(INI))</w:t>
      </w:r>
      <w:bookmarkEnd w:id="6"/>
    </w:p>
    <w:p w14:paraId="10E31686" w14:textId="77777777" w:rsidR="00C16B62" w:rsidRPr="0051009C" w:rsidRDefault="00C16B62" w:rsidP="00C16B62">
      <w:pPr>
        <w:pStyle w:val="NormalBold12a"/>
      </w:pPr>
    </w:p>
    <w:p w14:paraId="72E3DECE" w14:textId="77777777" w:rsidR="00C16B62" w:rsidRPr="0051009C" w:rsidRDefault="00C16B62" w:rsidP="00C16B62">
      <w:pPr>
        <w:pStyle w:val="Normal12"/>
      </w:pPr>
      <w:r w:rsidRPr="0051009C">
        <w:rPr>
          <w:i/>
        </w:rPr>
        <w:t>Το Ευρωπαϊκό Κοινοβούλιο</w:t>
      </w:r>
      <w:r w:rsidRPr="0051009C">
        <w:t>,</w:t>
      </w:r>
    </w:p>
    <w:p w14:paraId="2AE773A8" w14:textId="77777777" w:rsidR="00C16B62" w:rsidRPr="0051009C" w:rsidRDefault="00C16B62" w:rsidP="00827EEA">
      <w:pPr>
        <w:pStyle w:val="NormalHanging"/>
        <w:ind w:left="567" w:hanging="567"/>
      </w:pPr>
      <w:r w:rsidRPr="0051009C">
        <w:t>–</w:t>
      </w:r>
      <w:r w:rsidRPr="0051009C">
        <w:tab/>
        <w:t>έχοντας υπόψη το ψήφισμά του της 8ης Μαΐου 2025 σχετικά με την Τραπεζική Ένωση – Ετήσια έκθεση για το 2024</w:t>
      </w:r>
      <w:r w:rsidRPr="0051009C">
        <w:rPr>
          <w:rStyle w:val="FootnoteReference"/>
        </w:rPr>
        <w:footnoteReference w:customMarkFollows="1" w:id="1"/>
        <w:t>1</w:t>
      </w:r>
      <w:r w:rsidRPr="0051009C">
        <w:t>,</w:t>
      </w:r>
    </w:p>
    <w:p w14:paraId="0C4CC063" w14:textId="77777777" w:rsidR="00C16B62" w:rsidRPr="0051009C" w:rsidRDefault="00C16B62" w:rsidP="00827EEA">
      <w:pPr>
        <w:pStyle w:val="NormalHanging"/>
        <w:ind w:left="567" w:hanging="567"/>
      </w:pPr>
      <w:r w:rsidRPr="0051009C">
        <w:t>–</w:t>
      </w:r>
      <w:r w:rsidRPr="0051009C">
        <w:tab/>
        <w:t>έχοντας υπόψη τη συνέχεια που δόθηκε από την Επιτροπή στο ψήφισμα του Κοινοβουλίου της 8ης Μαΐου 2025 με τίτλο «Τραπεζική Ένωση – Ετήσια έκθεση για το 2024»,</w:t>
      </w:r>
    </w:p>
    <w:p w14:paraId="777D4CF6" w14:textId="3A1887FB" w:rsidR="00C16B62" w:rsidRPr="0051009C" w:rsidRDefault="00C16B62" w:rsidP="00827EEA">
      <w:pPr>
        <w:pStyle w:val="NormalHanging"/>
        <w:ind w:left="567" w:hanging="567"/>
      </w:pPr>
      <w:r w:rsidRPr="0051009C">
        <w:t>–</w:t>
      </w:r>
      <w:r w:rsidRPr="0051009C">
        <w:tab/>
        <w:t>έχοντας υπόψη το έγγραφο που δημοσίευσε η Ευρωπαϊκή Κεντρική Τράπεζα (ΕΚΤ), με τίτλο «</w:t>
      </w:r>
      <w:proofErr w:type="spellStart"/>
      <w:r w:rsidRPr="0051009C">
        <w:t>Feedback</w:t>
      </w:r>
      <w:proofErr w:type="spellEnd"/>
      <w:r w:rsidRPr="0051009C">
        <w:t xml:space="preserve"> on the European </w:t>
      </w:r>
      <w:proofErr w:type="spellStart"/>
      <w:r w:rsidRPr="0051009C">
        <w:t>Parliament’s</w:t>
      </w:r>
      <w:proofErr w:type="spellEnd"/>
      <w:r w:rsidRPr="0051009C">
        <w:t xml:space="preserve"> </w:t>
      </w:r>
      <w:proofErr w:type="spellStart"/>
      <w:r w:rsidRPr="0051009C">
        <w:t>resolution</w:t>
      </w:r>
      <w:proofErr w:type="spellEnd"/>
      <w:r w:rsidRPr="0051009C">
        <w:t xml:space="preserve"> on </w:t>
      </w:r>
      <w:proofErr w:type="spellStart"/>
      <w:r w:rsidRPr="0051009C">
        <w:t>Banking</w:t>
      </w:r>
      <w:proofErr w:type="spellEnd"/>
      <w:r w:rsidRPr="0051009C">
        <w:t xml:space="preserve"> Union – </w:t>
      </w:r>
      <w:proofErr w:type="spellStart"/>
      <w:r w:rsidRPr="0051009C">
        <w:t>annual</w:t>
      </w:r>
      <w:proofErr w:type="spellEnd"/>
      <w:r w:rsidRPr="0051009C">
        <w:t xml:space="preserve"> </w:t>
      </w:r>
      <w:proofErr w:type="spellStart"/>
      <w:r w:rsidRPr="0051009C">
        <w:t>report</w:t>
      </w:r>
      <w:proofErr w:type="spellEnd"/>
      <w:r w:rsidRPr="0051009C">
        <w:t xml:space="preserve"> 2024» (Ανατροφοδότηση σχετικά με το ψήφισμα του Ευρωπαϊκού</w:t>
      </w:r>
      <w:r w:rsidR="00827EEA" w:rsidRPr="0051009C">
        <w:t xml:space="preserve"> </w:t>
      </w:r>
      <w:r w:rsidRPr="0051009C">
        <w:t>Κοινοβουλίου για την Τραπεζική Ένωση – ετήσια έκθεση για το 2024),</w:t>
      </w:r>
    </w:p>
    <w:p w14:paraId="1CFE5FA6" w14:textId="77777777" w:rsidR="00C16B62" w:rsidRPr="0051009C" w:rsidRDefault="00C16B62" w:rsidP="00827EEA">
      <w:pPr>
        <w:pStyle w:val="NormalHanging"/>
        <w:ind w:left="567" w:hanging="567"/>
      </w:pPr>
      <w:r w:rsidRPr="0051009C">
        <w:t>–</w:t>
      </w:r>
      <w:r w:rsidRPr="0051009C">
        <w:tab/>
        <w:t>έχοντας υπόψη την ετήσια έκθεση της ΕΚΤ του 2024 για την εποπτική δραστηριότητα, η οποία δημοσιεύτηκε στις 28 Απριλίου 2025,</w:t>
      </w:r>
    </w:p>
    <w:p w14:paraId="65A81488" w14:textId="77777777" w:rsidR="00C16B62" w:rsidRPr="0051009C" w:rsidRDefault="00C16B62" w:rsidP="00827EEA">
      <w:pPr>
        <w:pStyle w:val="NormalHanging"/>
        <w:ind w:left="567" w:hanging="567"/>
      </w:pPr>
      <w:r w:rsidRPr="0051009C">
        <w:t>–</w:t>
      </w:r>
      <w:r w:rsidRPr="0051009C">
        <w:tab/>
        <w:t>έχοντας υπόψη την ετήσια έκθεση του Ενιαίου Συμβουλίου Εξυγίανσης (ΕΣΕ) για το 2024, η οποία δημοσιεύτηκε στις 26 Ιουνίου 2025,</w:t>
      </w:r>
    </w:p>
    <w:p w14:paraId="7C288C34" w14:textId="77777777" w:rsidR="00C16B62" w:rsidRPr="0051009C" w:rsidRDefault="00C16B62" w:rsidP="00827EEA">
      <w:pPr>
        <w:pStyle w:val="NormalHanging"/>
        <w:ind w:left="567" w:hanging="567"/>
      </w:pPr>
      <w:r w:rsidRPr="0051009C">
        <w:t>–</w:t>
      </w:r>
      <w:r w:rsidRPr="0051009C">
        <w:tab/>
        <w:t>έχοντας υπόψη την έγκριση της οδηγίας για την καταπολέμηση της νομιμοποίησης εσόδων από παράνομες δραστηριότητες (AMLD)</w:t>
      </w:r>
      <w:r w:rsidRPr="0051009C">
        <w:rPr>
          <w:rStyle w:val="FootnoteReference"/>
        </w:rPr>
        <w:footnoteReference w:customMarkFollows="1" w:id="2"/>
        <w:t>2</w:t>
      </w:r>
      <w:r w:rsidRPr="0051009C">
        <w:t xml:space="preserve"> και του κανονισμού για την </w:t>
      </w:r>
      <w:r w:rsidRPr="0051009C">
        <w:lastRenderedPageBreak/>
        <w:t>καταπολέμηση της νομιμοποίησης εσόδων από παράνομες δραστηριότητες (AMLR)</w:t>
      </w:r>
      <w:r w:rsidRPr="0051009C">
        <w:rPr>
          <w:rStyle w:val="FootnoteReference"/>
        </w:rPr>
        <w:footnoteReference w:customMarkFollows="1" w:id="3"/>
        <w:t>3</w:t>
      </w:r>
      <w:r w:rsidRPr="0051009C">
        <w:t>, καθώς και τη σύσταση της Αρχής για την καταπολέμηση της νομιμοποίησης εσόδων από παράνομες δραστηριότητες (AMLA)</w:t>
      </w:r>
      <w:r w:rsidRPr="0051009C">
        <w:rPr>
          <w:rStyle w:val="FootnoteReference"/>
        </w:rPr>
        <w:footnoteReference w:customMarkFollows="1" w:id="4"/>
        <w:t>4</w:t>
      </w:r>
      <w:r w:rsidRPr="0051009C">
        <w:t>,</w:t>
      </w:r>
    </w:p>
    <w:p w14:paraId="3A97AF30" w14:textId="77777777" w:rsidR="00C16B62" w:rsidRPr="0051009C" w:rsidRDefault="00C16B62" w:rsidP="00827EEA">
      <w:pPr>
        <w:pStyle w:val="NormalHanging"/>
        <w:ind w:left="567" w:hanging="567"/>
      </w:pPr>
      <w:r w:rsidRPr="0051009C">
        <w:t>–</w:t>
      </w:r>
      <w:r w:rsidRPr="0051009C">
        <w:tab/>
        <w:t>έχοντας υπόψη την εφαρμογή των προτύπων Βασιλεία ΙΙΙ, και συγκεκριμένα την έγκριση τροποποιήσεων της οδηγίας για τις κεφαλαιακές απαιτήσεις</w:t>
      </w:r>
      <w:r w:rsidRPr="0051009C">
        <w:rPr>
          <w:rStyle w:val="FootnoteReference"/>
        </w:rPr>
        <w:footnoteReference w:customMarkFollows="1" w:id="5"/>
        <w:t>5</w:t>
      </w:r>
      <w:r w:rsidRPr="0051009C">
        <w:t xml:space="preserve"> και του κανονισμού για τις κεφαλαιακές απαιτήσεις</w:t>
      </w:r>
      <w:r w:rsidRPr="0051009C">
        <w:rPr>
          <w:rStyle w:val="FootnoteReference"/>
        </w:rPr>
        <w:footnoteReference w:customMarkFollows="1" w:id="6"/>
        <w:t>6</w:t>
      </w:r>
      <w:r w:rsidRPr="0051009C">
        <w:t>,</w:t>
      </w:r>
    </w:p>
    <w:p w14:paraId="6828877F" w14:textId="77777777" w:rsidR="00C16B62" w:rsidRPr="0051009C" w:rsidRDefault="00C16B62" w:rsidP="00827EEA">
      <w:pPr>
        <w:pStyle w:val="NormalHanging"/>
        <w:ind w:left="567" w:hanging="567"/>
      </w:pPr>
      <w:r w:rsidRPr="0051009C">
        <w:t>–</w:t>
      </w:r>
      <w:r w:rsidRPr="0051009C">
        <w:tab/>
        <w:t>έχοντας υπόψη την έγκριση του κατ’ εξουσιοδότηση κανονισμού (ΕΕ) 2024/2795 της Επιτροπής, της 24ης Ιουλίου 2024, για την τροποποίηση του κανονισμού (ΕΕ) αριθ. 575/2013 του Ευρωπαϊκού Κοινοβουλίου και του Συμβουλίου όσον αφορά την ημερομηνία εφαρμογής των απαιτήσεων ιδίων κεφαλαίων για τον κίνδυνο αγοράς</w:t>
      </w:r>
      <w:r w:rsidRPr="0051009C">
        <w:rPr>
          <w:rStyle w:val="FootnoteReference"/>
        </w:rPr>
        <w:footnoteReference w:customMarkFollows="1" w:id="7"/>
        <w:t>7</w:t>
      </w:r>
      <w:r w:rsidRPr="0051009C">
        <w:t>,</w:t>
      </w:r>
    </w:p>
    <w:p w14:paraId="75E302C7" w14:textId="77777777" w:rsidR="00C16B62" w:rsidRPr="0051009C" w:rsidRDefault="00C16B62" w:rsidP="00827EEA">
      <w:pPr>
        <w:pStyle w:val="NormalHanging"/>
        <w:ind w:left="567" w:hanging="567"/>
      </w:pPr>
      <w:r w:rsidRPr="0051009C">
        <w:t>–</w:t>
      </w:r>
      <w:r w:rsidRPr="0051009C">
        <w:tab/>
        <w:t>έχοντας υπόψη τη θέση του σε πρώτη ανάγνωση της 24ης Απριλίου 2024 σχετικά με την πρόταση για κανονισμό του Ευρωπαϊκού Κοινοβουλίου και του Συμβουλίου για την τροποποίηση του κανονισμού (ΕΕ) αριθ. 806/2014 όσον αφορά τα μέτρα έγκαιρης παρέμβασης, τις προϋποθέσεις εξυγίανσης και τη χρηματοδότηση για δράση εξυγίανσης</w:t>
      </w:r>
      <w:r w:rsidRPr="0051009C">
        <w:rPr>
          <w:rStyle w:val="FootnoteReference"/>
        </w:rPr>
        <w:footnoteReference w:customMarkFollows="1" w:id="8"/>
        <w:t>8</w:t>
      </w:r>
      <w:r w:rsidRPr="0051009C">
        <w:t>,</w:t>
      </w:r>
    </w:p>
    <w:p w14:paraId="20EE7EDC" w14:textId="77777777" w:rsidR="00C16B62" w:rsidRPr="0051009C" w:rsidRDefault="00C16B62" w:rsidP="00827EEA">
      <w:pPr>
        <w:pStyle w:val="NormalHanging"/>
        <w:ind w:left="567" w:hanging="567"/>
      </w:pPr>
      <w:r w:rsidRPr="0051009C">
        <w:t>–</w:t>
      </w:r>
      <w:r w:rsidRPr="0051009C">
        <w:tab/>
        <w:t>έχοντας υπόψη τη θέση του σε πρώτη ανάγνωση της 24ης Απριλίου 2024 σχετικά με την πρόταση για οδηγία του Ευρωπαϊκού Κοινοβουλίου και του Συμβουλίου για την τροποποίηση της οδηγίας 2014/59/ΕΕ όσον αφορά τα μέτρα έγκαιρης παρέμβασης, τις προϋποθέσεις εξυγίανσης και τη χρηματοδότηση για δράση εξυγίανσης</w:t>
      </w:r>
      <w:r w:rsidRPr="0051009C">
        <w:rPr>
          <w:rStyle w:val="FootnoteReference"/>
        </w:rPr>
        <w:footnoteReference w:customMarkFollows="1" w:id="9"/>
        <w:t>9</w:t>
      </w:r>
      <w:r w:rsidRPr="0051009C">
        <w:t>,</w:t>
      </w:r>
    </w:p>
    <w:p w14:paraId="78858D6B" w14:textId="77777777" w:rsidR="00C16B62" w:rsidRPr="0051009C" w:rsidRDefault="00C16B62" w:rsidP="00827EEA">
      <w:pPr>
        <w:pStyle w:val="NormalHanging"/>
        <w:ind w:left="567" w:hanging="567"/>
      </w:pPr>
      <w:r w:rsidRPr="0051009C">
        <w:lastRenderedPageBreak/>
        <w:t>–</w:t>
      </w:r>
      <w:r w:rsidRPr="0051009C">
        <w:tab/>
        <w:t>έχοντας υπόψη τη θέση του σε πρώτη ανάγνωση της 24ης Απριλίου 2024 σχετικά με την πρόταση για οδηγία του Ευρωπαϊκού Κοινοβουλίου και του Συμβουλίου για την τροποποίηση της οδηγίας 2014/49/ΕΕ όσον αφορά το πεδίο εφαρμογής της προστασίας των καταθέσεων, τη χρήση των κεφαλαίων των συστημάτων εγγύησης των καταθέσεων, τη διασυνοριακή συνεργασία και τη διαφάνεια</w:t>
      </w:r>
      <w:r w:rsidRPr="0051009C">
        <w:rPr>
          <w:rStyle w:val="FootnoteReference"/>
        </w:rPr>
        <w:footnoteReference w:customMarkFollows="1" w:id="10"/>
        <w:t>10</w:t>
      </w:r>
      <w:r w:rsidRPr="0051009C">
        <w:t>,</w:t>
      </w:r>
    </w:p>
    <w:p w14:paraId="368F375C" w14:textId="77777777" w:rsidR="00C16B62" w:rsidRPr="0051009C" w:rsidRDefault="00C16B62" w:rsidP="00827EEA">
      <w:pPr>
        <w:pStyle w:val="NormalHanging"/>
        <w:ind w:left="567" w:hanging="567"/>
      </w:pPr>
      <w:r w:rsidRPr="0051009C">
        <w:t>–</w:t>
      </w:r>
      <w:r w:rsidRPr="0051009C">
        <w:tab/>
        <w:t>έχοντας υπόψη την έκθεση της Επιτροπής Οικονομικής και Νομισματικής Πολιτικής, της 23ης Απριλίου 2024, σχετικά με την πρόταση κανονισμού του Ευρωπαϊκού Κοινοβουλίου και του Συμβουλίου για την τροποποίηση του κανονισμού (ΕΕ) αριθ. 806/2014 με σκοπό τη θέσπιση Ευρωπαϊκού Συστήματος Ασφάλισης Καταθέσεων,</w:t>
      </w:r>
    </w:p>
    <w:p w14:paraId="2F4B9712" w14:textId="3D5416D3" w:rsidR="00C16B62" w:rsidRPr="0051009C" w:rsidRDefault="00C16B62" w:rsidP="00827EEA">
      <w:pPr>
        <w:pStyle w:val="NormalHanging"/>
        <w:ind w:left="567" w:hanging="567"/>
      </w:pPr>
      <w:r w:rsidRPr="0051009C">
        <w:t>–</w:t>
      </w:r>
      <w:r w:rsidRPr="0051009C">
        <w:tab/>
        <w:t>έχοντας υπόψη την ανακοίνωση της Επιτροπής με τίτλο «Ένωση Αποταμιεύσεων και Επενδύσεων – Στρατηγική για την προώθηση της δημιουργίας πλούτου για τους πολίτες και της οικονομικής ανταγωνιστικότητας στην ΕΕ» (COM(2025)0124),</w:t>
      </w:r>
    </w:p>
    <w:p w14:paraId="01EF4E6E" w14:textId="77777777" w:rsidR="00C16B62" w:rsidRPr="0051009C" w:rsidRDefault="00C16B62" w:rsidP="00827EEA">
      <w:pPr>
        <w:pStyle w:val="NormalHanging"/>
        <w:ind w:left="567" w:hanging="567"/>
      </w:pPr>
      <w:r w:rsidRPr="0051009C">
        <w:t>–</w:t>
      </w:r>
      <w:r w:rsidRPr="0051009C">
        <w:tab/>
        <w:t xml:space="preserve">έχοντας υπόψη την έκθεση του </w:t>
      </w:r>
      <w:proofErr w:type="spellStart"/>
      <w:r w:rsidRPr="0051009C">
        <w:t>Enrico</w:t>
      </w:r>
      <w:proofErr w:type="spellEnd"/>
      <w:r w:rsidRPr="0051009C">
        <w:t xml:space="preserve"> </w:t>
      </w:r>
      <w:proofErr w:type="spellStart"/>
      <w:r w:rsidRPr="0051009C">
        <w:t>Letta</w:t>
      </w:r>
      <w:proofErr w:type="spellEnd"/>
      <w:r w:rsidRPr="0051009C">
        <w:t>, της 10ης Απριλίου 2024, με τίτλο «Κάτι περισσότερο από μια αγορά – Ταχύτητα, ασφάλεια, αλληλεγγύη: ενδυνάμωση της ενιαίας αγοράς για την επίτευξη βιώσιμου μέλλοντος και ευημερίας για όλους τους πολίτες της ΕΕ»,</w:t>
      </w:r>
    </w:p>
    <w:p w14:paraId="54A090FA" w14:textId="77777777" w:rsidR="00C16B62" w:rsidRPr="0051009C" w:rsidRDefault="00C16B62" w:rsidP="00827EEA">
      <w:pPr>
        <w:pStyle w:val="NormalHanging"/>
        <w:ind w:left="567" w:hanging="567"/>
      </w:pPr>
      <w:r w:rsidRPr="0051009C">
        <w:t>–</w:t>
      </w:r>
      <w:r w:rsidRPr="0051009C">
        <w:tab/>
        <w:t xml:space="preserve">έχοντας υπόψη την έκθεση του </w:t>
      </w:r>
      <w:proofErr w:type="spellStart"/>
      <w:r w:rsidRPr="0051009C">
        <w:t>Mario</w:t>
      </w:r>
      <w:proofErr w:type="spellEnd"/>
      <w:r w:rsidRPr="0051009C">
        <w:t xml:space="preserve"> </w:t>
      </w:r>
      <w:proofErr w:type="spellStart"/>
      <w:r w:rsidRPr="0051009C">
        <w:t>Draghi</w:t>
      </w:r>
      <w:proofErr w:type="spellEnd"/>
      <w:r w:rsidRPr="0051009C">
        <w:t>, της 9ης Σεπτεμβρίου 2024, με τίτλο «Το μέλλον της ευρωπαϊκής ανταγωνιστικότητας»,</w:t>
      </w:r>
    </w:p>
    <w:p w14:paraId="2EE69772" w14:textId="77777777" w:rsidR="00C16B62" w:rsidRPr="0051009C" w:rsidRDefault="00C16B62" w:rsidP="00827EEA">
      <w:pPr>
        <w:pStyle w:val="NormalHanging"/>
        <w:ind w:left="567" w:hanging="567"/>
      </w:pPr>
      <w:r w:rsidRPr="0051009C">
        <w:t>–</w:t>
      </w:r>
      <w:r w:rsidRPr="0051009C">
        <w:tab/>
        <w:t xml:space="preserve">έχοντας υπόψη τη δήλωση της Ευρωομάδας, της 11ης Μαρτίου 2024, σχετικά με το μέλλον της Ένωσης Κεφαλαιαγορών και τη δήλωση της Ευρωομάδας, της 16ης Ιουνίου 2022 σχετικά με το μέλλον της Τραπεζικής Ένωσης καθώς και τη συνέχεια που έδωσε σε αυτήν η </w:t>
      </w:r>
      <w:proofErr w:type="spellStart"/>
      <w:r w:rsidRPr="0051009C">
        <w:t>Ευρωομάδα</w:t>
      </w:r>
      <w:proofErr w:type="spellEnd"/>
      <w:r w:rsidRPr="0051009C">
        <w:t xml:space="preserve"> της 28ης Απριλίου 2023,</w:t>
      </w:r>
    </w:p>
    <w:p w14:paraId="5F4CCBFA" w14:textId="77777777" w:rsidR="00C16B62" w:rsidRPr="0051009C" w:rsidRDefault="00C16B62" w:rsidP="00827EEA">
      <w:pPr>
        <w:pStyle w:val="NormalHanging"/>
        <w:ind w:left="567" w:hanging="567"/>
      </w:pPr>
      <w:r w:rsidRPr="0051009C">
        <w:t>–</w:t>
      </w:r>
      <w:r w:rsidRPr="0051009C">
        <w:tab/>
        <w:t>έχοντας υπόψη τις δημοσιεύσεις της Επιτροπής της Βασιλείας για την τραπεζική εποπτεία με τίτλο «</w:t>
      </w:r>
      <w:proofErr w:type="spellStart"/>
      <w:r w:rsidRPr="0051009C">
        <w:t>Disclosure</w:t>
      </w:r>
      <w:proofErr w:type="spellEnd"/>
      <w:r w:rsidRPr="0051009C">
        <w:t xml:space="preserve"> of </w:t>
      </w:r>
      <w:proofErr w:type="spellStart"/>
      <w:r w:rsidRPr="0051009C">
        <w:t>cryptoasset</w:t>
      </w:r>
      <w:proofErr w:type="spellEnd"/>
      <w:r w:rsidRPr="0051009C">
        <w:t xml:space="preserve"> </w:t>
      </w:r>
      <w:proofErr w:type="spellStart"/>
      <w:r w:rsidRPr="0051009C">
        <w:t>exposures</w:t>
      </w:r>
      <w:proofErr w:type="spellEnd"/>
      <w:r w:rsidRPr="0051009C">
        <w:t xml:space="preserve">» (Δημοσιοποίηση των ανοιγμάτων σε </w:t>
      </w:r>
      <w:proofErr w:type="spellStart"/>
      <w:r w:rsidRPr="0051009C">
        <w:t>κρυπτοστοιχεία</w:t>
      </w:r>
      <w:proofErr w:type="spellEnd"/>
      <w:r w:rsidRPr="0051009C">
        <w:t>) και «</w:t>
      </w:r>
      <w:proofErr w:type="spellStart"/>
      <w:r w:rsidRPr="0051009C">
        <w:t>Cryptoasset</w:t>
      </w:r>
      <w:proofErr w:type="spellEnd"/>
      <w:r w:rsidRPr="0051009C">
        <w:t xml:space="preserve"> </w:t>
      </w:r>
      <w:proofErr w:type="spellStart"/>
      <w:r w:rsidRPr="0051009C">
        <w:t>standard</w:t>
      </w:r>
      <w:proofErr w:type="spellEnd"/>
      <w:r w:rsidRPr="0051009C">
        <w:t xml:space="preserve"> </w:t>
      </w:r>
      <w:proofErr w:type="spellStart"/>
      <w:r w:rsidRPr="0051009C">
        <w:t>amendments</w:t>
      </w:r>
      <w:proofErr w:type="spellEnd"/>
      <w:r w:rsidRPr="0051009C">
        <w:t>» (Τυποποιημένες τροποποιήσεις κρυπτοστοιχείων), που δημοσιεύθηκαν αμφότερες στις 17 Ιουλίου 2024,</w:t>
      </w:r>
    </w:p>
    <w:p w14:paraId="203A0E50" w14:textId="77777777" w:rsidR="00C16B62" w:rsidRPr="0051009C" w:rsidRDefault="00C16B62" w:rsidP="00827EEA">
      <w:pPr>
        <w:pStyle w:val="NormalHanging"/>
        <w:ind w:left="567" w:hanging="567"/>
      </w:pPr>
      <w:r w:rsidRPr="0051009C">
        <w:t>–</w:t>
      </w:r>
      <w:r w:rsidRPr="0051009C">
        <w:tab/>
        <w:t>έχοντας υπόψη τη δημοσίευση της Επιτροπής της Βασιλείας για την τραπεζική εποπτεία της 25ης Απριλίου 2024 με τίτλο «</w:t>
      </w:r>
      <w:proofErr w:type="spellStart"/>
      <w:r w:rsidRPr="0051009C">
        <w:t>Core</w:t>
      </w:r>
      <w:proofErr w:type="spellEnd"/>
      <w:r w:rsidRPr="0051009C">
        <w:t xml:space="preserve"> </w:t>
      </w:r>
      <w:proofErr w:type="spellStart"/>
      <w:r w:rsidRPr="0051009C">
        <w:t>Principles</w:t>
      </w:r>
      <w:proofErr w:type="spellEnd"/>
      <w:r w:rsidRPr="0051009C">
        <w:t xml:space="preserve"> for </w:t>
      </w:r>
      <w:proofErr w:type="spellStart"/>
      <w:r w:rsidRPr="0051009C">
        <w:t>Effective</w:t>
      </w:r>
      <w:proofErr w:type="spellEnd"/>
      <w:r w:rsidRPr="0051009C">
        <w:t xml:space="preserve"> </w:t>
      </w:r>
      <w:proofErr w:type="spellStart"/>
      <w:r w:rsidRPr="0051009C">
        <w:t>Banking</w:t>
      </w:r>
      <w:proofErr w:type="spellEnd"/>
      <w:r w:rsidRPr="0051009C">
        <w:t xml:space="preserve"> </w:t>
      </w:r>
      <w:proofErr w:type="spellStart"/>
      <w:r w:rsidRPr="0051009C">
        <w:t>Supervision</w:t>
      </w:r>
      <w:proofErr w:type="spellEnd"/>
      <w:r w:rsidRPr="0051009C">
        <w:t>» (Βασικές αρχές για την αποτελεσματική τραπεζική εποπτεία),</w:t>
      </w:r>
    </w:p>
    <w:p w14:paraId="6E43DA64" w14:textId="68F2FB30" w:rsidR="00C16B62" w:rsidRPr="0051009C" w:rsidRDefault="00C16B62" w:rsidP="00827EEA">
      <w:pPr>
        <w:pStyle w:val="NormalHanging"/>
        <w:ind w:left="567" w:hanging="567"/>
      </w:pPr>
      <w:r w:rsidRPr="0051009C">
        <w:t>–</w:t>
      </w:r>
      <w:r w:rsidRPr="0051009C">
        <w:tab/>
        <w:t>έχοντας υπόψη την έκθεση της ΕΚΤ για τη χρηματοπιστωτική σταθερότητα, της 17ης</w:t>
      </w:r>
      <w:r w:rsidR="00636351" w:rsidRPr="0051009C">
        <w:t> </w:t>
      </w:r>
      <w:r w:rsidRPr="0051009C">
        <w:t>Νοεμβρίου 2025,</w:t>
      </w:r>
    </w:p>
    <w:p w14:paraId="3C1E2B89" w14:textId="77777777" w:rsidR="00C16B62" w:rsidRPr="0051009C" w:rsidRDefault="00C16B62" w:rsidP="00827EEA">
      <w:pPr>
        <w:pStyle w:val="NormalHanging"/>
        <w:ind w:left="567" w:hanging="567"/>
      </w:pPr>
      <w:r w:rsidRPr="0051009C">
        <w:t>–</w:t>
      </w:r>
      <w:r w:rsidRPr="0051009C">
        <w:tab/>
        <w:t>έχοντας υπόψη την έκδοση του Συμβουλίου Χρηματοπιστωτικής Σταθερότητας της 9ης Νοεμβρίου 2015 με τίτλο «</w:t>
      </w:r>
      <w:proofErr w:type="spellStart"/>
      <w:r w:rsidRPr="0051009C">
        <w:t>Principles</w:t>
      </w:r>
      <w:proofErr w:type="spellEnd"/>
      <w:r w:rsidRPr="0051009C">
        <w:t xml:space="preserve"> on </w:t>
      </w:r>
      <w:proofErr w:type="spellStart"/>
      <w:r w:rsidRPr="0051009C">
        <w:t>Loss-absorbing</w:t>
      </w:r>
      <w:proofErr w:type="spellEnd"/>
      <w:r w:rsidRPr="0051009C">
        <w:t xml:space="preserve"> and </w:t>
      </w:r>
      <w:proofErr w:type="spellStart"/>
      <w:r w:rsidRPr="0051009C">
        <w:t>Recapitalisation</w:t>
      </w:r>
      <w:proofErr w:type="spellEnd"/>
      <w:r w:rsidRPr="0051009C">
        <w:t xml:space="preserve"> </w:t>
      </w:r>
      <w:proofErr w:type="spellStart"/>
      <w:r w:rsidRPr="0051009C">
        <w:t>Capacity</w:t>
      </w:r>
      <w:proofErr w:type="spellEnd"/>
      <w:r w:rsidRPr="0051009C">
        <w:t xml:space="preserve"> of G-</w:t>
      </w:r>
      <w:proofErr w:type="spellStart"/>
      <w:r w:rsidRPr="0051009C">
        <w:t>SIBs</w:t>
      </w:r>
      <w:proofErr w:type="spellEnd"/>
      <w:r w:rsidRPr="0051009C">
        <w:t xml:space="preserve"> in </w:t>
      </w:r>
      <w:proofErr w:type="spellStart"/>
      <w:r w:rsidRPr="0051009C">
        <w:t>Resolution</w:t>
      </w:r>
      <w:proofErr w:type="spellEnd"/>
      <w:r w:rsidRPr="0051009C">
        <w:t xml:space="preserve">» (Αρχές σχετικά με την ικανότητα απορρόφησης ζημιών και </w:t>
      </w:r>
      <w:proofErr w:type="spellStart"/>
      <w:r w:rsidRPr="0051009C">
        <w:t>ανακεφαλαιοποίησης</w:t>
      </w:r>
      <w:proofErr w:type="spellEnd"/>
      <w:r w:rsidRPr="0051009C">
        <w:t xml:space="preserve"> των παγκόσμιων </w:t>
      </w:r>
      <w:proofErr w:type="spellStart"/>
      <w:r w:rsidRPr="0051009C">
        <w:t>συστημικώς</w:t>
      </w:r>
      <w:proofErr w:type="spellEnd"/>
      <w:r w:rsidRPr="0051009C">
        <w:t xml:space="preserve"> σημαντικών τραπεζών (G-SIB) κατά την εξυγίανση),</w:t>
      </w:r>
    </w:p>
    <w:p w14:paraId="6C78EE53" w14:textId="77777777" w:rsidR="00C16B62" w:rsidRPr="0051009C" w:rsidRDefault="00C16B62" w:rsidP="00827EEA">
      <w:pPr>
        <w:pStyle w:val="NormalHanging"/>
        <w:ind w:left="567" w:hanging="567"/>
      </w:pPr>
      <w:r w:rsidRPr="0051009C">
        <w:t>–</w:t>
      </w:r>
      <w:r w:rsidRPr="0051009C">
        <w:tab/>
        <w:t xml:space="preserve">έχοντας υπόψη την έκθεση του Συμβουλίου Χρηματοπιστωτικής Σταθερότητας της 10ης Οκτωβρίου 2023 με τίτλο 2023 «Bank </w:t>
      </w:r>
      <w:proofErr w:type="spellStart"/>
      <w:r w:rsidRPr="0051009C">
        <w:t>Failures</w:t>
      </w:r>
      <w:proofErr w:type="spellEnd"/>
      <w:r w:rsidRPr="0051009C">
        <w:t xml:space="preserve">: </w:t>
      </w:r>
      <w:proofErr w:type="spellStart"/>
      <w:r w:rsidRPr="0051009C">
        <w:t>Preliminary</w:t>
      </w:r>
      <w:proofErr w:type="spellEnd"/>
      <w:r w:rsidRPr="0051009C">
        <w:t xml:space="preserve"> </w:t>
      </w:r>
      <w:proofErr w:type="spellStart"/>
      <w:r w:rsidRPr="0051009C">
        <w:t>lessons</w:t>
      </w:r>
      <w:proofErr w:type="spellEnd"/>
      <w:r w:rsidRPr="0051009C">
        <w:t xml:space="preserve"> </w:t>
      </w:r>
      <w:proofErr w:type="spellStart"/>
      <w:r w:rsidRPr="0051009C">
        <w:t>learnt</w:t>
      </w:r>
      <w:proofErr w:type="spellEnd"/>
      <w:r w:rsidRPr="0051009C">
        <w:t xml:space="preserve"> for </w:t>
      </w:r>
      <w:proofErr w:type="spellStart"/>
      <w:r w:rsidRPr="0051009C">
        <w:lastRenderedPageBreak/>
        <w:t>resolution</w:t>
      </w:r>
      <w:proofErr w:type="spellEnd"/>
      <w:r w:rsidRPr="0051009C">
        <w:t>» (Τραπεζικές πτωχεύσεις το 2023: προκαταρκτικά διδάγματα για την εξυγίανση),</w:t>
      </w:r>
    </w:p>
    <w:p w14:paraId="765BD1E5" w14:textId="77777777" w:rsidR="00C16B62" w:rsidRPr="0051009C" w:rsidRDefault="00C16B62" w:rsidP="00827EEA">
      <w:pPr>
        <w:pStyle w:val="NormalHanging"/>
        <w:ind w:left="567" w:hanging="567"/>
      </w:pPr>
      <w:r w:rsidRPr="0051009C">
        <w:t>–</w:t>
      </w:r>
      <w:r w:rsidRPr="0051009C">
        <w:tab/>
        <w:t>έχοντας υπόψη τις εποπτικές προτεραιότητες του Ενιαίου Εποπτικού Μηχανισμού (ΕΕΜ) για την περίοδο 2025-2027,</w:t>
      </w:r>
    </w:p>
    <w:p w14:paraId="3B904630" w14:textId="77777777" w:rsidR="00C16B62" w:rsidRPr="0051009C" w:rsidRDefault="00C16B62" w:rsidP="00827EEA">
      <w:pPr>
        <w:pStyle w:val="NormalHanging"/>
        <w:ind w:left="567" w:hanging="567"/>
      </w:pPr>
      <w:r w:rsidRPr="0051009C">
        <w:t>–</w:t>
      </w:r>
      <w:r w:rsidRPr="0051009C">
        <w:tab/>
        <w:t xml:space="preserve">έχοντας υπόψη το εξαμηνιαίο ενημερωτικό σημείωμα του ΕΣΕ προς την </w:t>
      </w:r>
      <w:proofErr w:type="spellStart"/>
      <w:r w:rsidRPr="0051009C">
        <w:t>Ευρωομάδα</w:t>
      </w:r>
      <w:proofErr w:type="spellEnd"/>
      <w:r w:rsidRPr="0051009C">
        <w:t>, του Νοεμβρίου 2025,</w:t>
      </w:r>
    </w:p>
    <w:p w14:paraId="28E16CFD" w14:textId="77777777" w:rsidR="00C16B62" w:rsidRPr="0051009C" w:rsidRDefault="00C16B62" w:rsidP="00827EEA">
      <w:pPr>
        <w:pStyle w:val="NormalHanging"/>
        <w:ind w:left="567" w:hanging="567"/>
      </w:pPr>
      <w:r w:rsidRPr="0051009C">
        <w:t>–</w:t>
      </w:r>
      <w:r w:rsidRPr="0051009C">
        <w:tab/>
        <w:t>έχοντας υπόψη την έκθεση της Επιτροπής της Βασιλείας για την τραπεζική εποπτεία, της 10ης Ιουλίου 2025, με τίτλο «</w:t>
      </w:r>
      <w:proofErr w:type="spellStart"/>
      <w:r w:rsidRPr="0051009C">
        <w:t>Banks</w:t>
      </w:r>
      <w:proofErr w:type="spellEnd"/>
      <w:r w:rsidRPr="0051009C">
        <w:t xml:space="preserve"> </w:t>
      </w:r>
      <w:proofErr w:type="spellStart"/>
      <w:r w:rsidRPr="0051009C">
        <w:t>interconnections</w:t>
      </w:r>
      <w:proofErr w:type="spellEnd"/>
      <w:r w:rsidRPr="0051009C">
        <w:t xml:space="preserve"> </w:t>
      </w:r>
      <w:proofErr w:type="spellStart"/>
      <w:r w:rsidRPr="0051009C">
        <w:t>with</w:t>
      </w:r>
      <w:proofErr w:type="spellEnd"/>
      <w:r w:rsidRPr="0051009C">
        <w:t xml:space="preserve"> non-</w:t>
      </w:r>
      <w:proofErr w:type="spellStart"/>
      <w:r w:rsidRPr="0051009C">
        <w:t>bank</w:t>
      </w:r>
      <w:proofErr w:type="spellEnd"/>
      <w:r w:rsidRPr="0051009C">
        <w:t xml:space="preserve"> </w:t>
      </w:r>
      <w:proofErr w:type="spellStart"/>
      <w:r w:rsidRPr="0051009C">
        <w:t>financial</w:t>
      </w:r>
      <w:proofErr w:type="spellEnd"/>
      <w:r w:rsidRPr="0051009C">
        <w:t xml:space="preserve"> </w:t>
      </w:r>
      <w:proofErr w:type="spellStart"/>
      <w:r w:rsidRPr="0051009C">
        <w:t>intermediaries</w:t>
      </w:r>
      <w:proofErr w:type="spellEnd"/>
      <w:r w:rsidRPr="0051009C">
        <w:t>» (Διασυνδέσεις τραπεζών με μη τραπεζικούς χρηματοπιστωτικούς διαμεσολαβητές),</w:t>
      </w:r>
    </w:p>
    <w:p w14:paraId="6B1EFFAC" w14:textId="77777777" w:rsidR="00C16B62" w:rsidRPr="0051009C" w:rsidRDefault="00C16B62" w:rsidP="00827EEA">
      <w:pPr>
        <w:pStyle w:val="NormalHanging"/>
        <w:ind w:left="567" w:hanging="567"/>
      </w:pPr>
      <w:r w:rsidRPr="0051009C">
        <w:t>–</w:t>
      </w:r>
      <w:r w:rsidRPr="0051009C">
        <w:tab/>
        <w:t>έχοντας υπόψη το αποτέλεσμα της άσκησης διαφάνειας της Ευρωπαϊκής Αρχής Τραπεζών σε επίπεδο ΕΕ του Δεκεμβρίου 2025,</w:t>
      </w:r>
    </w:p>
    <w:p w14:paraId="1F435A8E" w14:textId="77777777" w:rsidR="00C16B62" w:rsidRPr="0051009C" w:rsidRDefault="00C16B62" w:rsidP="00827EEA">
      <w:pPr>
        <w:pStyle w:val="NormalHanging"/>
        <w:ind w:left="567" w:hanging="567"/>
      </w:pPr>
      <w:r w:rsidRPr="0051009C">
        <w:t>–</w:t>
      </w:r>
      <w:r w:rsidRPr="0051009C">
        <w:tab/>
        <w:t>έχοντας υπόψη την ειδική έκθεση 12/2023 του Ευρωπαϊκού Ελεγκτικού Συνεδρίου, της 12ης Μαΐου 2023, με τίτλο «Εποπτεία του πιστωτικού κινδύνου των τραπεζών από την ΕΕ – Η ΕΚΤ ενέτεινε τις προσπάθειές της, χρειάζεται ωστόσο να γίνουν περισσότερα για να αυξηθεί η βεβαιότητα ότι η διαχείριση και η κάλυψη του πιστωτικού κινδύνου είναι αποτελεσματικές»,</w:t>
      </w:r>
    </w:p>
    <w:p w14:paraId="75F5B0CE" w14:textId="77777777" w:rsidR="00C16B62" w:rsidRPr="0051009C" w:rsidRDefault="00C16B62" w:rsidP="00827EEA">
      <w:pPr>
        <w:pStyle w:val="NormalHanging"/>
        <w:ind w:left="567" w:hanging="567"/>
      </w:pPr>
      <w:r w:rsidRPr="0051009C">
        <w:t>–</w:t>
      </w:r>
      <w:r w:rsidRPr="0051009C">
        <w:tab/>
        <w:t xml:space="preserve">έχοντας υπόψη τις δηλώσεις της </w:t>
      </w:r>
      <w:proofErr w:type="spellStart"/>
      <w:r w:rsidRPr="0051009C">
        <w:t>Claudia</w:t>
      </w:r>
      <w:proofErr w:type="spellEnd"/>
      <w:r w:rsidRPr="0051009C">
        <w:t xml:space="preserve"> </w:t>
      </w:r>
      <w:proofErr w:type="spellStart"/>
      <w:r w:rsidRPr="0051009C">
        <w:t>Buch</w:t>
      </w:r>
      <w:proofErr w:type="spellEnd"/>
      <w:r w:rsidRPr="0051009C">
        <w:t>, προέδρου του εποπτικού συμβουλίου της ΕΚΤ, κατά τις ακροάσεις στην Επιτροπή Οικονομικής και Νομισματικής Πολιτικής του Κοινοβουλίου, στις 27 Μαρτίου 2025, στις 15 Ιουλίου 2025 και στις 5 Νοεμβρίου 2025,</w:t>
      </w:r>
    </w:p>
    <w:p w14:paraId="6D8CCA04" w14:textId="77777777" w:rsidR="00C16B62" w:rsidRPr="0051009C" w:rsidRDefault="00C16B62" w:rsidP="00827EEA">
      <w:pPr>
        <w:pStyle w:val="NormalHanging"/>
        <w:ind w:left="567" w:hanging="567"/>
      </w:pPr>
      <w:r w:rsidRPr="0051009C">
        <w:t>–</w:t>
      </w:r>
      <w:r w:rsidRPr="0051009C">
        <w:tab/>
        <w:t xml:space="preserve">έχοντας υπόψη τις δηλώσεις του </w:t>
      </w:r>
      <w:proofErr w:type="spellStart"/>
      <w:r w:rsidRPr="0051009C">
        <w:t>Dominique</w:t>
      </w:r>
      <w:proofErr w:type="spellEnd"/>
      <w:r w:rsidRPr="0051009C">
        <w:t xml:space="preserve"> </w:t>
      </w:r>
      <w:proofErr w:type="spellStart"/>
      <w:r w:rsidRPr="0051009C">
        <w:t>Laboureix</w:t>
      </w:r>
      <w:proofErr w:type="spellEnd"/>
      <w:r w:rsidRPr="0051009C">
        <w:t>, προέδρου του ΕΣΕ, κατά τις ακροάσεις στην Επιτροπή Οικονομικής και Νομισματικής Πολιτικής του Κοινοβουλίου, στις 3 Μαρτίου 2025, στις 15 Ιουλίου 2025 και στις 5 Νοεμβρίου 2025,</w:t>
      </w:r>
    </w:p>
    <w:p w14:paraId="4D2EECF8" w14:textId="77777777" w:rsidR="00C16B62" w:rsidRPr="0051009C" w:rsidRDefault="00C16B62" w:rsidP="00827EEA">
      <w:pPr>
        <w:pStyle w:val="NormalHanging"/>
        <w:ind w:left="567" w:hanging="567"/>
      </w:pPr>
      <w:r w:rsidRPr="0051009C">
        <w:t>–</w:t>
      </w:r>
      <w:r w:rsidRPr="0051009C">
        <w:tab/>
        <w:t>έχοντας υπόψη τις εκθέσεις αξιολόγησης κινδύνου της Ευρωπαϊκής Αρχής Τραπεζών του Ιουλίου 2025,</w:t>
      </w:r>
    </w:p>
    <w:p w14:paraId="1C45C721" w14:textId="77777777" w:rsidR="00C16B62" w:rsidRPr="0051009C" w:rsidRDefault="00C16B62" w:rsidP="00827EEA">
      <w:pPr>
        <w:pStyle w:val="NormalHanging"/>
        <w:ind w:left="567" w:hanging="567"/>
      </w:pPr>
      <w:r w:rsidRPr="0051009C">
        <w:t>–</w:t>
      </w:r>
      <w:r w:rsidRPr="0051009C">
        <w:tab/>
        <w:t>έχοντας υπόψη το ψήφισμά του της 14ης Μαρτίου 2019 σχετικά με την ισορροπία των φύλων κατά τον διορισμό σε ενωσιακές θέσεις του οικονομικού και νομισματικού τομέα</w:t>
      </w:r>
      <w:r w:rsidRPr="0051009C">
        <w:rPr>
          <w:rStyle w:val="FootnoteReference"/>
        </w:rPr>
        <w:footnoteReference w:customMarkFollows="1" w:id="11"/>
        <w:t>11</w:t>
      </w:r>
      <w:r w:rsidRPr="0051009C">
        <w:t>,</w:t>
      </w:r>
    </w:p>
    <w:p w14:paraId="3BF4F915" w14:textId="77777777" w:rsidR="00C16B62" w:rsidRPr="0051009C" w:rsidRDefault="00C16B62" w:rsidP="00827EEA">
      <w:pPr>
        <w:pStyle w:val="NormalHanging"/>
        <w:ind w:left="567" w:hanging="567"/>
      </w:pPr>
      <w:r w:rsidRPr="0051009C">
        <w:t>–</w:t>
      </w:r>
      <w:r w:rsidRPr="0051009C">
        <w:tab/>
        <w:t>έχοντας υπόψη το ψήφισμά του της 25ης Μαρτίου 2021 σχετικά με την ενίσχυση του διεθνούς ρόλου του ευρώ</w:t>
      </w:r>
      <w:r w:rsidRPr="0051009C">
        <w:rPr>
          <w:rStyle w:val="FootnoteReference"/>
        </w:rPr>
        <w:footnoteReference w:customMarkFollows="1" w:id="12"/>
        <w:t>12</w:t>
      </w:r>
      <w:r w:rsidRPr="0051009C">
        <w:t>,</w:t>
      </w:r>
    </w:p>
    <w:p w14:paraId="40046808" w14:textId="77777777" w:rsidR="00C16B62" w:rsidRPr="0051009C" w:rsidRDefault="00C16B62" w:rsidP="00827EEA">
      <w:pPr>
        <w:pStyle w:val="NormalHanging"/>
        <w:ind w:left="567" w:hanging="567"/>
      </w:pPr>
      <w:r w:rsidRPr="0051009C">
        <w:t>–</w:t>
      </w:r>
      <w:r w:rsidRPr="0051009C">
        <w:tab/>
        <w:t>έχοντας υπόψη το άρθρο 55 του Κανονισμού του,</w:t>
      </w:r>
    </w:p>
    <w:p w14:paraId="0417C6BD" w14:textId="77777777" w:rsidR="00C16B62" w:rsidRPr="0051009C" w:rsidRDefault="00C16B62" w:rsidP="00827EEA">
      <w:pPr>
        <w:pStyle w:val="NormalHanging"/>
        <w:ind w:left="567" w:hanging="567"/>
      </w:pPr>
      <w:r w:rsidRPr="0051009C">
        <w:t>–</w:t>
      </w:r>
      <w:r w:rsidRPr="0051009C">
        <w:tab/>
        <w:t>έχοντας υπόψη την έκθεση της Επιτροπής Οικονομικής και Νομισματικής Πολιτικής (A10-0079/2026),</w:t>
      </w:r>
    </w:p>
    <w:p w14:paraId="1F2FED3F" w14:textId="77777777" w:rsidR="00C16B62" w:rsidRPr="0051009C" w:rsidRDefault="00C16B62" w:rsidP="00827EEA">
      <w:pPr>
        <w:pStyle w:val="NormalHanging"/>
        <w:ind w:left="567" w:hanging="567"/>
      </w:pPr>
      <w:r w:rsidRPr="0051009C">
        <w:t>Α.</w:t>
      </w:r>
      <w:r w:rsidRPr="0051009C">
        <w:tab/>
        <w:t>λαμβάνοντας υπόψη ότι η Τραπεζική Ένωση αποσκοπεί στη διαφύλαξη της τραπεζικής σταθερότητας και κατά συνέπεια του χρηματοπιστωτικού συστήματος, στην αποφυγή διασώσεων με πόρους των φορολογουμένων, στην ενίσχυση της ανθεκτικότητας, στη διευκόλυνση της εύτακτης εξυγίανσης, στη μείωση του κατακερματισμού της αγοράς, στη βελτίωση της προστασίας των καταθετών και στην ενίσχυση της ανταγωνιστικότητας, της διασυνοριακής δραστηριότητας και της πρόσβασης σε χρηματοδότηση, μειώνοντας έτσι το κόστος για τους πελάτες των τραπεζών· λαμβάνοντας υπόψη ότι οι τραπεζικές υπηρεσίες είναι σημαντικές για τους πολίτες και τις επιχειρήσεις· λαμβάνοντας υπόψη ότι το τραπεζικό τοπίο της ΕΕ και οι διάφορες τραπεζικές δομές της παρουσιάζουν διαφορές· λαμβάνοντας υπόψη ότι ο κίνδυνος των «πολύ μεγάλων για να χρεοκοπήσουν» δεν έχει αντιμετωπιστεί πλήρως·</w:t>
      </w:r>
    </w:p>
    <w:p w14:paraId="0CAD404A" w14:textId="77777777" w:rsidR="00C16B62" w:rsidRPr="0051009C" w:rsidRDefault="00C16B62" w:rsidP="00827EEA">
      <w:pPr>
        <w:pStyle w:val="NormalHanging"/>
        <w:ind w:left="567" w:hanging="567"/>
      </w:pPr>
      <w:r w:rsidRPr="0051009C">
        <w:t>Β.</w:t>
      </w:r>
      <w:r w:rsidRPr="0051009C">
        <w:tab/>
        <w:t>λαμβάνοντας υπόψη ότι η Τραπεζική Ένωση έχει ως στόχο να εξασφαλίσει την ευρωστία των τραπεζών και την ικανότητά τους να αντέξουν τυχόν μελλοντικές χρηματοπιστωτικές κρίσεις· λαμβάνοντας υπόψη ότι οι μη βιώσιμες τράπεζες εξυγιαίνονται χωρίς να χρησιμοποιούνται τα χρήματα των φορολογουμένων και με τον ελάχιστο δυνατό αντίκτυπο στην πραγματική οικονομία και ότι ο κατακερματισμός των αγορών μειώνεται μέσω εναρμονισμένων κανόνων για τον χρηματοπιστωτικό τομέα·</w:t>
      </w:r>
    </w:p>
    <w:p w14:paraId="6D880569" w14:textId="77777777" w:rsidR="00C16B62" w:rsidRPr="0051009C" w:rsidRDefault="00C16B62" w:rsidP="00827EEA">
      <w:pPr>
        <w:pStyle w:val="NormalHanging"/>
        <w:ind w:left="567" w:hanging="567"/>
      </w:pPr>
      <w:r w:rsidRPr="0051009C">
        <w:t>Γ.</w:t>
      </w:r>
      <w:r w:rsidRPr="0051009C">
        <w:tab/>
        <w:t>λαμβάνοντας υπόψη ότι ένας ισχυρός και διαφοροποιημένος τραπεζικός τομέας είναι καθοριστικός για την επίτευξη οικονομικής ανάπτυξης, τη χρηματοδότηση των μικρών και μεσαίων επιχειρήσεων (ΜΜΕ) και των νεοφυών επιχειρήσεων, καθώς και για τη διασφάλιση της μετάβασης σε μια πράσινη και ψηφιακή οικονομία·</w:t>
      </w:r>
    </w:p>
    <w:p w14:paraId="164485A2" w14:textId="77777777" w:rsidR="00C16B62" w:rsidRPr="0051009C" w:rsidRDefault="00C16B62" w:rsidP="00827EEA">
      <w:pPr>
        <w:pStyle w:val="NormalHanging"/>
        <w:ind w:left="567" w:hanging="567"/>
      </w:pPr>
      <w:r w:rsidRPr="0051009C">
        <w:t>Δ.</w:t>
      </w:r>
      <w:r w:rsidRPr="0051009C">
        <w:tab/>
        <w:t>λαμβάνοντας υπόψη ότι η Τραπεζική Ένωση, η οποία αποτελείται από τον ΕΕΜ και τον Ενιαίο Μηχανισμό Εξυγίανσης (ΕΜΕ), ευθυγραμμίζει την εποπτεία με τη διαχείριση κρίσεων και διασφαλίζει υψηλό επίπεδο προστασίας των καταθέσεων, αλλά παραμένει ανολοκλήρωτη χωρίς Ευρωπαϊκό Σύστημα Ασφάλισης Καταθέσεων·</w:t>
      </w:r>
    </w:p>
    <w:p w14:paraId="5DC74E53" w14:textId="77777777" w:rsidR="00C16B62" w:rsidRPr="0051009C" w:rsidRDefault="00C16B62" w:rsidP="00827EEA">
      <w:pPr>
        <w:pStyle w:val="NormalHanging"/>
        <w:ind w:left="567" w:hanging="567"/>
      </w:pPr>
      <w:r w:rsidRPr="0051009C">
        <w:t>Ε.</w:t>
      </w:r>
      <w:r w:rsidRPr="0051009C">
        <w:tab/>
        <w:t>λαμβάνοντας υπόψη ότι μια ολοκληρωμένη τραπεζική ένωση θα αποτελούσε θετική εξέλιξη για τους πολίτες και την οικονομία της ΕΕ, παρέχοντας τη βάση για ένα πιο σταθερό τραπεζικό σύστημα, μείωση του συστημικού κινδύνου, ενίσχυση του ανταγωνισμού, βελτίωση των επιλογών για τους καταναλωτές, αύξηση των ευκαιριών για διασυνοριακές τραπεζικές συναλλαγές και πρόσβαση σε λιανικές χρηματοπιστωτικές υπηρεσίες, μεγαλύτερες οικονομικές επενδύσεις, καλύτερη πρόσβαση στη χρηματοδότηση για τα νοικοκυριά και τις επιχειρήσεις και μείωση του κόστους για τους τραπεζικούς πελάτες·</w:t>
      </w:r>
    </w:p>
    <w:p w14:paraId="4214A204" w14:textId="77777777" w:rsidR="00C16B62" w:rsidRPr="0051009C" w:rsidRDefault="00C16B62" w:rsidP="00827EEA">
      <w:pPr>
        <w:pStyle w:val="NormalHanging"/>
        <w:ind w:left="567" w:hanging="567"/>
      </w:pPr>
      <w:r w:rsidRPr="0051009C">
        <w:t>ΣΤ.</w:t>
      </w:r>
      <w:r w:rsidRPr="0051009C">
        <w:tab/>
        <w:t>λαμβάνοντας υπόψη ότι οι μη τραπεζικοί ενδιάμεσοι χρηματοπιστωτικοί οργανισμοί (NBFI ή «σκιώδεις τράπεζες») παραμένουν εκτός της αρχιτεκτονικής της Τραπεζικής Ένωσης, καθιστώντας έτσι τον τραπεζικό τομέα της ΕΕ ευάλωτο σε κινδύνους·</w:t>
      </w:r>
    </w:p>
    <w:p w14:paraId="2C984174" w14:textId="77777777" w:rsidR="00C16B62" w:rsidRPr="0051009C" w:rsidRDefault="00C16B62" w:rsidP="00827EEA">
      <w:pPr>
        <w:pStyle w:val="NormalHanging"/>
        <w:ind w:left="567" w:hanging="567"/>
      </w:pPr>
      <w:r w:rsidRPr="0051009C">
        <w:t>Ζ.</w:t>
      </w:r>
      <w:r w:rsidRPr="0051009C">
        <w:tab/>
        <w:t>λαμβάνοντας υπόψη ότι η χρηματοπιστωτική σταθερότητα είναι προϋπόθεση για μια αποτελεσματική νομισματική πολιτική και ένα ανθεκτικό χρηματοπιστωτικό σύστημα· λαμβάνοντας υπόψη ότι η ΕΕ έχει ήδη συμφωνήσει για την εφαρμογή του πλαισίου της Βασιλείας ΙΙΙ και ότι θα πρέπει να εφαρμόσει τα πρότυπα της Βασιλείας ΙΙΙ, λαμβάνοντας παράλληλα υπόψη την ανταγωνιστικότητα του τραπεζικού τομέα της ΕΕ, καθώς και τις διεθνείς εξελίξεις·</w:t>
      </w:r>
    </w:p>
    <w:p w14:paraId="6813DC59" w14:textId="77777777" w:rsidR="00C16B62" w:rsidRPr="0051009C" w:rsidRDefault="00C16B62" w:rsidP="00827EEA">
      <w:pPr>
        <w:pStyle w:val="NormalHanging"/>
        <w:ind w:left="567" w:hanging="567"/>
      </w:pPr>
      <w:r w:rsidRPr="0051009C">
        <w:t>Η.</w:t>
      </w:r>
      <w:r w:rsidRPr="0051009C">
        <w:tab/>
        <w:t>λαμβάνοντας υπόψη ότι η ρωσική επίθεση κατά της Ουκρανίας και οι οικονομικές και κοινωνικές της συνέπειες έχουν και θα συνεχίσουν να έχουν άμεσο και έμμεσο αντίκτυπο στον τραπεζικό τομέα της ΕΕ· λαμβάνοντας υπόψη ότι οι τράπεζες της ΕΕ διαδραματίζουν καίριο ρόλο στη διασφάλιση της συνεχιζόμενης εφαρμογής των κυρώσεων που επιβάλλει η ΕΕ στη Ρωσία ως απάντηση στην εισβολή της στην Ουκρανία, καθώς και της συμμόρφωσης με αυτές·</w:t>
      </w:r>
    </w:p>
    <w:p w14:paraId="5CF94109" w14:textId="77777777" w:rsidR="00C16B62" w:rsidRPr="0051009C" w:rsidRDefault="00C16B62" w:rsidP="00827EEA">
      <w:pPr>
        <w:pStyle w:val="NormalHanging"/>
        <w:ind w:left="567" w:hanging="567"/>
      </w:pPr>
      <w:r w:rsidRPr="0051009C">
        <w:t>Θ.</w:t>
      </w:r>
      <w:r w:rsidRPr="0051009C">
        <w:tab/>
        <w:t>λαμβάνοντας υπόψη ότι ένας από τους βασικούς στόχους της Τραπεζικής Ένωσης είναι να μην επωμίζονται οι φορολογούμενοι το κόστος των διορθωτικών μέτρων σε περίπτωση πτώχευσης μιας τράπεζας·</w:t>
      </w:r>
    </w:p>
    <w:p w14:paraId="6140D607" w14:textId="77777777" w:rsidR="00C16B62" w:rsidRPr="0051009C" w:rsidRDefault="00C16B62" w:rsidP="00827EEA">
      <w:pPr>
        <w:pStyle w:val="NormalHanging"/>
        <w:ind w:left="567" w:hanging="567"/>
      </w:pPr>
      <w:r w:rsidRPr="0051009C">
        <w:t>Ι.</w:t>
      </w:r>
      <w:r w:rsidRPr="0051009C">
        <w:tab/>
        <w:t>λαμβάνοντας υπόψη ότι η κλιματική αλλαγή, η υποβάθμιση του περιβάλλοντος και η μετάβαση σε μια οικονομία χαμηλών εκπομπών διοξειδίου του άνθρακα ενδέχεται να ενέχουν κινδύνους για τη χρηματοπιστωτική σταθερότητα και αποτελούν παράγοντες που μπορούν να λαμβάνονται υπόψη κατά την αξιολόγηση των κινδύνων για τις τράπεζες·</w:t>
      </w:r>
    </w:p>
    <w:p w14:paraId="0F5FA9A1" w14:textId="77777777" w:rsidR="00C16B62" w:rsidRPr="0051009C" w:rsidRDefault="00C16B62" w:rsidP="00827EEA">
      <w:pPr>
        <w:pStyle w:val="NormalHanging"/>
        <w:ind w:left="567" w:hanging="567"/>
      </w:pPr>
      <w:r w:rsidRPr="0051009C">
        <w:t>ΙΑ.</w:t>
      </w:r>
      <w:r w:rsidRPr="0051009C">
        <w:tab/>
        <w:t>λαμβάνοντας υπόψη ότι το ψηφιακό ευρώ θα μπορούσε να ενισχύσει την αποδοτικότητα των πληρωμών της ΕΕ, την ανθεκτικότητα, τη χρηματοπιστωτική ένταξη, την καινοτομία, την εμπιστοσύνη του κοινού και τον διεθνή ρόλο του ευρώ·</w:t>
      </w:r>
    </w:p>
    <w:p w14:paraId="63FB4C38" w14:textId="77777777" w:rsidR="00C16B62" w:rsidRPr="0051009C" w:rsidRDefault="00C16B62" w:rsidP="00827EEA">
      <w:pPr>
        <w:pStyle w:val="NormalHanging"/>
        <w:ind w:left="567" w:hanging="567"/>
      </w:pPr>
      <w:r w:rsidRPr="0051009C">
        <w:t>ΙΒ.</w:t>
      </w:r>
      <w:r w:rsidRPr="0051009C">
        <w:tab/>
        <w:t xml:space="preserve">λαμβάνοντας υπόψη ότι οι τράπεζες της ΕΕ έχουν καταγράψει πρωτοφανή κέρδη από το 2022 χάρη στο γεγονός ότι δεν επηρεάστηκαν αμέσως από τις πολιτικές νομισματικής </w:t>
      </w:r>
      <w:proofErr w:type="spellStart"/>
      <w:r w:rsidRPr="0051009C">
        <w:t>αυστηροποίησης</w:t>
      </w:r>
      <w:proofErr w:type="spellEnd"/>
      <w:r w:rsidRPr="0051009C">
        <w:t>· λαμβάνοντας υπόψη ότι αρκετά κράτη μέλη έχουν θεσπίσει προσωρινές τραπεζικές εισφορές για να διασφαλιστεί δίκαιη συνεισφορά με παράλληλη διαφύλαξη της σταθερότητας και της κοινωνικής συνοχής·</w:t>
      </w:r>
    </w:p>
    <w:p w14:paraId="3AA7EC2B" w14:textId="4E52B1B3" w:rsidR="00C16B62" w:rsidRPr="0051009C" w:rsidRDefault="00C16B62" w:rsidP="00827EEA">
      <w:pPr>
        <w:pStyle w:val="NormalHanging"/>
        <w:ind w:left="567" w:hanging="567"/>
      </w:pPr>
      <w:r w:rsidRPr="0051009C">
        <w:t>ΙΓ.</w:t>
      </w:r>
      <w:r w:rsidRPr="0051009C">
        <w:tab/>
        <w:t>λαμβάνοντας υπόψη ότι, στην ανακοίνωσή της σχετικά με την «Ένωση Αποταμιεύσεων και Επενδύσεων» του Μαρτίου</w:t>
      </w:r>
      <w:r w:rsidR="00636351" w:rsidRPr="0051009C">
        <w:t xml:space="preserve"> του</w:t>
      </w:r>
      <w:r w:rsidRPr="0051009C">
        <w:t xml:space="preserve"> 2025, η Επιτροπή δεσμεύεται να λάβει «αποφασιστικά μέτρα για την περαιτέρω ανάπτυξη της Τραπεζικής Ένωσης, μεταξύ άλλων προσδιορίζοντας τη μελλοντική πορεία όσον αφορά το ευρωπαϊκό σύστημα ασφάλισης καταθέσεων», αλλά έκτοτε δεν έχει υποβάλει καμία πρόταση σχετικά με την ολοκλήρωση της Τραπεζικής Ένωσης·</w:t>
      </w:r>
    </w:p>
    <w:p w14:paraId="571BEFB5" w14:textId="77777777" w:rsidR="00C16B62" w:rsidRPr="0051009C" w:rsidRDefault="00C16B62" w:rsidP="00827EEA">
      <w:pPr>
        <w:pStyle w:val="NormalHanging"/>
        <w:ind w:left="567" w:hanging="567"/>
      </w:pPr>
      <w:r w:rsidRPr="0051009C">
        <w:t>ΙΔ.</w:t>
      </w:r>
      <w:r w:rsidRPr="0051009C">
        <w:tab/>
        <w:t>λαμβάνοντας υπόψη ότι οι τράπεζες αποτελούν θεμελιώδη πυλώνα της οικονομίας μας και ότι ο τραπεζικός τομέας συγκαταλέγεται στους πλέον σημαντικούς από στρατηγική άποψη τομείς· λαμβάνοντας υπόψη ότι η σταθερότητα, η ανθεκτικότητα και η ανταγωνιστικότητα είναι θεμελιώδεις προϋποθέσεις για τη διασφάλιση της ικανότητας του χρηματοπιστωτικού συστήματος να προσαρμόζεται στις παγκόσμιες προκλήσεις, να προωθεί την καινοτομία και να ανταποκρίνεται αποτελεσματικά στις ανάγκες των επιχειρήσεων και των πολιτών·</w:t>
      </w:r>
    </w:p>
    <w:p w14:paraId="65C7D489" w14:textId="77777777" w:rsidR="00C16B62" w:rsidRPr="0051009C" w:rsidRDefault="00C16B62" w:rsidP="00827EEA">
      <w:pPr>
        <w:pStyle w:val="NormalHanging"/>
        <w:ind w:left="567" w:hanging="567"/>
      </w:pPr>
      <w:r w:rsidRPr="0051009C">
        <w:t>ΙΕ.</w:t>
      </w:r>
      <w:r w:rsidRPr="0051009C">
        <w:tab/>
        <w:t>λαμβάνοντας υπόψη ότι οι μάρκες ηλεκτρονικού χρήματος χρησιμοποιούνται όλο και περισσότερο και ότι η διασύνδεσή τους με τις τράπεζες εντός της Τραπεζικής Ένωσης γίνεται όλο και πιο στενή·</w:t>
      </w:r>
    </w:p>
    <w:p w14:paraId="3E31672F" w14:textId="77777777" w:rsidR="00C16B62" w:rsidRPr="0051009C" w:rsidRDefault="00C16B62" w:rsidP="00827EEA">
      <w:pPr>
        <w:pStyle w:val="Normal12a"/>
        <w:ind w:left="567" w:hanging="567"/>
      </w:pPr>
      <w:r w:rsidRPr="0051009C">
        <w:rPr>
          <w:b/>
          <w:i/>
        </w:rPr>
        <w:t xml:space="preserve">Γενικές παρατηρήσεις </w:t>
      </w:r>
    </w:p>
    <w:p w14:paraId="085040A2" w14:textId="1C22EE1F" w:rsidR="00C16B62" w:rsidRPr="0051009C" w:rsidRDefault="0051009C" w:rsidP="0051009C">
      <w:pPr>
        <w:pStyle w:val="NormalHanging12a"/>
        <w:ind w:left="570" w:hanging="570"/>
      </w:pPr>
      <w:r w:rsidRPr="0051009C">
        <w:t>1.</w:t>
      </w:r>
      <w:r w:rsidRPr="0051009C">
        <w:tab/>
      </w:r>
      <w:r w:rsidR="00C16B62" w:rsidRPr="0051009C">
        <w:t>εκφράζει την ικανοποίησή του για την πρόοδο που έχει σημειωθεί όσον αφορά τον ΕΕΜ και τον ΕΜΕ κατά την τελευταία δεκαετία· ζητεί την πλήρη και ταχεία ολοκλήρωση της Τραπεζικής Ένωσης, συμπεριλαμβανομένων της συνέχισης των εργασιών για τη σύσταση του τρίτου πυλώνα της, του ΕΣΑΚ, και της εφαρμογής μέτρων για την εμβάθυνση της ολοκλήρωσης της αγοράς και τη διευκόλυνση της αποτελεσματικής κυκλοφορίας κεφαλαίων και ρευστότητας εντός των τραπεζικών ομίλων· τονίζει ότι η Τραπεζική Ένωση πρέπει να στηρίξει ένα πιο συμπεριληπτικό, ανταγωνιστικό και βιώσιμο χρηματοπιστωτικό σύστημα, ευθυγραμμισμένο με την κοινωνική συνοχή και την Πράσινη Συμφωνία της ΕΕ·</w:t>
      </w:r>
    </w:p>
    <w:p w14:paraId="09CC3011" w14:textId="534BC073" w:rsidR="00C16B62" w:rsidRPr="0051009C" w:rsidRDefault="0051009C" w:rsidP="0051009C">
      <w:pPr>
        <w:pStyle w:val="NormalHanging12a"/>
        <w:ind w:left="570" w:hanging="570"/>
      </w:pPr>
      <w:r w:rsidRPr="0051009C">
        <w:t>2.</w:t>
      </w:r>
      <w:r w:rsidRPr="0051009C">
        <w:tab/>
      </w:r>
      <w:r w:rsidR="00C16B62" w:rsidRPr="0051009C">
        <w:t>καλεί την Επιτροπή να δώσει προτεραιότητα στην ολοκλήρωση της Τραπεζικής Ένωσης και της Ένωσης Αποταμιεύσεων και Επενδύσεων (SIU)· τονίζει τη σημασία τους για τους πολίτες, τις ΜΜΕ και την πραγματική οικονομία δεδομένου ότι προωθούν την ανθεκτικότητα, τη βιώσιμη ευημερία, τη δημιουργία ποιοτικών θέσεων εργασίας και τη χρηματοπιστωτική σταθερότητα· υπογραμμίζει το γεγονός ότι μια πιο ολοκληρωμένη Τραπεζική Ένωση θα στηρίξει την ανάπτυξη και την ανταγωνιστικότητα των ευρωπαϊκών τραπεζών· υπογραμμίζει την ανάγκη για ένα ισχυρό και εύρωστο πλαίσιο που θα βασίζεται σε σαφείς κανόνες και υποχρεώσεις και θα αποτρέπει τη μαζική απόσυρση καταθέσεων, θα προωθεί τη χρηματοπιστωτική σταθερότητα και την ανταγωνιστικότητα και θα ενισχύει τον τραπεζικό τομέα της ΕΕ· τονίζει ότι η ολοκλήρωση της ένωσης κεφαλαιαγορών παράλληλα με την ανάπτυξη της τραπεζικής ένωσης θα συμβάλει στην παροχή καλύτερων συνθηκών για τη χρηματοδότηση της ευρωπαϊκής οικονομίας, τόσο για τα νοικοκυριά όσο και για τις εταιρείες που εξακολουθούν να βασίζονται σε μεγάλο βαθμό στις τραπεζικές πιστώσεις για την προώθηση επενδύσεων και τη δημιουργία θέσεων εργασίας, ενώ παράλληλα συμβάλλουν στην ανθεκτικότητα της ευρωπαϊκής οικονομίας·</w:t>
      </w:r>
    </w:p>
    <w:p w14:paraId="795CABE7" w14:textId="47D1B64F" w:rsidR="00C16B62" w:rsidRPr="0051009C" w:rsidRDefault="0051009C" w:rsidP="0051009C">
      <w:pPr>
        <w:pStyle w:val="NormalHanging12a"/>
        <w:ind w:left="570" w:hanging="570"/>
      </w:pPr>
      <w:r w:rsidRPr="0051009C">
        <w:t>3.</w:t>
      </w:r>
      <w:r w:rsidRPr="0051009C">
        <w:tab/>
      </w:r>
      <w:r w:rsidR="00C16B62" w:rsidRPr="0051009C">
        <w:t>επισημαίνει το γεγονός ότι τα επιτόκια που προσφέρονται στα νοικοκυριά και τις ΜΜΕ σε όλα τα κράτη μέλη είναι πολύ άνισα· ενθαρρύνει την Επιτροπή να εξετάσει το ενδεχόμενο της λήψης μέτρων για να διασφαλίσει καλύτερη πρόσβαση σε χρηματοδότηση για όλους τους πολίτες και τις επιχειρήσεις και ιδίως για τις ΜΜΕ που έχουν απόλυτη ανάγκη για κεφάλαια σε δίκαιες και ανταγωνιστικές τιμές·</w:t>
      </w:r>
    </w:p>
    <w:p w14:paraId="733BB1CE" w14:textId="1E413D19" w:rsidR="00C16B62" w:rsidRPr="0051009C" w:rsidRDefault="0051009C" w:rsidP="0051009C">
      <w:pPr>
        <w:pStyle w:val="NormalHanging12a"/>
        <w:ind w:left="570" w:hanging="570"/>
      </w:pPr>
      <w:r w:rsidRPr="0051009C">
        <w:t>4.</w:t>
      </w:r>
      <w:r w:rsidRPr="0051009C">
        <w:tab/>
      </w:r>
      <w:r w:rsidR="00C16B62" w:rsidRPr="0051009C">
        <w:t>τονίζει τον ρόλο του τραπεζικού τομέα στη χρηματοδότηση της διττής μετάβασης· τονίζει τις προσπάθειες απλούστευσης του πλαισίου βιώσιμης χρηματοδότησης της ΕΕ, ώστε να διασφαλιστεί η συνοχή, να μειωθούν οι αλληλεπικαλύψεις και να ευθυγραμμιστούν οι υποχρεώσεις μεταξύ των κανόνων για τον τραπεζικό τομέα, τη δημοσιοποίηση και τη διαχείριση κινδύνων· εφιστά την προσοχή στη σύσταση της Ευρωπαϊκής Αρχής Ασφαλίσεων και Επαγγελματικών Συντάξεων για θέσπιση υψηλότερων κεφαλαιακών απαιτήσεων για τα μη αξιοποιήσιμα στοιχεία ενεργητικού·</w:t>
      </w:r>
    </w:p>
    <w:p w14:paraId="54211376" w14:textId="1C4BAD3A" w:rsidR="00C16B62" w:rsidRPr="0051009C" w:rsidRDefault="0051009C" w:rsidP="0051009C">
      <w:pPr>
        <w:pStyle w:val="NormalHanging12a"/>
        <w:ind w:left="570" w:hanging="570"/>
      </w:pPr>
      <w:r w:rsidRPr="0051009C">
        <w:t>5.</w:t>
      </w:r>
      <w:r w:rsidRPr="0051009C">
        <w:tab/>
      </w:r>
      <w:r w:rsidR="00C16B62" w:rsidRPr="0051009C">
        <w:t>εκφράζει τη λύπη του για τα εμπόδια που εξακολουθούν να υπάρχουν στις διασυνοριακές λιανικές τραπεζικές υπηρεσίες· τονίζει τις δυνατότητες μιας ολοκληρωμένης Τραπεζικής Ένωσης να βελτιώσει τον ανταγωνισμό και τις επιλογές των καταναλωτών στον τομέα της λιανικής τραπεζικής, μεταξύ άλλων μέσω των βελτιωμένων ευκαιριών παροχής διασυνοριακών λιανικών τραπεζικών υπηρεσιών·</w:t>
      </w:r>
    </w:p>
    <w:p w14:paraId="13F477CD" w14:textId="229DD6F1" w:rsidR="00C16B62" w:rsidRPr="0051009C" w:rsidRDefault="0051009C" w:rsidP="0051009C">
      <w:pPr>
        <w:pStyle w:val="NormalHanging12a"/>
        <w:ind w:left="570" w:hanging="570"/>
      </w:pPr>
      <w:r w:rsidRPr="0051009C">
        <w:t>6.</w:t>
      </w:r>
      <w:r w:rsidRPr="0051009C">
        <w:tab/>
      </w:r>
      <w:r w:rsidR="00C16B62" w:rsidRPr="0051009C">
        <w:t>αναγνωρίζει την πρόοδο που έχει επιτευχθεί στις διαπραγματεύσεις για αμφότερα το επιγραμμικό και μη επιγραμμικό ψηφιακό ευρώ· εκφράζει την ικανοποίησή του για το γεγονός ότι το ψηφιακό ευρώ έχει τη δυνατότητα να συμπληρώνει τα ρευστά διαθέσιμα και να εξασφαλίζει τη διατήρησή τους, ενισχύοντας παράλληλα την οικονομική κυριαρχία και αυτονομία της ΕΕ και συμβάλλοντας στην οικονομική ένταξη· εκφράζει την ικανοποίησή του για την οριστικοποίηση της γενικής προσέγγισης του Συμβουλίου σχετικά με το ψηφιακό ευρώ τον Δεκέμβριο του 2025 και θεωρεί απολύτως αναγκαίο να οριστικοποιήσει το Κοινοβούλιο τη θέση του το συντομότερο δυνατόν·</w:t>
      </w:r>
    </w:p>
    <w:p w14:paraId="24A4B676" w14:textId="4A1BABE2" w:rsidR="00C16B62" w:rsidRPr="0051009C" w:rsidRDefault="0051009C" w:rsidP="0051009C">
      <w:pPr>
        <w:pStyle w:val="NormalHanging12a"/>
        <w:ind w:left="570" w:hanging="570"/>
      </w:pPr>
      <w:r w:rsidRPr="0051009C">
        <w:t>7.</w:t>
      </w:r>
      <w:r w:rsidRPr="0051009C">
        <w:tab/>
      </w:r>
      <w:r w:rsidR="00C16B62" w:rsidRPr="0051009C">
        <w:t>θεωρεί ότι η πρόοδος όσον αφορά την ισορροπία μεταξύ των φύλων στα χρηματοπιστωτικά ιδρύματα, και ιδίως στη διοίκηση, είναι περιορισμένη· τονίζει ότι η διαφορετικότητα όσον αφορά την ηγεσία και η καλύτερη πρόσβαση σε χρηματοδότηση για τις εταιρείες που διοικούνται από γυναίκες</w:t>
      </w:r>
      <w:r w:rsidR="00C16B62" w:rsidRPr="0051009C">
        <w:rPr>
          <w:rStyle w:val="FootnoteReference"/>
        </w:rPr>
        <w:footnoteReference w:customMarkFollows="1" w:id="13"/>
        <w:t>13</w:t>
      </w:r>
      <w:r w:rsidR="00C16B62" w:rsidRPr="0051009C">
        <w:t xml:space="preserve"> ενισχύουν τη διακυβέρνηση, την καινοτομία και τις οικονομικές επιδόσεις· καλεί τα χρηματοπιστωτικά ιδρύματα, τα ενδιαφερόμενα μέρη, την Επιτροπή και τα κράτη μέλη να υιοθετήσουν αποτελεσματικές στρατηγικές για τη διαφορετικότητα, να παρακολουθούν το χάσμα μεταξύ των φύλων και να ενσωματώνουν την ισότητα των φύλων στα εποπτικά και επενδυτικά πλαίσια, ώστε να διασφαλιστεί η χωρίς αποκλεισμούς πρόσβαση σε κεφάλαια σε ολόκληρη την ΕΕ· υπενθυμίζει ότι η θέση του Κοινοβουλίου είναι να διατηρήσει και να δώσει προτεραιότητα σε ισόρροπους ως προς την εκπροσώπηση των φύλων καταλόγους επικρατέστερων υποψηφίων για τους μελλοντικούς υποψήφιους· τονίζει ότι είναι σημαντικό να διασφαλιστεί η ισόρροπη εκπροσώπηση των φύλων σε όλα τα επίπεδα της διοίκησης στα θεσμικά όργανα και στους οργανισμούς της ΕΕ που είναι υπεύθυνα για την Τραπεζική Ένωση·</w:t>
      </w:r>
    </w:p>
    <w:p w14:paraId="5DF88F2D" w14:textId="7A091947" w:rsidR="00C16B62" w:rsidRPr="0051009C" w:rsidRDefault="0051009C" w:rsidP="0051009C">
      <w:pPr>
        <w:pStyle w:val="NormalHanging12a"/>
        <w:ind w:left="570" w:hanging="570"/>
      </w:pPr>
      <w:r w:rsidRPr="0051009C">
        <w:t>8.</w:t>
      </w:r>
      <w:r w:rsidRPr="0051009C">
        <w:tab/>
      </w:r>
      <w:r w:rsidR="00C16B62" w:rsidRPr="0051009C">
        <w:t>σημειώνει ότι, μετά τις αυξήσεις των επιτοκίων της ΕΚΤ, η κερδοφορία και η ανθεκτικότητα των τραπεζών της ΕΕ έχουν βελτιωθεί σημαντικά</w:t>
      </w:r>
      <w:r w:rsidR="00C16B62" w:rsidRPr="0051009C">
        <w:rPr>
          <w:rStyle w:val="FootnoteReference"/>
        </w:rPr>
        <w:footnoteReference w:customMarkFollows="1" w:id="14"/>
        <w:t>14</w:t>
      </w:r>
      <w:r w:rsidR="00C16B62" w:rsidRPr="0051009C">
        <w:t xml:space="preserve"> και παρέμειναν υψηλές το 2025· τονίζει ότι αυτή η κερδοφορία και ανθεκτικότητα μπορούν να στηρίξουν ουσιαστικές επενδύσεις στην οικονομία της ΕΕ και τη χρηματοδότηση νοικοκυριών και επιχειρήσεων, ιδίως ΜΜΕ και νεοφυών επιχειρήσεων, καθώς και νέων επαγγελματιών· υπογραμμίζει τον σημαντικό ρόλο που διαδραματίζουν οι τράπεζες στη στήριξη των ΜΜΕ και των τοπικών οικονομιών και καλεί την Επιτροπή να εξασφαλίσει ότι κάθε ρύθμιση θα παραμείνει ανάλογη με τον βαθμό κινδύνου· τονίζει ότι τα πιστωτικά ιδρύματα που λαμβάνουν κρατικές ενισχύσεις πρέπει να λειτουργούν εντός συνετών παραμέτρων όσον αφορά τα μερίσματα, τις επαναγορές και τις μεταβλητές αποδοχές·</w:t>
      </w:r>
    </w:p>
    <w:p w14:paraId="2399A809" w14:textId="536237F2" w:rsidR="00C16B62" w:rsidRPr="0051009C" w:rsidRDefault="0051009C" w:rsidP="0051009C">
      <w:pPr>
        <w:pStyle w:val="NormalHanging12a"/>
        <w:ind w:left="570" w:hanging="570"/>
      </w:pPr>
      <w:r w:rsidRPr="0051009C">
        <w:t>9.</w:t>
      </w:r>
      <w:r w:rsidRPr="0051009C">
        <w:tab/>
      </w:r>
      <w:r w:rsidR="00C16B62" w:rsidRPr="0051009C">
        <w:t>τονίζει ότι η ορθή λειτουργία και η αξιοπιστία της Τραπεζικής Ένωσης εξαρτώνται επίσης από τον πλήρη σεβασμό και την αποτελεσματική επιβολή της ενωσιακής νομοθεσίας για την προστασία των καταναλωτών στον τραπεζικό τομέα· επισημαίνει το γεγονός ότι τα πιστωτικά ιδρύματα πρέπει να απέχουν από τη χρήση αθέμιτων συμβατικών όρων και εμπορικών πρακτικών, ιδίως στον ενυπόθηκο δανεισμό και τον δανεισμό λιανικής· υπογραμμίζει το γεγονός ότι οι καταναλωτές, συμπεριλαμβανομένων των δανειοληπτών, πρέπει να επωφελούνται από αποτελεσματική προστασία, ασφάλεια δικαίου και πρόσβαση σε αποτελεσματικά ένδικα μέσα· στο πλαίσιο αυτό, καλεί τα κράτη μέλη και τις αρμόδιες αρχές να διασφαλίσουν ισχυρά μέτρα εποπτείας και επιβολής σε περιπτώσεις παραβίασης· τονίζει περαιτέρω ότι είναι σημαντικό να διασφαλίσουν επαρκή προστασία της πρώτης κατοικίας, ιδίως στην περίπτωση των ευάλωτων νοικοκυριών, λαμβάνοντας υπόψη το μέγεθος της κατοικίας και το εάν οι δανειολήπτες έχουν ήδη αποπληρώσει σημαντικό μέρος του δανείου τους, όπως το 50 % του αρχικού δανείου·</w:t>
      </w:r>
    </w:p>
    <w:p w14:paraId="58D03051" w14:textId="01AC8B22" w:rsidR="00C16B62" w:rsidRPr="0051009C" w:rsidRDefault="0051009C" w:rsidP="0051009C">
      <w:pPr>
        <w:pStyle w:val="NormalHanging12a"/>
        <w:ind w:left="570" w:hanging="570"/>
      </w:pPr>
      <w:r w:rsidRPr="0051009C">
        <w:t>10.</w:t>
      </w:r>
      <w:r w:rsidRPr="0051009C">
        <w:tab/>
      </w:r>
      <w:r w:rsidR="00C16B62" w:rsidRPr="0051009C">
        <w:t>εκφράζει την ικανοποίησή του για τον ρόλο της AMLA στην ενίσχυση του αγώνα της ΕΕ κατά της νομιμοποίησης εσόδων από παράνομες δραστηριότητες και της χρηματοδότησης της τρομοκρατίας· ζητεί συνεπή εφαρμογή, ενισχυμένη συνεργασία, ανταλλαγή πληροφοριών και συντονισμένη επιβολή σε ολόκληρη την ΕΕ· τονίζει την ανάγκη αποτελεσματικής συνεργασίας μεταξύ της AMLA και των Ευρωπαϊκών Εποπτικών Αρχών και των αρχών προληπτικής εποπτείας· τονίζει την ανάγκη να τηρεί η AMLA την αρχή της αναλογικότητας και του συντονισμού στο εποπτικό και ρυθμιστικό της έργο·</w:t>
      </w:r>
    </w:p>
    <w:p w14:paraId="45DA8577" w14:textId="782A1675" w:rsidR="00C16B62" w:rsidRPr="0051009C" w:rsidRDefault="0051009C" w:rsidP="0051009C">
      <w:pPr>
        <w:pStyle w:val="NormalHanging12a"/>
        <w:ind w:left="570" w:hanging="570"/>
      </w:pPr>
      <w:r w:rsidRPr="0051009C">
        <w:t>11.</w:t>
      </w:r>
      <w:r w:rsidRPr="0051009C">
        <w:tab/>
      </w:r>
      <w:r w:rsidR="00C16B62" w:rsidRPr="0051009C">
        <w:t>υπογραμμίζει το γεγονός ότι η άρτια, αναλογική, συνεπής και έγκαιρη υποβολή χρηματοοικονομικών εκθέσεων είναι ζωτικής σημασίας για την εποπτεία και τη σταθερότητα· τονίζει τη σημασία της ασφάλειας δικαίου, της προβλεψιμότητας και της σταθερότητας για τον τραπεζικό τομέα και τονίζει επίσης ότι η απλούστευση δεν πρέπει να αποδυναμώσει τα πρότυπα προληπτικής εποπτείας, ανθεκτικότητας, προστασίας των καταναλωτών ή σταθερότητας· τονίζει την ανάγκη για περαιτέρω μέτρα που να προωθούν την ψηφιοποίηση και την απλούστευση, διατηρώντας παράλληλα τα εν λόγω πρότυπα· ζητεί μια ισορροπημένη και πιο ολοκληρωμένη προσέγγιση, συμπεριλαμβανομένου ενός κεντρικού κόμβου δεδομένων, ο οποίος θα βασίζεται σε τυποποιημένους ορισμούς, ενός κοινού λεξικού δεδομένων και ενός κοινού αποθετηρίου αιτήσεων, ώστε να μειωθεί η περιττή πολυπλοκότητα και παράλληλα να διατηρηθεί η ευρωστία του πλαισίου της Τραπεζικής Ένωσης·</w:t>
      </w:r>
    </w:p>
    <w:p w14:paraId="6B3F119A" w14:textId="429563FF" w:rsidR="00C16B62" w:rsidRPr="0051009C" w:rsidRDefault="0051009C" w:rsidP="0051009C">
      <w:pPr>
        <w:pStyle w:val="NormalHanging12a"/>
        <w:ind w:left="570" w:hanging="570"/>
      </w:pPr>
      <w:r w:rsidRPr="0051009C">
        <w:t>12.</w:t>
      </w:r>
      <w:r w:rsidRPr="0051009C">
        <w:tab/>
      </w:r>
      <w:r w:rsidR="00C16B62" w:rsidRPr="0051009C">
        <w:t>αναγνωρίζει τη θεσμική και κανονιστική πρόοδο που έχει ενισχύσει την ανθεκτικότητα των τραπεζών της ζώνης του ευρώ· σημειώνει ότι εξακολουθούν να υπάρχουν σημαντικοί φραγμοί στην απελευθέρωση του πλήρους δυναμικού της ενιαίας αγοράς χρηματοπιστωτικών υπηρεσιών της ΕΕ· καλεί την Επιτροπή, τα κράτη μέλη και τα όργανα της ΕΕ να συνδυάσουν τις φιλοδοξίες με συγκεκριμένα μέτρα για την ολοκλήρωση της SIU και της ενιαίας αγοράς, ενισχύοντας την απλούστευση και την ανταγωνιστικότητα· καλεί την Επιτροπή να προτείνει, στην έκθεσή της του 2026 σχετικά με την ανταγωνιστικότητα του τραπεζικού τομέα της ΕΕ, ουσιαστικές δράσεις που να αποσκοπούν στην αύξηση της ανταγωνιστικότητας των τραπεζών της ΕΕ, διασφαλίζοντας παράλληλα τον ουσιαστικό ρόλο των τραπεζών στη χρηματοδότηση των επενδύσεων που απαιτούνται για την επίτευξη της πράσινης και της ψηφιακής μετάβασης της Ένωσης·</w:t>
      </w:r>
    </w:p>
    <w:p w14:paraId="6D9325F2" w14:textId="0BB890BD" w:rsidR="00C16B62" w:rsidRPr="0051009C" w:rsidRDefault="0051009C" w:rsidP="0051009C">
      <w:pPr>
        <w:pStyle w:val="NormalHanging12a"/>
        <w:ind w:left="570" w:hanging="570"/>
      </w:pPr>
      <w:r w:rsidRPr="0051009C">
        <w:t>13.</w:t>
      </w:r>
      <w:r w:rsidRPr="0051009C">
        <w:tab/>
      </w:r>
      <w:r w:rsidR="00C16B62" w:rsidRPr="0051009C">
        <w:t>τονίζει ότι, δεδομένης της συνεχιζόμενης γεωπολιτικής αβεβαιότητας, των δυνητικά υπερτιμημένων χρηματιστηριακών αγορών και των πρόσφατων αναταραχών στις Ηνωμένες Πολιτείες μετά τον αδιαφανή δανεισμό στον μη τραπεζικό (ιδιωτικό πιστωτικό) τομέα, οι εποπτικές αρχές θα πρέπει να διατηρούν μακρόπνοη προοπτική και να παρακολουθούν επαρκώς τους κινδύνους, και ότι οι τράπεζες θα πρέπει να διατηρούν επαρκή κεφαλαιακά αποθέματα ασφαλείας και να είναι λειτουργικά ανθεκτικές· τονίζει, στο πλαίσιο αυτό, την ανάγκη βελτίωσης της εποπτείας και της ανθεκτικότητας των μη τραπεζικών χρηματοπιστωτικών διαμεσολαβητών· επισημαίνει ότι η συνετή εποπτεία σήμερα μπορεί να προστατεύσει τους φορολογούμενους, τους καταθέτες και την πραγματική οικονομία από μελλοντικές ζημίες·</w:t>
      </w:r>
    </w:p>
    <w:p w14:paraId="4123AF6C" w14:textId="77777777" w:rsidR="00C16B62" w:rsidRPr="0051009C" w:rsidRDefault="00C16B62" w:rsidP="00827EEA">
      <w:pPr>
        <w:pStyle w:val="Normal12a"/>
        <w:ind w:left="567" w:hanging="567"/>
      </w:pPr>
      <w:r w:rsidRPr="0051009C">
        <w:rPr>
          <w:b/>
          <w:i/>
        </w:rPr>
        <w:t xml:space="preserve">Εποπτεία </w:t>
      </w:r>
    </w:p>
    <w:p w14:paraId="110D9B7A" w14:textId="60147425" w:rsidR="00C16B62" w:rsidRPr="0051009C" w:rsidRDefault="0051009C" w:rsidP="0051009C">
      <w:pPr>
        <w:pStyle w:val="NormalHanging12a"/>
        <w:ind w:left="570" w:hanging="570"/>
      </w:pPr>
      <w:r w:rsidRPr="0051009C">
        <w:t>14.</w:t>
      </w:r>
      <w:r w:rsidRPr="0051009C">
        <w:tab/>
      </w:r>
      <w:r w:rsidR="00C16B62" w:rsidRPr="0051009C">
        <w:t>σημειώνει ότι το συνολικό ποσοστό κεφαλαίου κοινών μετοχών της κατηγορίας 1 (CET1) των τραπεζών του ΕΕΜ ανήλθε σε 16,12 % το δεύτερο τρίμηνο του 2025, με απόδοση ιδίων κεφαλαίων (ROE) 10,11 %, ενώ τα μη εξυπηρετούμενα δάνεια (ΜΕΔ) μειώθηκαν σε 2,22 % και τα δάνεια του σταδίου 2 ανέρχονται σε 9,59 %</w:t>
      </w:r>
      <w:r w:rsidR="00C16B62" w:rsidRPr="0051009C">
        <w:rPr>
          <w:rStyle w:val="FootnoteReference"/>
        </w:rPr>
        <w:footnoteReference w:customMarkFollows="1" w:id="15"/>
        <w:t>15</w:t>
      </w:r>
      <w:r w:rsidR="00C16B62" w:rsidRPr="0051009C">
        <w:t>· τονίζει την ανάγκη παρακολούθησης του πιστωτικού κινδύνου, με παράλληλη διατήρηση επαρκούς κεφαλαίου και ρευστότητας για την ανθεκτικότητα του τραπεζικού τομέα· επισημαίνει το γεγονός ότι η πρόοδος αυτή όσον αφορά τη μείωση των κινδύνων δεν συνοδεύτηκε από ανάλογη πρόοδο όσον αφορά τον επιμερισμό των κινδύνων·</w:t>
      </w:r>
    </w:p>
    <w:p w14:paraId="5212579C" w14:textId="170CC5FF" w:rsidR="00C16B62" w:rsidRPr="0051009C" w:rsidRDefault="0051009C" w:rsidP="0051009C">
      <w:pPr>
        <w:pStyle w:val="NormalHanging12a"/>
        <w:ind w:left="570" w:hanging="570"/>
      </w:pPr>
      <w:r w:rsidRPr="0051009C">
        <w:t>15.</w:t>
      </w:r>
      <w:r w:rsidRPr="0051009C">
        <w:tab/>
      </w:r>
      <w:r w:rsidR="00C16B62" w:rsidRPr="0051009C">
        <w:t>επισημαίνει τις δυσμενείς μακροοικονομικές συνθήκες και τις γεωπολιτικές αντιξοότητες, που ενδέχεται να οδηγήσουν σε επιδείνωση της ποιότητας των περιουσιακών στοιχείων·</w:t>
      </w:r>
    </w:p>
    <w:p w14:paraId="24B7CFAB" w14:textId="00B0BB44" w:rsidR="00C16B62" w:rsidRPr="0051009C" w:rsidRDefault="0051009C" w:rsidP="0051009C">
      <w:pPr>
        <w:pStyle w:val="NormalHanging12a"/>
        <w:ind w:left="570" w:hanging="570"/>
      </w:pPr>
      <w:r w:rsidRPr="0051009C">
        <w:t>16.</w:t>
      </w:r>
      <w:r w:rsidRPr="0051009C">
        <w:tab/>
      </w:r>
      <w:r w:rsidR="00C16B62" w:rsidRPr="0051009C">
        <w:t>σημειώνει ότι οι τράπεζες εκτίθενται όλο και περισσότερο σε μη τραπεζικούς ενδιάμεσους χρηματοπιστωτικούς οργανισμούς (NBFI), γεγονός που δημιουργεί πιθανούς κινδύνους, από κινδύνους ρευστότητας έως κινδύνους έκθεσης αντισυμβαλλομένου, και ζητεί ολοκληρωμένη ευρωπαϊκή εποπτεία του τομέα των μη τραπεζικών ενδιάμεσων χρηματοπιστωτικών οργανισμών· υπογραμμίζει το γεγονός ότι τα διεθνή και ενωσιακά όργανα έχουν επανειλημμένα επισημάνει τους κινδύνους που απορρέουν από τον μη τραπεζικό τομέα, ιδίως λόγω της αυξημένης διασύνδεσής του με τον παραδοσιακό τραπεζικό τομέα· υποστηρίζει την καθιέρωση ασκήσεων προσομοίωσης ακραίων καταστάσεων με σκοπό την αξιολόγηση της ανθεκτικότητας των βασικών αγορών· παροτρύνει την Επιτροπή να εξετάσει τα κενά στη δέσμη εργαλείων εποπτείας, συμπεριλαμβανομένων των κινδύνων που αφορούν τη ρευστότητα και των συστημικών κινδύνων, και, κατά περίπτωση, να προτείνει μέτρα για τη διαφύλαξη της χρηματοπιστωτικής σταθερότητας·</w:t>
      </w:r>
    </w:p>
    <w:p w14:paraId="3AA69E5A" w14:textId="2F62E9D1" w:rsidR="00C16B62" w:rsidRPr="0051009C" w:rsidRDefault="0051009C" w:rsidP="0051009C">
      <w:pPr>
        <w:pStyle w:val="NormalHanging12a"/>
        <w:ind w:left="570" w:hanging="570"/>
      </w:pPr>
      <w:r w:rsidRPr="0051009C">
        <w:t>17.</w:t>
      </w:r>
      <w:r w:rsidRPr="0051009C">
        <w:tab/>
      </w:r>
      <w:r w:rsidR="00C16B62" w:rsidRPr="0051009C">
        <w:t>εκφράζει την ικανοποίησή του για την οριστικοποίηση και την εφαρμογή του πλαισίου της Βασιλείας ΙΙΙ, το οποίο θα ενισχύσει την ανθεκτικότητα στην ΕΕ· σημειώνει ότι άλλες δικαιοδοσίες έχουν εφαρμόσει λιγότερο φιλόδοξο θεματολόγιο εφαρμογής· υπογραμμίζει τη συνεχιζόμενη έλλειψη σαφήνειας όσον αφορά την εφαρμογή των προτύπων της Βασιλείας ΙΙΙ σε ορισμένες άλλες δικαιοδοσίες· υπενθυμίζει ότι ο ΕΕΜ έχει δηλώσει επανειλημμένα ότι η εφαρμογή της θεμελιώδους επανεξέτασης του χαρτοφυλακίου συναλλαγών θα ενισχύσει την ανθεκτικότητα των τραπεζών της ΕΕ και δεν θα υπονομεύσει την ανταγωνιστικότητά τους· καλεί την Επιτροπή να επανεξετάσει τις αποφάσεις σχετικά με την ισοδυναμία με δικαιοδοσίες που δεν εφαρμόζουν τα εν λόγω πρότυπα·</w:t>
      </w:r>
    </w:p>
    <w:p w14:paraId="2515A442" w14:textId="67B89617" w:rsidR="00C16B62" w:rsidRPr="0051009C" w:rsidRDefault="0051009C" w:rsidP="0051009C">
      <w:pPr>
        <w:pStyle w:val="NormalHanging12a"/>
        <w:ind w:left="570" w:hanging="570"/>
      </w:pPr>
      <w:r w:rsidRPr="0051009C">
        <w:t>18.</w:t>
      </w:r>
      <w:r w:rsidRPr="0051009C">
        <w:tab/>
      </w:r>
      <w:r w:rsidR="00C16B62" w:rsidRPr="0051009C">
        <w:t>λαμβάνει υπό σημείωση μία δημοσίευση της ΕΚΤ</w:t>
      </w:r>
      <w:r w:rsidR="00C16B62" w:rsidRPr="0051009C">
        <w:rPr>
          <w:rStyle w:val="FootnoteReference"/>
        </w:rPr>
        <w:footnoteReference w:customMarkFollows="1" w:id="16"/>
        <w:t>16</w:t>
      </w:r>
      <w:r w:rsidR="00C16B62" w:rsidRPr="0051009C">
        <w:t xml:space="preserve"> στην οποία αναφέρεται ότι οι υψηλές κεφαλαιακές απαιτήσεις δεν παρεμποδίζουν την ανταγωνιστικότητα των τραπεζών, αλλά μάλλον διασφαλίζουν την ανθεκτικότητα και την ικανότητα των τραπεζών να χρηματοδοτούν την οικονομία καθ’ όλη τη διάρκεια του κύκλου·</w:t>
      </w:r>
    </w:p>
    <w:p w14:paraId="4A4B4F58" w14:textId="461D28F2" w:rsidR="00C16B62" w:rsidRPr="0051009C" w:rsidRDefault="0051009C" w:rsidP="0051009C">
      <w:pPr>
        <w:pStyle w:val="NormalHanging12a"/>
        <w:ind w:left="570" w:hanging="570"/>
      </w:pPr>
      <w:r w:rsidRPr="0051009C">
        <w:t>19.</w:t>
      </w:r>
      <w:r w:rsidRPr="0051009C">
        <w:tab/>
      </w:r>
      <w:r w:rsidR="00C16B62" w:rsidRPr="0051009C">
        <w:t>εκφράζει τη λύπη του για τον αυξανόμενο αριθμό των τραπεζικών υποκαταστημάτων που κλείνουν, επηρεάζοντας αρνητικά τις ευάλωτες και περιφερειακές κοινότητες· υπενθυμίζει το δικαίωμα πρόσβασης των πολιτών σε βασικές χρηματοπιστωτικές υπηρεσίες· υπογραμμίζει τον ρόλο των μικρότερων τραπεζών στην πρόσβαση των νοικοκυριών και των μικρών επιχειρήσεων σε υπηρεσίες· επισημαίνει το γεγονός ότι με τη διαφοροποίηση των τραπεζικών επιχειρήσεων ενισχύεται η ανθεκτικότητα του χρηματοπιστωτικού συστήματος· αναγνωρίζει τη σημασία της ψηφιοποίησης και της τεχνητής νοημοσύνης για την ενίσχυση της αποτελεσματικότητας του τραπεζικού τομέα· σημειώνει, ωστόσο, με ανησυχία ότι παρατηρήθηκαν απώλειες θέσεων εργασίας που σχετίζονται με την ΤΝ· καλεί τα πιστωτικά ιδρύματα να εφαρμόσουν πολιτικές επανειδίκευσης και να διασφαλίσουν την ανθρώπινη εποπτεία στις αυτοματοποιημένες αποφάσεις· τονίζει την ανάγκη διασφάλισης της ποιότητας των θέσεων εργασίας, δίκαιων συνθηκών και ισότιμης πρόσβασης στις τράπεζες·</w:t>
      </w:r>
    </w:p>
    <w:p w14:paraId="462FB4DE" w14:textId="563EE67D" w:rsidR="00C16B62" w:rsidRPr="0051009C" w:rsidRDefault="0051009C" w:rsidP="0051009C">
      <w:pPr>
        <w:pStyle w:val="NormalHanging12a"/>
        <w:ind w:left="570" w:hanging="570"/>
      </w:pPr>
      <w:r w:rsidRPr="0051009C">
        <w:t>20.</w:t>
      </w:r>
      <w:r w:rsidRPr="0051009C">
        <w:tab/>
      </w:r>
      <w:r w:rsidR="00C16B62" w:rsidRPr="0051009C">
        <w:t>αναγνωρίζει τους ειδικούς κινδύνους που ενέχουν τα κρυπτοστοιχεία καθώς και τις ευκαιρίες που προσφέρουν, όπως τα σταθερά κρυπτονομίσματα σε ευρώ· ζητεί συνεπή και φιλική προς την καινοτομία εποπτεία προκειμένου να διασφαλιστεί ότι η καινοτομία θα εξυπηρετεί το κοινό· καλεί τις ενωσιακές και εθνικές αρχές να παρακολουθούν τα ανοίγματα, να αντιμετωπίζουν τους κινδύνους και να καταπολεμούν τις κερδοσκοπικές συμπεριφορές και το οικονομικό έγκλημα και να προστατεύουν τους καταναλωτές· υπογραμμίζει τη σημασία των παγκόσμιων προτύπων σε αυτό τον τομέα·</w:t>
      </w:r>
    </w:p>
    <w:p w14:paraId="2F3A7095" w14:textId="6EB2A3B2" w:rsidR="00C16B62" w:rsidRPr="0051009C" w:rsidRDefault="0051009C" w:rsidP="0051009C">
      <w:pPr>
        <w:pStyle w:val="NormalHanging12a"/>
        <w:ind w:left="570" w:hanging="570"/>
      </w:pPr>
      <w:r w:rsidRPr="0051009C">
        <w:t>21.</w:t>
      </w:r>
      <w:r w:rsidRPr="0051009C">
        <w:tab/>
      </w:r>
      <w:r w:rsidR="00C16B62" w:rsidRPr="0051009C">
        <w:t>καλεί την Επιτροπή, την ΕΑΤ και τις εθνικές αρμόδιες αρχές στο πλαίσιο της Τραπεζικής Ένωσης να διασφαλίσουν την αυστηρή, συνεπή και πιστή εφαρμογή και επιβολή του κανονισμού για τις αγορές κρυπτοστοιχείων</w:t>
      </w:r>
      <w:r w:rsidR="00C16B62" w:rsidRPr="0051009C">
        <w:rPr>
          <w:rStyle w:val="FootnoteReference"/>
        </w:rPr>
        <w:footnoteReference w:customMarkFollows="1" w:id="17"/>
        <w:t>17</w:t>
      </w:r>
      <w:r w:rsidR="00C16B62" w:rsidRPr="0051009C">
        <w:t xml:space="preserve"> ως απαραίτητου συμπληρώματος του πλαισίου χρηματοπιστωτικής σταθερότητας της Ένωσης που βασίζεται στις τράπεζες·</w:t>
      </w:r>
    </w:p>
    <w:p w14:paraId="6FFDC5FD" w14:textId="32E0A1F9" w:rsidR="00C16B62" w:rsidRPr="0051009C" w:rsidRDefault="0051009C" w:rsidP="0051009C">
      <w:pPr>
        <w:pStyle w:val="NormalHanging12a"/>
        <w:ind w:left="570" w:hanging="570"/>
      </w:pPr>
      <w:r w:rsidRPr="0051009C">
        <w:t>22.</w:t>
      </w:r>
      <w:r w:rsidRPr="0051009C">
        <w:tab/>
      </w:r>
      <w:r w:rsidR="00C16B62" w:rsidRPr="0051009C">
        <w:t>λαμβάνει υπό σημείωση τις αβεβαιότητες που απορρέουν από τα σταθερά κρυπτονομίσματα πολλαπλών εκδόσεων τρίτων χωρών για τις τράπεζες της ΕΕ· επισημαίνει το ενδεχόμενο ρυθμιστικό αρμπιτράζ μεταξύ δικαιοδοσιών, το οποίο θα μπορούσε να οδηγήσει σε μαζικές αναλήψεις καταθέσεων στις τράπεζες της ΕΕ και να έχει δευτερογενείς επιπτώσεις·</w:t>
      </w:r>
    </w:p>
    <w:p w14:paraId="75A16E26" w14:textId="77777777" w:rsidR="00C16B62" w:rsidRPr="0051009C" w:rsidRDefault="00C16B62" w:rsidP="00827EEA">
      <w:pPr>
        <w:pStyle w:val="Normal12a"/>
        <w:ind w:left="567" w:hanging="567"/>
      </w:pPr>
      <w:r w:rsidRPr="0051009C">
        <w:rPr>
          <w:b/>
          <w:i/>
        </w:rPr>
        <w:t xml:space="preserve">Εξυγίανση </w:t>
      </w:r>
    </w:p>
    <w:p w14:paraId="4D0B8FBB" w14:textId="6E544B7B" w:rsidR="00C16B62" w:rsidRPr="0051009C" w:rsidRDefault="0051009C" w:rsidP="0051009C">
      <w:pPr>
        <w:pStyle w:val="NormalHanging12a"/>
        <w:ind w:left="570" w:hanging="570"/>
      </w:pPr>
      <w:r w:rsidRPr="0051009C">
        <w:t>23.</w:t>
      </w:r>
      <w:r w:rsidRPr="0051009C">
        <w:tab/>
      </w:r>
      <w:r w:rsidR="00C16B62" w:rsidRPr="0051009C">
        <w:t>επαινεί τη μεταρρύθμιση της διαχείρισης κρίσεων και της ασφάλισης καταθέσεων (CMDI) για τη συνεκτική διαχείριση κρίσεων και την ασφάλιση καταθέσεων, την ενίσχυση της σταθερότητας και την προστασία των αποταμιεύσεων και των φορολογουμένων και τη διασφάλιση καλύτερης χρήσης του δημόσιου χρήματος για εξυγίανση όταν είναι προς το δημόσιο συμφέρον, εντός σαφούς ρυθμιστικού πλαισίου· τονίζει ότι πρέπει να υπάρχει ευελιξία για τις τράπεζες μικρού και μεσαίου μεγέθους και ότι πρέπει να παρασχεθούν στις αρμόδιες αρχές αποτελεσματικά εργαλεία, δεδομένα και μηχανισμοί λήψης αποφάσεων για να εξασφαλιστεί μια ανθεκτική και κοινωνικά υπεύθυνη Τραπεζική Ένωση, και να τους δοθεί η δυνατότητα να αντιδρούν με αποτελεσματικό τρόπο στις πτωχεύσεις τραπεζών και να παρέχουν τις αναγκαίες διασφαλίσεις, με την υποστήριξη ενός κανονιστικού πλαισίου που να προωθεί την ανάπτυξη των τραπεζών και να συμβάλλει σε μια ανθεκτική και οικονομικά σταθερή Τραπεζική Ένωση·</w:t>
      </w:r>
    </w:p>
    <w:p w14:paraId="4F95D060" w14:textId="634F253C" w:rsidR="00C16B62" w:rsidRPr="0051009C" w:rsidRDefault="0051009C" w:rsidP="0051009C">
      <w:pPr>
        <w:pStyle w:val="NormalHanging12a"/>
        <w:ind w:left="570" w:hanging="570"/>
      </w:pPr>
      <w:r w:rsidRPr="0051009C">
        <w:t>24.</w:t>
      </w:r>
      <w:r w:rsidRPr="0051009C">
        <w:tab/>
      </w:r>
      <w:r w:rsidR="00C16B62" w:rsidRPr="0051009C">
        <w:t>εκφράζει την ικανοποίησή του για την προσωρινή συμφωνία που επιτεύχθηκε στις 19</w:t>
      </w:r>
      <w:r w:rsidR="00636351" w:rsidRPr="0051009C">
        <w:t> </w:t>
      </w:r>
      <w:r w:rsidR="00C16B62" w:rsidRPr="0051009C">
        <w:t>Νοεμβρίου 2025 μεταξύ του Ευρωπαϊκού Κοινοβουλίου και του Συμβουλίου για την οδηγία που αφορά την εναρμόνιση ορισμένων πτυχών της νομοθεσίας περί αφερεγγυότητας, δεδομένου ότι η περαιτέρω ευθυγράμμιση της νομοθεσίας περί αφερεγγυότητας και των διαδικασιών αναδιάρθρωσης θα μπορούσε να προωθήσει την ολοκλήρωση της Τραπεζικής Ένωσης·</w:t>
      </w:r>
    </w:p>
    <w:p w14:paraId="4167CBBD" w14:textId="1662B1E4" w:rsidR="00C16B62" w:rsidRPr="0051009C" w:rsidRDefault="0051009C" w:rsidP="0051009C">
      <w:pPr>
        <w:pStyle w:val="NormalHanging12a"/>
        <w:ind w:left="570" w:hanging="570"/>
      </w:pPr>
      <w:r w:rsidRPr="0051009C">
        <w:t>25.</w:t>
      </w:r>
      <w:r w:rsidRPr="0051009C">
        <w:tab/>
      </w:r>
      <w:r w:rsidR="00C16B62" w:rsidRPr="0051009C">
        <w:t>τονίζει ότι, σε περίπτωση χρεοκοπίας τραπεζών, οι μέτοχοι, οι πιστωτές ή οι μηχανισμοί που χρηματοδοτούνται από τον κλάδο θα πρέπει να είναι οι πρώτοι που θα λογοδοτούν, ενώ οι δημόσιοι πόροι θα πρέπει να χρησιμοποιούνται μόνο ως έσχατη λύση, διότι πρέπει να αποφεύγεται η εξάρτηση από τα χρήματα των φορολογουμένων για την εξυγίανση των τραπεζών, σύμφωνα με τη δημοσιονομική ευθύνη, την κοινωνική δικαιοσύνη και την πειθαρχία της αγοράς· τονίζει την ανάγκη για συνεχή και αποτελεσματική εποπτεία της συμμόρφωσης με τους κανόνες προληπτικής εποπτείας και εξυγίανσης που διασφαλίζουν την αξιοπιστία και την αποτελεσματική εκτέλεση των εργαλείων σε περίπτωση χρεοκοπίας τραπεζών·</w:t>
      </w:r>
    </w:p>
    <w:p w14:paraId="45FFFBD5" w14:textId="43CC799F" w:rsidR="00C16B62" w:rsidRPr="0051009C" w:rsidRDefault="0051009C" w:rsidP="0051009C">
      <w:pPr>
        <w:pStyle w:val="NormalHanging12a"/>
        <w:ind w:left="570" w:hanging="570"/>
      </w:pPr>
      <w:r w:rsidRPr="0051009C">
        <w:t>26.</w:t>
      </w:r>
      <w:r w:rsidRPr="0051009C">
        <w:tab/>
      </w:r>
      <w:r w:rsidR="00C16B62" w:rsidRPr="0051009C">
        <w:t>υπενθυμίζει ότι μια επαρκής ελάχιστη απαίτηση ιδίων κεφαλαίων και επιλέξιμων υποχρεώσεων (MREL) είναι απαραίτητη για ένα αξιόπιστο πλαίσιο εξυγίανσης και για να παρέχεται στις αρχές η αναγκαία ευελιξία για την αποτελεσματική εφαρμογή κατάλληλων στρατηγικών εξυγίανσης κατά τη διάρκεια μιας κρίσης·</w:t>
      </w:r>
    </w:p>
    <w:p w14:paraId="086D02FC" w14:textId="6B0F44BA" w:rsidR="00C16B62" w:rsidRPr="0051009C" w:rsidRDefault="0051009C" w:rsidP="0051009C">
      <w:pPr>
        <w:pStyle w:val="NormalHanging12a"/>
        <w:ind w:left="570" w:hanging="570"/>
      </w:pPr>
      <w:r w:rsidRPr="0051009C">
        <w:t>27.</w:t>
      </w:r>
      <w:r w:rsidRPr="0051009C">
        <w:tab/>
      </w:r>
      <w:r w:rsidR="00C16B62" w:rsidRPr="0051009C">
        <w:t>υπενθυμίζει ότι οι τράπεζες πρέπει να συνεχίσουν να παρέχουν βασικές υπηρεσίες κατά τη διάρκεια της εξυγίανσης· τονίζει την ανάγκη για ένα σαφές, προβλέψιμο πλαίσιο που να προστατεύει τους καταθέτες και να στηρίζει τους μικρότερους πελάτες και τις επιχειρήσεις, συμπεριλαμβανομένων ιδίως των ΜΜΕ·</w:t>
      </w:r>
    </w:p>
    <w:p w14:paraId="5918208A" w14:textId="0FA9402A" w:rsidR="00C16B62" w:rsidRPr="0051009C" w:rsidRDefault="0051009C" w:rsidP="0051009C">
      <w:pPr>
        <w:pStyle w:val="NormalHanging12a"/>
        <w:ind w:left="570" w:hanging="570"/>
      </w:pPr>
      <w:r w:rsidRPr="0051009C">
        <w:t>28.</w:t>
      </w:r>
      <w:r w:rsidRPr="0051009C">
        <w:tab/>
      </w:r>
      <w:r w:rsidR="00C16B62" w:rsidRPr="0051009C">
        <w:t xml:space="preserve">εκφράζει την ικανοποίησή του για το Ενιαίο Ταμείο Εξυγίανσης ως πλήρως </w:t>
      </w:r>
      <w:proofErr w:type="spellStart"/>
      <w:r w:rsidR="00C16B62" w:rsidRPr="0051009C">
        <w:t>αμοιβαιοποιημένο</w:t>
      </w:r>
      <w:proofErr w:type="spellEnd"/>
      <w:r w:rsidR="00C16B62" w:rsidRPr="0051009C">
        <w:t xml:space="preserve"> δίχτυ ασφαλείας που χρηματοδοτείται από τον κλάδο· επαναλαμβάνει την έκκλησή του για πλήρη κύρωση της συμφωνίας που τροποποιεί τη Συνθήκη για τη σύσταση του Ευρωπαϊκού Μηχανισμού Σταθερότητας για την ενίσχυση της αξιοπιστίας, της δυνατότητας εξυγίανσης και της ανθεκτικότητας της ζώνης του ευρώ· επισημαίνει τον στόχο της προστασίας των φορολογουμένων σε περίπτωση εξυγίανσης και επαναλαμβάνει ότι, πέραν του συμφωνηθέντος κοινού μηχανισμού ασφαλείας, δεν θα πρέπει να χρησιμοποιούνται πρόσθετοι πόροι των φορολογουμένων για προβληματικές τράπεζες·</w:t>
      </w:r>
    </w:p>
    <w:p w14:paraId="0DA5214E" w14:textId="180B96EA" w:rsidR="00C16B62" w:rsidRPr="0051009C" w:rsidRDefault="0051009C" w:rsidP="0051009C">
      <w:pPr>
        <w:pStyle w:val="NormalHanging12a"/>
        <w:ind w:left="570" w:hanging="570"/>
      </w:pPr>
      <w:r w:rsidRPr="0051009C">
        <w:t>29.</w:t>
      </w:r>
      <w:r w:rsidRPr="0051009C">
        <w:tab/>
      </w:r>
      <w:r w:rsidR="00C16B62" w:rsidRPr="0051009C">
        <w:t>υπενθυμίζει ότι η πολιτική μηδενικού συντελεστή στάθμισης κινδύνου για το δημόσιο χρέος ενδέχεται να δημιουργήσει πρόβλημα που πρέπει να αντιμετωπιστεί σύμφωνα με τα διεθνή πρότυπα·</w:t>
      </w:r>
    </w:p>
    <w:p w14:paraId="12FB78A4" w14:textId="77777777" w:rsidR="00C16B62" w:rsidRPr="0051009C" w:rsidRDefault="00C16B62" w:rsidP="00827EEA">
      <w:pPr>
        <w:pStyle w:val="Normal12a"/>
        <w:ind w:left="567" w:hanging="567"/>
      </w:pPr>
      <w:r w:rsidRPr="0051009C">
        <w:rPr>
          <w:b/>
          <w:i/>
        </w:rPr>
        <w:t xml:space="preserve">Ασφάλιση καταθέσεων </w:t>
      </w:r>
    </w:p>
    <w:p w14:paraId="544FF41C" w14:textId="429CE50A" w:rsidR="00C16B62" w:rsidRPr="0051009C" w:rsidRDefault="0051009C" w:rsidP="0051009C">
      <w:pPr>
        <w:pStyle w:val="NormalHanging12a"/>
        <w:ind w:left="570" w:hanging="570"/>
      </w:pPr>
      <w:r w:rsidRPr="0051009C">
        <w:t>30.</w:t>
      </w:r>
      <w:r w:rsidRPr="0051009C">
        <w:tab/>
      </w:r>
      <w:r w:rsidR="00C16B62" w:rsidRPr="0051009C">
        <w:t>επαναβεβαιώνει την ισχυρή δέσμευσή του για την περαιτέρω ανάπτυξη ΕΣΑΚ ως τρίτου πυλώνα της Τραπεζικής Ένωσης· υπενθυμίζει ότι η πρόταση για σύσταση ΕΣΑΚ υποβλήθηκε το 2015· τονίζει ότι ένα κοινό σύστημα προστασίας των καταθέσεων είναι απαραίτητο προκειμένου να διασφαλιστεί η ίση προστασία των καταθετών σε ολόκληρη την Ένωση, να ενισχυθεί περαιτέρω η χρηματοπιστωτική σταθερότητα και να μειωθούν σημαντικά οι εναπομένοντες δεσμοί μεταξύ τραπεζών και κρατών· υπογραμμίζει ότι οι συνεισφορές σε ΕΣΑΚ θα πρέπει να λαμβάνουν υπόψη το προφίλ κινδύνου κάθε συμμετέχοντος τομέα· υπογραμμίζει επίσης τη σημασία της εξασφάλισης της πλήρους εφαρμογής των ισχυόντων κανόνων, η οποία θα επιτρέψει στις τράπεζες της ΕΕ να χρηματοδοτούν αποτελεσματικά τις επιχειρήσεις σε ολόκληρη την ΕΕ και να ενισχύουν την ανταγωνιστικότητα·</w:t>
      </w:r>
    </w:p>
    <w:p w14:paraId="1A54A96B" w14:textId="5D668F86" w:rsidR="00C16B62" w:rsidRPr="0051009C" w:rsidRDefault="0051009C" w:rsidP="0051009C">
      <w:pPr>
        <w:pStyle w:val="NormalHanging12a"/>
        <w:ind w:left="570" w:hanging="570"/>
      </w:pPr>
      <w:r w:rsidRPr="0051009C">
        <w:t>31.</w:t>
      </w:r>
      <w:r w:rsidRPr="0051009C">
        <w:tab/>
      </w:r>
      <w:r w:rsidR="00C16B62" w:rsidRPr="0051009C">
        <w:t>εκφράζει την ικανοποίησή του για την έγκριση της δέσμης μέτρων διαχείρισης κρίσεων και ασφάλισης καταθέσεων (CMDI) ως θετικό βήμα που ενισχύει τα εθνικά συστήματα εγγύησης των καταθέσεων, την εμπιστοσύνη στον τραπεζικό τομέα και τις επιχειρησιακές και νομικές προϋποθέσεις για τη σταδιακή και αξιόπιστη μετάβαση προς την κοινή προστασία των καταθετών και των φορολογουμένων στην ΕΕ· υπενθυμίζει τη θέση της Επιτροπής Οικονομικής και Νομισματικής Πολιτικής του Κοινοβουλίου του 2024 σχετικά με τη σύσταση ΕΣΑΚ· καλεί επιτακτικά το Συμβούλιο να προωθήσει τις διαπραγματεύσεις· καλεί τον νέο πρόεδρο της Ευρωομάδας να επαναλάβει τις συζητήσεις για το θέμα αυτό το συντομότερο δυνατόν·</w:t>
      </w:r>
    </w:p>
    <w:p w14:paraId="3CF44025" w14:textId="77777777" w:rsidR="00C16B62" w:rsidRPr="0051009C" w:rsidRDefault="00C16B62" w:rsidP="00827EEA">
      <w:pPr>
        <w:pStyle w:val="NormalCenter12a"/>
        <w:ind w:left="567" w:hanging="567"/>
      </w:pPr>
      <w:r w:rsidRPr="0051009C">
        <w:t>°</w:t>
      </w:r>
    </w:p>
    <w:p w14:paraId="014D8FDB" w14:textId="77777777" w:rsidR="00C16B62" w:rsidRPr="0051009C" w:rsidRDefault="00C16B62" w:rsidP="00827EEA">
      <w:pPr>
        <w:pStyle w:val="NormalCenter12a"/>
        <w:ind w:left="567" w:hanging="567"/>
      </w:pPr>
      <w:r w:rsidRPr="0051009C">
        <w:t>°</w:t>
      </w:r>
      <w:r w:rsidRPr="0051009C">
        <w:tab/>
        <w:t>°</w:t>
      </w:r>
    </w:p>
    <w:p w14:paraId="179471D1" w14:textId="4B10C51C" w:rsidR="00500B56" w:rsidRPr="0051009C" w:rsidRDefault="0051009C" w:rsidP="0051009C">
      <w:pPr>
        <w:pStyle w:val="NormalHanging12a"/>
        <w:ind w:left="570" w:hanging="570"/>
      </w:pPr>
      <w:r w:rsidRPr="0051009C">
        <w:t>32.</w:t>
      </w:r>
      <w:r w:rsidRPr="0051009C">
        <w:tab/>
      </w:r>
      <w:r w:rsidR="00C16B62" w:rsidRPr="0051009C">
        <w:t>αναθέτει στην Πρόεδρό του να διαβιβάσει το παρόν ψήφισμα στο Συμβούλιο, στην Επιτροπή, στην Ευρωπαϊκή Κεντρική Τράπεζα, στο Ενιαίο Συμβούλιο Εξυγίανσης και στην Ευρωπαϊκή Αρχή Τραπεζών.</w:t>
      </w:r>
    </w:p>
    <w:p w14:paraId="2D5C82E6" w14:textId="47A599EA" w:rsidR="00E365E1" w:rsidRPr="0051009C" w:rsidRDefault="00E365E1" w:rsidP="00827EEA">
      <w:pPr>
        <w:widowControl/>
        <w:spacing w:after="240"/>
        <w:ind w:left="567" w:hanging="567"/>
      </w:pPr>
    </w:p>
    <w:sectPr w:rsidR="00E365E1" w:rsidRPr="0051009C" w:rsidSect="00500B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E0A1D" w14:textId="77777777" w:rsidR="005F4E94" w:rsidRPr="00500B56" w:rsidRDefault="005F4E94">
      <w:r w:rsidRPr="00500B56">
        <w:separator/>
      </w:r>
    </w:p>
  </w:endnote>
  <w:endnote w:type="continuationSeparator" w:id="0">
    <w:p w14:paraId="297AA03C" w14:textId="77777777" w:rsidR="005F4E94" w:rsidRPr="00500B56" w:rsidRDefault="005F4E94">
      <w:r w:rsidRPr="00500B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C36D3" w14:textId="77777777" w:rsidR="00064002" w:rsidRPr="00500B5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30ED" w14:textId="77777777" w:rsidR="00064002" w:rsidRPr="00500B5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25B47" w14:textId="77777777" w:rsidR="00064002" w:rsidRPr="00500B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453F1" w14:textId="77777777" w:rsidR="005F4E94" w:rsidRPr="00500B56" w:rsidRDefault="005F4E94">
      <w:r w:rsidRPr="00500B56">
        <w:separator/>
      </w:r>
    </w:p>
  </w:footnote>
  <w:footnote w:type="continuationSeparator" w:id="0">
    <w:p w14:paraId="5964F740" w14:textId="77777777" w:rsidR="005F4E94" w:rsidRPr="00500B56" w:rsidRDefault="005F4E94">
      <w:r w:rsidRPr="00500B56">
        <w:continuationSeparator/>
      </w:r>
    </w:p>
  </w:footnote>
  <w:footnote w:id="1">
    <w:p w14:paraId="70E82784" w14:textId="4D4794F6" w:rsidR="00C16B62" w:rsidRPr="00500B56" w:rsidRDefault="00C16B62" w:rsidP="00827EEA">
      <w:pPr>
        <w:pStyle w:val="FootnoteText"/>
        <w:spacing w:line="240" w:lineRule="auto"/>
        <w:ind w:left="567" w:hanging="567"/>
        <w:rPr>
          <w:sz w:val="24"/>
          <w:lang w:val="el-GR"/>
        </w:rPr>
      </w:pPr>
      <w:r w:rsidRPr="00500B56">
        <w:rPr>
          <w:sz w:val="24"/>
          <w:vertAlign w:val="superscript"/>
          <w:lang w:val="el-GR"/>
        </w:rPr>
        <w:t>1</w:t>
      </w:r>
      <w:r w:rsidR="00500B56" w:rsidRPr="00500B56">
        <w:rPr>
          <w:sz w:val="24"/>
          <w:vertAlign w:val="superscript"/>
          <w:lang w:val="el-GR"/>
        </w:rPr>
        <w:t xml:space="preserve"> </w:t>
      </w:r>
      <w:r w:rsidR="00500B56" w:rsidRPr="00500B56">
        <w:rPr>
          <w:sz w:val="24"/>
          <w:vertAlign w:val="superscript"/>
          <w:lang w:val="el-GR"/>
        </w:rPr>
        <w:tab/>
      </w:r>
      <w:r w:rsidRPr="00500B56">
        <w:rPr>
          <w:sz w:val="24"/>
          <w:lang w:val="el-GR"/>
        </w:rPr>
        <w:t>Κείμενα που εγκρίθηκαν, P10_TA(2025)0105.</w:t>
      </w:r>
    </w:p>
  </w:footnote>
  <w:footnote w:id="2">
    <w:p w14:paraId="1540D719" w14:textId="4CC00934" w:rsidR="00C16B62" w:rsidRPr="00500B56" w:rsidRDefault="00C16B62" w:rsidP="00827EEA">
      <w:pPr>
        <w:pStyle w:val="FootnoteText"/>
        <w:spacing w:line="240" w:lineRule="auto"/>
        <w:ind w:left="567" w:hanging="567"/>
        <w:rPr>
          <w:sz w:val="24"/>
          <w:lang w:val="el-GR"/>
        </w:rPr>
      </w:pPr>
      <w:r w:rsidRPr="00500B56">
        <w:rPr>
          <w:sz w:val="24"/>
          <w:vertAlign w:val="superscript"/>
          <w:lang w:val="el-GR"/>
        </w:rPr>
        <w:t>2</w:t>
      </w:r>
      <w:r w:rsidR="00500B56" w:rsidRPr="00500B56">
        <w:rPr>
          <w:sz w:val="24"/>
          <w:vertAlign w:val="superscript"/>
          <w:lang w:val="el-GR"/>
        </w:rPr>
        <w:t xml:space="preserve"> </w:t>
      </w:r>
      <w:r w:rsidR="00500B56" w:rsidRPr="00500B56">
        <w:rPr>
          <w:sz w:val="24"/>
          <w:vertAlign w:val="superscript"/>
          <w:lang w:val="el-GR"/>
        </w:rPr>
        <w:tab/>
      </w:r>
      <w:r w:rsidRPr="00500B56">
        <w:rPr>
          <w:sz w:val="24"/>
          <w:lang w:val="el-GR"/>
        </w:rPr>
        <w:t xml:space="preserve">Οδηγία (ΕΕ) 2024/1640 του Ευρωπαϊκού Κοινοβουλίου και του Συμβουλίου, της 31ης Μαΐου 2024, σχετικά με τους μηχανισμούς που πρέπει να συγκροτήσουν τα κράτη μέλη για την πρόληψη της χρησιμοποίησης του χρηματοπιστωτικού συστήματος για τους σκοπούς της νομιμοποίησης εσόδων από παράνομες δραστηριότητες ή της χρηματοδότησης της τρομοκρατίας, για την τροποποίηση της οδηγίας (ΕΕ) 2019/1937 και για την τροποποίηση και την κατάργηση της οδηγίας (ΕΕ) 2015/849 (ΕΕ L, 2024/1640, 19.6.2024, ELI: </w:t>
      </w:r>
      <w:r>
        <w:fldChar w:fldCharType="begin"/>
      </w:r>
      <w:r>
        <w:instrText>HYPERLINK</w:instrText>
      </w:r>
      <w:r w:rsidRPr="001076D8">
        <w:rPr>
          <w:lang w:val="el-GR"/>
        </w:rPr>
        <w:instrText xml:space="preserve"> "</w:instrText>
      </w:r>
      <w:r>
        <w:instrText>http</w:instrText>
      </w:r>
      <w:r w:rsidRPr="001076D8">
        <w:rPr>
          <w:lang w:val="el-GR"/>
        </w:rPr>
        <w:instrText>://</w:instrText>
      </w:r>
      <w:r>
        <w:instrText>data</w:instrText>
      </w:r>
      <w:r w:rsidRPr="001076D8">
        <w:rPr>
          <w:lang w:val="el-GR"/>
        </w:rPr>
        <w:instrText>.</w:instrText>
      </w:r>
      <w:r>
        <w:instrText>europa</w:instrText>
      </w:r>
      <w:r w:rsidRPr="001076D8">
        <w:rPr>
          <w:lang w:val="el-GR"/>
        </w:rPr>
        <w:instrText>.</w:instrText>
      </w:r>
      <w:r>
        <w:instrText>eu</w:instrText>
      </w:r>
      <w:r w:rsidRPr="001076D8">
        <w:rPr>
          <w:lang w:val="el-GR"/>
        </w:rPr>
        <w:instrText>/</w:instrText>
      </w:r>
      <w:r>
        <w:instrText>eli</w:instrText>
      </w:r>
      <w:r w:rsidRPr="001076D8">
        <w:rPr>
          <w:lang w:val="el-GR"/>
        </w:rPr>
        <w:instrText>/</w:instrText>
      </w:r>
      <w:r>
        <w:instrText>dir</w:instrText>
      </w:r>
      <w:r w:rsidRPr="001076D8">
        <w:rPr>
          <w:lang w:val="el-GR"/>
        </w:rPr>
        <w:instrText>/2024/1640/</w:instrText>
      </w:r>
      <w:r>
        <w:instrText>oj</w:instrText>
      </w:r>
      <w:r w:rsidRPr="001076D8">
        <w:rPr>
          <w:lang w:val="el-GR"/>
        </w:rPr>
        <w:instrText>" \</w:instrText>
      </w:r>
      <w:r>
        <w:instrText>t</w:instrText>
      </w:r>
      <w:r w:rsidRPr="001076D8">
        <w:rPr>
          <w:lang w:val="el-GR"/>
        </w:rPr>
        <w:instrText xml:space="preserve"> "</w:instrText>
      </w:r>
      <w:r>
        <w:instrText>http</w:instrText>
      </w:r>
      <w:r w:rsidRPr="001076D8">
        <w:rPr>
          <w:lang w:val="el-GR"/>
        </w:rPr>
        <w:instrText>://</w:instrText>
      </w:r>
      <w:r>
        <w:instrText>data</w:instrText>
      </w:r>
      <w:r w:rsidRPr="001076D8">
        <w:rPr>
          <w:lang w:val="el-GR"/>
        </w:rPr>
        <w:instrText>.</w:instrText>
      </w:r>
      <w:r>
        <w:instrText>europa</w:instrText>
      </w:r>
      <w:r w:rsidRPr="001076D8">
        <w:rPr>
          <w:lang w:val="el-GR"/>
        </w:rPr>
        <w:instrText>.</w:instrText>
      </w:r>
      <w:r>
        <w:instrText>eu</w:instrText>
      </w:r>
      <w:r w:rsidRPr="001076D8">
        <w:rPr>
          <w:lang w:val="el-GR"/>
        </w:rPr>
        <w:instrText>/</w:instrText>
      </w:r>
      <w:r>
        <w:instrText>eli</w:instrText>
      </w:r>
      <w:r w:rsidRPr="001076D8">
        <w:rPr>
          <w:lang w:val="el-GR"/>
        </w:rPr>
        <w:instrText>/</w:instrText>
      </w:r>
      <w:r>
        <w:instrText>dir</w:instrText>
      </w:r>
      <w:r w:rsidRPr="001076D8">
        <w:rPr>
          <w:lang w:val="el-GR"/>
        </w:rPr>
        <w:instrText>/2024/1640/</w:instrText>
      </w:r>
      <w:r>
        <w:instrText>oj</w:instrText>
      </w:r>
      <w:r w:rsidRPr="001076D8">
        <w:rPr>
          <w:lang w:val="el-GR"/>
        </w:rPr>
        <w:instrText>"</w:instrText>
      </w:r>
      <w:r>
        <w:fldChar w:fldCharType="separate"/>
      </w:r>
      <w:r w:rsidRPr="00500B56">
        <w:rPr>
          <w:rStyle w:val="Hyperlink"/>
          <w:sz w:val="24"/>
          <w:lang w:val="el-GR"/>
        </w:rPr>
        <w:t>http://data.europa.eu/eli/dir/2024/1640/oj</w:t>
      </w:r>
      <w:r>
        <w:fldChar w:fldCharType="end"/>
      </w:r>
      <w:r w:rsidRPr="00500B56">
        <w:rPr>
          <w:sz w:val="24"/>
          <w:lang w:val="el-GR"/>
        </w:rPr>
        <w:t>).</w:t>
      </w:r>
    </w:p>
  </w:footnote>
  <w:footnote w:id="3">
    <w:p w14:paraId="738897BF" w14:textId="4449A723" w:rsidR="00C16B62" w:rsidRPr="00500B56" w:rsidRDefault="00C16B62" w:rsidP="00827EEA">
      <w:pPr>
        <w:pStyle w:val="FootnoteText"/>
        <w:spacing w:line="240" w:lineRule="auto"/>
        <w:ind w:left="567" w:hanging="567"/>
        <w:rPr>
          <w:sz w:val="24"/>
          <w:lang w:val="el-GR"/>
        </w:rPr>
      </w:pPr>
      <w:r w:rsidRPr="00500B56">
        <w:rPr>
          <w:sz w:val="24"/>
          <w:vertAlign w:val="superscript"/>
          <w:lang w:val="el-GR"/>
        </w:rPr>
        <w:t>3</w:t>
      </w:r>
      <w:r w:rsidR="00500B56" w:rsidRPr="00500B56">
        <w:rPr>
          <w:sz w:val="24"/>
          <w:vertAlign w:val="superscript"/>
          <w:lang w:val="el-GR"/>
        </w:rPr>
        <w:t xml:space="preserve"> </w:t>
      </w:r>
      <w:r w:rsidR="00500B56" w:rsidRPr="00500B56">
        <w:rPr>
          <w:sz w:val="24"/>
          <w:vertAlign w:val="superscript"/>
          <w:lang w:val="el-GR"/>
        </w:rPr>
        <w:tab/>
      </w:r>
      <w:r w:rsidRPr="00500B56">
        <w:rPr>
          <w:sz w:val="24"/>
          <w:lang w:val="el-GR"/>
        </w:rPr>
        <w:t xml:space="preserve">Κανονισμός (ΕΕ) 2024/1624 του Ευρωπαϊκού Κοινοβουλίου και του Συμβουλίου, της 31ης Μαΐου 2024,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(ΕΕ L, 2024/1624, 19.6.2024, ELI: </w:t>
      </w:r>
      <w:r>
        <w:fldChar w:fldCharType="begin"/>
      </w:r>
      <w:r>
        <w:instrText>HYPERLINK</w:instrText>
      </w:r>
      <w:r w:rsidRPr="001076D8">
        <w:rPr>
          <w:lang w:val="el-GR"/>
        </w:rPr>
        <w:instrText xml:space="preserve"> "</w:instrText>
      </w:r>
      <w:r>
        <w:instrText>http</w:instrText>
      </w:r>
      <w:r w:rsidRPr="001076D8">
        <w:rPr>
          <w:lang w:val="el-GR"/>
        </w:rPr>
        <w:instrText>://</w:instrText>
      </w:r>
      <w:r>
        <w:instrText>data</w:instrText>
      </w:r>
      <w:r w:rsidRPr="001076D8">
        <w:rPr>
          <w:lang w:val="el-GR"/>
        </w:rPr>
        <w:instrText>.</w:instrText>
      </w:r>
      <w:r>
        <w:instrText>europa</w:instrText>
      </w:r>
      <w:r w:rsidRPr="001076D8">
        <w:rPr>
          <w:lang w:val="el-GR"/>
        </w:rPr>
        <w:instrText>.</w:instrText>
      </w:r>
      <w:r>
        <w:instrText>eu</w:instrText>
      </w:r>
      <w:r w:rsidRPr="001076D8">
        <w:rPr>
          <w:lang w:val="el-GR"/>
        </w:rPr>
        <w:instrText>/</w:instrText>
      </w:r>
      <w:r>
        <w:instrText>eli</w:instrText>
      </w:r>
      <w:r w:rsidRPr="001076D8">
        <w:rPr>
          <w:lang w:val="el-GR"/>
        </w:rPr>
        <w:instrText>/</w:instrText>
      </w:r>
      <w:r>
        <w:instrText>reg</w:instrText>
      </w:r>
      <w:r w:rsidRPr="001076D8">
        <w:rPr>
          <w:lang w:val="el-GR"/>
        </w:rPr>
        <w:instrText>/2024/1624/</w:instrText>
      </w:r>
      <w:r>
        <w:instrText>oj</w:instrText>
      </w:r>
      <w:r w:rsidRPr="001076D8">
        <w:rPr>
          <w:lang w:val="el-GR"/>
        </w:rPr>
        <w:instrText>" \</w:instrText>
      </w:r>
      <w:r>
        <w:instrText>t</w:instrText>
      </w:r>
      <w:r w:rsidRPr="001076D8">
        <w:rPr>
          <w:lang w:val="el-GR"/>
        </w:rPr>
        <w:instrText xml:space="preserve"> "</w:instrText>
      </w:r>
      <w:r>
        <w:instrText>http</w:instrText>
      </w:r>
      <w:r w:rsidRPr="001076D8">
        <w:rPr>
          <w:lang w:val="el-GR"/>
        </w:rPr>
        <w:instrText>://</w:instrText>
      </w:r>
      <w:r>
        <w:instrText>data</w:instrText>
      </w:r>
      <w:r w:rsidRPr="001076D8">
        <w:rPr>
          <w:lang w:val="el-GR"/>
        </w:rPr>
        <w:instrText>.</w:instrText>
      </w:r>
      <w:r>
        <w:instrText>europa</w:instrText>
      </w:r>
      <w:r w:rsidRPr="001076D8">
        <w:rPr>
          <w:lang w:val="el-GR"/>
        </w:rPr>
        <w:instrText>.</w:instrText>
      </w:r>
      <w:r>
        <w:instrText>eu</w:instrText>
      </w:r>
      <w:r w:rsidRPr="001076D8">
        <w:rPr>
          <w:lang w:val="el-GR"/>
        </w:rPr>
        <w:instrText>/</w:instrText>
      </w:r>
      <w:r>
        <w:instrText>eli</w:instrText>
      </w:r>
      <w:r w:rsidRPr="001076D8">
        <w:rPr>
          <w:lang w:val="el-GR"/>
        </w:rPr>
        <w:instrText>/</w:instrText>
      </w:r>
      <w:r>
        <w:instrText>reg</w:instrText>
      </w:r>
      <w:r w:rsidRPr="001076D8">
        <w:rPr>
          <w:lang w:val="el-GR"/>
        </w:rPr>
        <w:instrText>/2024/1624/</w:instrText>
      </w:r>
      <w:r>
        <w:instrText>oj</w:instrText>
      </w:r>
      <w:r w:rsidRPr="001076D8">
        <w:rPr>
          <w:lang w:val="el-GR"/>
        </w:rPr>
        <w:instrText>"</w:instrText>
      </w:r>
      <w:r>
        <w:fldChar w:fldCharType="separate"/>
      </w:r>
      <w:r w:rsidRPr="00500B56">
        <w:rPr>
          <w:rStyle w:val="Hyperlink"/>
          <w:sz w:val="24"/>
          <w:lang w:val="el-GR"/>
        </w:rPr>
        <w:t>http://data.europa.eu/eli/reg/2024/1624/oj</w:t>
      </w:r>
      <w:r>
        <w:fldChar w:fldCharType="end"/>
      </w:r>
      <w:r w:rsidRPr="00500B56">
        <w:rPr>
          <w:sz w:val="24"/>
          <w:lang w:val="el-GR"/>
        </w:rPr>
        <w:t>).</w:t>
      </w:r>
    </w:p>
  </w:footnote>
  <w:footnote w:id="4">
    <w:p w14:paraId="5A326708" w14:textId="3849E5EA" w:rsidR="00C16B62" w:rsidRPr="001076D8" w:rsidRDefault="00C16B62" w:rsidP="00827EEA">
      <w:pPr>
        <w:pStyle w:val="FootnoteText"/>
        <w:spacing w:line="240" w:lineRule="auto"/>
        <w:ind w:left="567" w:hanging="567"/>
        <w:rPr>
          <w:sz w:val="24"/>
          <w:lang w:val="el-GR"/>
        </w:rPr>
      </w:pPr>
      <w:r w:rsidRPr="00500B56">
        <w:rPr>
          <w:sz w:val="24"/>
          <w:vertAlign w:val="superscript"/>
          <w:lang w:val="el-GR"/>
        </w:rPr>
        <w:t>4</w:t>
      </w:r>
      <w:r w:rsidR="00500B56" w:rsidRPr="00500B56">
        <w:rPr>
          <w:sz w:val="24"/>
          <w:vertAlign w:val="superscript"/>
          <w:lang w:val="el-GR"/>
        </w:rPr>
        <w:t xml:space="preserve"> </w:t>
      </w:r>
      <w:r w:rsidR="00500B56" w:rsidRPr="00500B56">
        <w:rPr>
          <w:sz w:val="24"/>
          <w:vertAlign w:val="superscript"/>
          <w:lang w:val="el-GR"/>
        </w:rPr>
        <w:tab/>
      </w:r>
      <w:r w:rsidRPr="00500B56">
        <w:rPr>
          <w:sz w:val="24"/>
          <w:lang w:val="el-GR"/>
        </w:rPr>
        <w:t>Κανονισμός (ΕΕ) 2024/1620 του Ευρωπαϊκού Κοινοβουλίου και του Συμβουλίου, της 31ης Μαΐου 2024, σχετικά με τη σύσταση της Αρχής για την καταπολέμηση της νομιμοποίησης εσόδων από παράνομες δραστηριότητες και της χρηματοδότησης της τρομοκρατίας και την τροποποίηση των κανονισμών (ΕΕ) αριθ. 1093/2010, (ΕΕ) αριθ. 1094/2010 και (ΕΕ) αριθ. </w:t>
      </w:r>
      <w:r w:rsidRPr="001076D8">
        <w:rPr>
          <w:sz w:val="24"/>
          <w:lang w:val="el-GR"/>
        </w:rPr>
        <w:t>1095/2010 (</w:t>
      </w:r>
      <w:r w:rsidRPr="00500B56">
        <w:rPr>
          <w:sz w:val="24"/>
          <w:lang w:val="el-GR"/>
        </w:rPr>
        <w:t>ΕΕ</w:t>
      </w:r>
      <w:r w:rsidRPr="0051009C">
        <w:rPr>
          <w:sz w:val="24"/>
          <w:lang w:val="fi-FI"/>
        </w:rPr>
        <w:t> L</w:t>
      </w:r>
      <w:r w:rsidRPr="001076D8">
        <w:rPr>
          <w:sz w:val="24"/>
          <w:lang w:val="el-GR"/>
        </w:rPr>
        <w:t xml:space="preserve">, 2024/1620, 19.6.2024, </w:t>
      </w:r>
      <w:r w:rsidRPr="0051009C">
        <w:rPr>
          <w:sz w:val="24"/>
          <w:lang w:val="fi-FI"/>
        </w:rPr>
        <w:t>ELI</w:t>
      </w:r>
      <w:r w:rsidRPr="001076D8">
        <w:rPr>
          <w:sz w:val="24"/>
          <w:lang w:val="el-GR"/>
        </w:rPr>
        <w:t xml:space="preserve">: </w:t>
      </w:r>
      <w:r>
        <w:fldChar w:fldCharType="begin"/>
      </w:r>
      <w:r>
        <w:instrText>HYPERLINK</w:instrText>
      </w:r>
      <w:r w:rsidRPr="001076D8">
        <w:rPr>
          <w:lang w:val="el-GR"/>
        </w:rPr>
        <w:instrText xml:space="preserve"> "</w:instrText>
      </w:r>
      <w:r>
        <w:instrText>http</w:instrText>
      </w:r>
      <w:r w:rsidRPr="001076D8">
        <w:rPr>
          <w:lang w:val="el-GR"/>
        </w:rPr>
        <w:instrText>://</w:instrText>
      </w:r>
      <w:r>
        <w:instrText>data</w:instrText>
      </w:r>
      <w:r w:rsidRPr="001076D8">
        <w:rPr>
          <w:lang w:val="el-GR"/>
        </w:rPr>
        <w:instrText>.</w:instrText>
      </w:r>
      <w:r>
        <w:instrText>europa</w:instrText>
      </w:r>
      <w:r w:rsidRPr="001076D8">
        <w:rPr>
          <w:lang w:val="el-GR"/>
        </w:rPr>
        <w:instrText>.</w:instrText>
      </w:r>
      <w:r>
        <w:instrText>eu</w:instrText>
      </w:r>
      <w:r w:rsidRPr="001076D8">
        <w:rPr>
          <w:lang w:val="el-GR"/>
        </w:rPr>
        <w:instrText>/</w:instrText>
      </w:r>
      <w:r>
        <w:instrText>eli</w:instrText>
      </w:r>
      <w:r w:rsidRPr="001076D8">
        <w:rPr>
          <w:lang w:val="el-GR"/>
        </w:rPr>
        <w:instrText>/</w:instrText>
      </w:r>
      <w:r>
        <w:instrText>reg</w:instrText>
      </w:r>
      <w:r w:rsidRPr="001076D8">
        <w:rPr>
          <w:lang w:val="el-GR"/>
        </w:rPr>
        <w:instrText>/2024/1620/</w:instrText>
      </w:r>
      <w:r>
        <w:instrText>oj</w:instrText>
      </w:r>
      <w:r w:rsidRPr="001076D8">
        <w:rPr>
          <w:lang w:val="el-GR"/>
        </w:rPr>
        <w:instrText>" \</w:instrText>
      </w:r>
      <w:r>
        <w:instrText>t</w:instrText>
      </w:r>
      <w:r w:rsidRPr="001076D8">
        <w:rPr>
          <w:lang w:val="el-GR"/>
        </w:rPr>
        <w:instrText xml:space="preserve"> "</w:instrText>
      </w:r>
      <w:r>
        <w:instrText>http</w:instrText>
      </w:r>
      <w:r w:rsidRPr="001076D8">
        <w:rPr>
          <w:lang w:val="el-GR"/>
        </w:rPr>
        <w:instrText>://</w:instrText>
      </w:r>
      <w:r>
        <w:instrText>data</w:instrText>
      </w:r>
      <w:r w:rsidRPr="001076D8">
        <w:rPr>
          <w:lang w:val="el-GR"/>
        </w:rPr>
        <w:instrText>.</w:instrText>
      </w:r>
      <w:r>
        <w:instrText>europa</w:instrText>
      </w:r>
      <w:r w:rsidRPr="001076D8">
        <w:rPr>
          <w:lang w:val="el-GR"/>
        </w:rPr>
        <w:instrText>.</w:instrText>
      </w:r>
      <w:r>
        <w:instrText>eu</w:instrText>
      </w:r>
      <w:r w:rsidRPr="001076D8">
        <w:rPr>
          <w:lang w:val="el-GR"/>
        </w:rPr>
        <w:instrText>/</w:instrText>
      </w:r>
      <w:r>
        <w:instrText>eli</w:instrText>
      </w:r>
      <w:r w:rsidRPr="001076D8">
        <w:rPr>
          <w:lang w:val="el-GR"/>
        </w:rPr>
        <w:instrText>/</w:instrText>
      </w:r>
      <w:r>
        <w:instrText>reg</w:instrText>
      </w:r>
      <w:r w:rsidRPr="001076D8">
        <w:rPr>
          <w:lang w:val="el-GR"/>
        </w:rPr>
        <w:instrText>/2024/1620/</w:instrText>
      </w:r>
      <w:r>
        <w:instrText>oj</w:instrText>
      </w:r>
      <w:r w:rsidRPr="001076D8">
        <w:rPr>
          <w:lang w:val="el-GR"/>
        </w:rPr>
        <w:instrText>"</w:instrText>
      </w:r>
      <w:r>
        <w:fldChar w:fldCharType="separate"/>
      </w:r>
      <w:r w:rsidRPr="0051009C">
        <w:rPr>
          <w:rStyle w:val="Hyperlink"/>
          <w:sz w:val="24"/>
          <w:lang w:val="fi-FI"/>
        </w:rPr>
        <w:t>http</w:t>
      </w:r>
      <w:r w:rsidRPr="001076D8">
        <w:rPr>
          <w:rStyle w:val="Hyperlink"/>
          <w:sz w:val="24"/>
          <w:lang w:val="el-GR"/>
        </w:rPr>
        <w:t>://</w:t>
      </w:r>
      <w:r w:rsidRPr="0051009C">
        <w:rPr>
          <w:rStyle w:val="Hyperlink"/>
          <w:sz w:val="24"/>
          <w:lang w:val="fi-FI"/>
        </w:rPr>
        <w:t>data</w:t>
      </w:r>
      <w:r w:rsidRPr="001076D8">
        <w:rPr>
          <w:rStyle w:val="Hyperlink"/>
          <w:sz w:val="24"/>
          <w:lang w:val="el-GR"/>
        </w:rPr>
        <w:t>.</w:t>
      </w:r>
      <w:r w:rsidRPr="0051009C">
        <w:rPr>
          <w:rStyle w:val="Hyperlink"/>
          <w:sz w:val="24"/>
          <w:lang w:val="fi-FI"/>
        </w:rPr>
        <w:t>europa</w:t>
      </w:r>
      <w:r w:rsidRPr="001076D8">
        <w:rPr>
          <w:rStyle w:val="Hyperlink"/>
          <w:sz w:val="24"/>
          <w:lang w:val="el-GR"/>
        </w:rPr>
        <w:t>.</w:t>
      </w:r>
      <w:r w:rsidRPr="0051009C">
        <w:rPr>
          <w:rStyle w:val="Hyperlink"/>
          <w:sz w:val="24"/>
          <w:lang w:val="fi-FI"/>
        </w:rPr>
        <w:t>eu</w:t>
      </w:r>
      <w:r w:rsidRPr="001076D8">
        <w:rPr>
          <w:rStyle w:val="Hyperlink"/>
          <w:sz w:val="24"/>
          <w:lang w:val="el-GR"/>
        </w:rPr>
        <w:t>/</w:t>
      </w:r>
      <w:r w:rsidRPr="0051009C">
        <w:rPr>
          <w:rStyle w:val="Hyperlink"/>
          <w:sz w:val="24"/>
          <w:lang w:val="fi-FI"/>
        </w:rPr>
        <w:t>eli</w:t>
      </w:r>
      <w:r w:rsidRPr="001076D8">
        <w:rPr>
          <w:rStyle w:val="Hyperlink"/>
          <w:sz w:val="24"/>
          <w:lang w:val="el-GR"/>
        </w:rPr>
        <w:t>/</w:t>
      </w:r>
      <w:r w:rsidRPr="0051009C">
        <w:rPr>
          <w:rStyle w:val="Hyperlink"/>
          <w:sz w:val="24"/>
          <w:lang w:val="fi-FI"/>
        </w:rPr>
        <w:t>reg</w:t>
      </w:r>
      <w:r w:rsidRPr="001076D8">
        <w:rPr>
          <w:rStyle w:val="Hyperlink"/>
          <w:sz w:val="24"/>
          <w:lang w:val="el-GR"/>
        </w:rPr>
        <w:t>/2024/1620/</w:t>
      </w:r>
      <w:r w:rsidRPr="0051009C">
        <w:rPr>
          <w:rStyle w:val="Hyperlink"/>
          <w:sz w:val="24"/>
          <w:lang w:val="fi-FI"/>
        </w:rPr>
        <w:t>oj</w:t>
      </w:r>
      <w:r>
        <w:fldChar w:fldCharType="end"/>
      </w:r>
      <w:r w:rsidRPr="001076D8">
        <w:rPr>
          <w:sz w:val="24"/>
          <w:lang w:val="el-GR"/>
        </w:rPr>
        <w:t>).</w:t>
      </w:r>
    </w:p>
  </w:footnote>
  <w:footnote w:id="5">
    <w:p w14:paraId="5AA7866E" w14:textId="2FEC0D99" w:rsidR="00C16B62" w:rsidRPr="00500B56" w:rsidRDefault="00C16B62" w:rsidP="00827EEA">
      <w:pPr>
        <w:pStyle w:val="FootnoteText"/>
        <w:spacing w:line="240" w:lineRule="auto"/>
        <w:ind w:left="567" w:hanging="567"/>
        <w:rPr>
          <w:sz w:val="24"/>
          <w:lang w:val="el-GR"/>
        </w:rPr>
      </w:pPr>
      <w:r w:rsidRPr="00500B56">
        <w:rPr>
          <w:sz w:val="24"/>
          <w:vertAlign w:val="superscript"/>
          <w:lang w:val="el-GR"/>
        </w:rPr>
        <w:t>5</w:t>
      </w:r>
      <w:r w:rsidR="00500B56" w:rsidRPr="00500B56">
        <w:rPr>
          <w:sz w:val="24"/>
          <w:vertAlign w:val="superscript"/>
          <w:lang w:val="el-GR"/>
        </w:rPr>
        <w:t xml:space="preserve"> </w:t>
      </w:r>
      <w:r w:rsidR="00500B56" w:rsidRPr="00500B56">
        <w:rPr>
          <w:sz w:val="24"/>
          <w:vertAlign w:val="superscript"/>
          <w:lang w:val="el-GR"/>
        </w:rPr>
        <w:tab/>
      </w:r>
      <w:r w:rsidRPr="00500B56">
        <w:rPr>
          <w:sz w:val="24"/>
          <w:lang w:val="el-GR"/>
        </w:rPr>
        <w:t xml:space="preserve">Οδηγία (ΕΕ) 2024/1619 του Ευρωπαϊκού Κοινοβουλίου και του Συμβουλίου, της 31ης Μαΐου 2024, για την τροποποίηση της οδηγίας 2013/36/ΕΕ όσον αφορά τις εποπτικές εξουσίες, τις κυρώσεις, τα υποκαταστήματα τρίτων χωρών και τους περιβαλλοντικούς, κοινωνικούς και σχετικούς με τη διακυβέρνηση κινδύνους (ΕΕ L, 2024/1619, 19.6.2024, ELI: </w:t>
      </w:r>
      <w:r>
        <w:fldChar w:fldCharType="begin"/>
      </w:r>
      <w:r>
        <w:instrText>HYPERLINK</w:instrText>
      </w:r>
      <w:r w:rsidRPr="001076D8">
        <w:rPr>
          <w:lang w:val="el-GR"/>
        </w:rPr>
        <w:instrText xml:space="preserve"> "</w:instrText>
      </w:r>
      <w:r>
        <w:instrText>http</w:instrText>
      </w:r>
      <w:r w:rsidRPr="001076D8">
        <w:rPr>
          <w:lang w:val="el-GR"/>
        </w:rPr>
        <w:instrText>://</w:instrText>
      </w:r>
      <w:r>
        <w:instrText>data</w:instrText>
      </w:r>
      <w:r w:rsidRPr="001076D8">
        <w:rPr>
          <w:lang w:val="el-GR"/>
        </w:rPr>
        <w:instrText>.</w:instrText>
      </w:r>
      <w:r>
        <w:instrText>europa</w:instrText>
      </w:r>
      <w:r w:rsidRPr="001076D8">
        <w:rPr>
          <w:lang w:val="el-GR"/>
        </w:rPr>
        <w:instrText>.</w:instrText>
      </w:r>
      <w:r>
        <w:instrText>eu</w:instrText>
      </w:r>
      <w:r w:rsidRPr="001076D8">
        <w:rPr>
          <w:lang w:val="el-GR"/>
        </w:rPr>
        <w:instrText>/</w:instrText>
      </w:r>
      <w:r>
        <w:instrText>eli</w:instrText>
      </w:r>
      <w:r w:rsidRPr="001076D8">
        <w:rPr>
          <w:lang w:val="el-GR"/>
        </w:rPr>
        <w:instrText>/</w:instrText>
      </w:r>
      <w:r>
        <w:instrText>dir</w:instrText>
      </w:r>
      <w:r w:rsidRPr="001076D8">
        <w:rPr>
          <w:lang w:val="el-GR"/>
        </w:rPr>
        <w:instrText>/2024/1619/</w:instrText>
      </w:r>
      <w:r>
        <w:instrText>oj</w:instrText>
      </w:r>
      <w:r w:rsidRPr="001076D8">
        <w:rPr>
          <w:lang w:val="el-GR"/>
        </w:rPr>
        <w:instrText>" \</w:instrText>
      </w:r>
      <w:r>
        <w:instrText>t</w:instrText>
      </w:r>
      <w:r w:rsidRPr="001076D8">
        <w:rPr>
          <w:lang w:val="el-GR"/>
        </w:rPr>
        <w:instrText xml:space="preserve"> "</w:instrText>
      </w:r>
      <w:r>
        <w:instrText>http</w:instrText>
      </w:r>
      <w:r w:rsidRPr="001076D8">
        <w:rPr>
          <w:lang w:val="el-GR"/>
        </w:rPr>
        <w:instrText>://</w:instrText>
      </w:r>
      <w:r>
        <w:instrText>data</w:instrText>
      </w:r>
      <w:r w:rsidRPr="001076D8">
        <w:rPr>
          <w:lang w:val="el-GR"/>
        </w:rPr>
        <w:instrText>.</w:instrText>
      </w:r>
      <w:r>
        <w:instrText>europa</w:instrText>
      </w:r>
      <w:r w:rsidRPr="001076D8">
        <w:rPr>
          <w:lang w:val="el-GR"/>
        </w:rPr>
        <w:instrText>.</w:instrText>
      </w:r>
      <w:r>
        <w:instrText>eu</w:instrText>
      </w:r>
      <w:r w:rsidRPr="001076D8">
        <w:rPr>
          <w:lang w:val="el-GR"/>
        </w:rPr>
        <w:instrText>/</w:instrText>
      </w:r>
      <w:r>
        <w:instrText>eli</w:instrText>
      </w:r>
      <w:r w:rsidRPr="001076D8">
        <w:rPr>
          <w:lang w:val="el-GR"/>
        </w:rPr>
        <w:instrText>/</w:instrText>
      </w:r>
      <w:r>
        <w:instrText>dir</w:instrText>
      </w:r>
      <w:r w:rsidRPr="001076D8">
        <w:rPr>
          <w:lang w:val="el-GR"/>
        </w:rPr>
        <w:instrText>/2024/1619/</w:instrText>
      </w:r>
      <w:r>
        <w:instrText>oj</w:instrText>
      </w:r>
      <w:r w:rsidRPr="001076D8">
        <w:rPr>
          <w:lang w:val="el-GR"/>
        </w:rPr>
        <w:instrText>"</w:instrText>
      </w:r>
      <w:r>
        <w:fldChar w:fldCharType="separate"/>
      </w:r>
      <w:r w:rsidRPr="00500B56">
        <w:rPr>
          <w:rStyle w:val="Hyperlink"/>
          <w:sz w:val="24"/>
          <w:lang w:val="el-GR"/>
        </w:rPr>
        <w:t>http://data.europa.eu/eli/dir/2024/1619/oj</w:t>
      </w:r>
      <w:r>
        <w:fldChar w:fldCharType="end"/>
      </w:r>
      <w:r w:rsidRPr="00500B56">
        <w:rPr>
          <w:sz w:val="24"/>
          <w:lang w:val="el-GR"/>
        </w:rPr>
        <w:t>).</w:t>
      </w:r>
    </w:p>
  </w:footnote>
  <w:footnote w:id="6">
    <w:p w14:paraId="67DD12B5" w14:textId="5B7F2FFB" w:rsidR="00C16B62" w:rsidRPr="00500B56" w:rsidRDefault="00C16B62" w:rsidP="00827EEA">
      <w:pPr>
        <w:pStyle w:val="FootnoteText"/>
        <w:spacing w:line="240" w:lineRule="auto"/>
        <w:ind w:left="567" w:hanging="567"/>
        <w:rPr>
          <w:sz w:val="24"/>
          <w:lang w:val="el-GR"/>
        </w:rPr>
      </w:pPr>
      <w:r w:rsidRPr="00500B56">
        <w:rPr>
          <w:sz w:val="24"/>
          <w:vertAlign w:val="superscript"/>
          <w:lang w:val="el-GR"/>
        </w:rPr>
        <w:t>6</w:t>
      </w:r>
      <w:r w:rsidR="00500B56" w:rsidRPr="00500B56">
        <w:rPr>
          <w:sz w:val="24"/>
          <w:vertAlign w:val="superscript"/>
          <w:lang w:val="el-GR"/>
        </w:rPr>
        <w:t xml:space="preserve"> </w:t>
      </w:r>
      <w:r w:rsidR="00500B56" w:rsidRPr="00500B56">
        <w:rPr>
          <w:sz w:val="24"/>
          <w:vertAlign w:val="superscript"/>
          <w:lang w:val="el-GR"/>
        </w:rPr>
        <w:tab/>
      </w:r>
      <w:r w:rsidRPr="00500B56">
        <w:rPr>
          <w:sz w:val="24"/>
          <w:lang w:val="el-GR"/>
        </w:rPr>
        <w:t xml:space="preserve">Κανονισμός (ΕΕ) 2024/1623 του Ευρωπαϊκού Κοινοβουλίου και του Συμβουλίου, της 31ης Μαΐου 2024, για την τροποποίηση του κανονισμού (ΕΕ) αριθ. 575/2013 όσον αφορά τις απαιτήσεις για τον πιστωτικό κίνδυνο, τον κίνδυνο προσαρμογής πιστωτικής αποτίμησης, τον λειτουργικό κίνδυνο, τον κίνδυνο αγοράς και το κατώτατο όριο κεφαλαιακών απαιτήσεων (ΕΕ L, 2024/1623, 19.6.2024, ELI: </w:t>
      </w:r>
      <w:r>
        <w:fldChar w:fldCharType="begin"/>
      </w:r>
      <w:r>
        <w:instrText>HYPERLINK</w:instrText>
      </w:r>
      <w:r w:rsidRPr="001076D8">
        <w:rPr>
          <w:lang w:val="el-GR"/>
        </w:rPr>
        <w:instrText xml:space="preserve"> "</w:instrText>
      </w:r>
      <w:r>
        <w:instrText>http</w:instrText>
      </w:r>
      <w:r w:rsidRPr="001076D8">
        <w:rPr>
          <w:lang w:val="el-GR"/>
        </w:rPr>
        <w:instrText>://</w:instrText>
      </w:r>
      <w:r>
        <w:instrText>data</w:instrText>
      </w:r>
      <w:r w:rsidRPr="001076D8">
        <w:rPr>
          <w:lang w:val="el-GR"/>
        </w:rPr>
        <w:instrText>.</w:instrText>
      </w:r>
      <w:r>
        <w:instrText>europa</w:instrText>
      </w:r>
      <w:r w:rsidRPr="001076D8">
        <w:rPr>
          <w:lang w:val="el-GR"/>
        </w:rPr>
        <w:instrText>.</w:instrText>
      </w:r>
      <w:r>
        <w:instrText>eu</w:instrText>
      </w:r>
      <w:r w:rsidRPr="001076D8">
        <w:rPr>
          <w:lang w:val="el-GR"/>
        </w:rPr>
        <w:instrText>/</w:instrText>
      </w:r>
      <w:r>
        <w:instrText>eli</w:instrText>
      </w:r>
      <w:r w:rsidRPr="001076D8">
        <w:rPr>
          <w:lang w:val="el-GR"/>
        </w:rPr>
        <w:instrText>/</w:instrText>
      </w:r>
      <w:r>
        <w:instrText>reg</w:instrText>
      </w:r>
      <w:r w:rsidRPr="001076D8">
        <w:rPr>
          <w:lang w:val="el-GR"/>
        </w:rPr>
        <w:instrText>/2024/1623/</w:instrText>
      </w:r>
      <w:r>
        <w:instrText>oj</w:instrText>
      </w:r>
      <w:r w:rsidRPr="001076D8">
        <w:rPr>
          <w:lang w:val="el-GR"/>
        </w:rPr>
        <w:instrText>" \</w:instrText>
      </w:r>
      <w:r>
        <w:instrText>t</w:instrText>
      </w:r>
      <w:r w:rsidRPr="001076D8">
        <w:rPr>
          <w:lang w:val="el-GR"/>
        </w:rPr>
        <w:instrText xml:space="preserve"> "</w:instrText>
      </w:r>
      <w:r>
        <w:instrText>http</w:instrText>
      </w:r>
      <w:r w:rsidRPr="001076D8">
        <w:rPr>
          <w:lang w:val="el-GR"/>
        </w:rPr>
        <w:instrText>://</w:instrText>
      </w:r>
      <w:r>
        <w:instrText>data</w:instrText>
      </w:r>
      <w:r w:rsidRPr="001076D8">
        <w:rPr>
          <w:lang w:val="el-GR"/>
        </w:rPr>
        <w:instrText>.</w:instrText>
      </w:r>
      <w:r>
        <w:instrText>europa</w:instrText>
      </w:r>
      <w:r w:rsidRPr="001076D8">
        <w:rPr>
          <w:lang w:val="el-GR"/>
        </w:rPr>
        <w:instrText>.</w:instrText>
      </w:r>
      <w:r>
        <w:instrText>eu</w:instrText>
      </w:r>
      <w:r w:rsidRPr="001076D8">
        <w:rPr>
          <w:lang w:val="el-GR"/>
        </w:rPr>
        <w:instrText>/</w:instrText>
      </w:r>
      <w:r>
        <w:instrText>eli</w:instrText>
      </w:r>
      <w:r w:rsidRPr="001076D8">
        <w:rPr>
          <w:lang w:val="el-GR"/>
        </w:rPr>
        <w:instrText>/</w:instrText>
      </w:r>
      <w:r>
        <w:instrText>reg</w:instrText>
      </w:r>
      <w:r w:rsidRPr="001076D8">
        <w:rPr>
          <w:lang w:val="el-GR"/>
        </w:rPr>
        <w:instrText>/2024/1623/</w:instrText>
      </w:r>
      <w:r>
        <w:instrText>oj</w:instrText>
      </w:r>
      <w:r w:rsidRPr="001076D8">
        <w:rPr>
          <w:lang w:val="el-GR"/>
        </w:rPr>
        <w:instrText>"</w:instrText>
      </w:r>
      <w:r>
        <w:fldChar w:fldCharType="separate"/>
      </w:r>
      <w:r w:rsidRPr="00500B56">
        <w:rPr>
          <w:rStyle w:val="Hyperlink"/>
          <w:sz w:val="24"/>
          <w:lang w:val="el-GR"/>
        </w:rPr>
        <w:t>http://data.europa.eu/eli/reg/2024/1623/oj</w:t>
      </w:r>
      <w:r>
        <w:fldChar w:fldCharType="end"/>
      </w:r>
      <w:r w:rsidRPr="00500B56">
        <w:rPr>
          <w:sz w:val="24"/>
          <w:lang w:val="el-GR"/>
        </w:rPr>
        <w:t>).</w:t>
      </w:r>
    </w:p>
  </w:footnote>
  <w:footnote w:id="7">
    <w:p w14:paraId="2723A769" w14:textId="482013E7" w:rsidR="00C16B62" w:rsidRPr="006A163A" w:rsidRDefault="00C16B62" w:rsidP="00827EEA">
      <w:pPr>
        <w:pStyle w:val="FootnoteText"/>
        <w:spacing w:line="240" w:lineRule="auto"/>
        <w:ind w:left="567" w:hanging="567"/>
        <w:rPr>
          <w:sz w:val="24"/>
          <w:lang w:val="fi-FI"/>
        </w:rPr>
      </w:pPr>
      <w:r w:rsidRPr="006A163A">
        <w:rPr>
          <w:sz w:val="24"/>
          <w:vertAlign w:val="superscript"/>
          <w:lang w:val="fi-FI"/>
        </w:rPr>
        <w:t>7</w:t>
      </w:r>
      <w:r w:rsidR="00500B56" w:rsidRPr="006A163A">
        <w:rPr>
          <w:sz w:val="24"/>
          <w:vertAlign w:val="superscript"/>
          <w:lang w:val="fi-FI"/>
        </w:rPr>
        <w:t xml:space="preserve"> </w:t>
      </w:r>
      <w:r w:rsidR="00500B56" w:rsidRPr="006A163A">
        <w:rPr>
          <w:sz w:val="24"/>
          <w:vertAlign w:val="superscript"/>
          <w:lang w:val="fi-FI"/>
        </w:rPr>
        <w:tab/>
      </w:r>
      <w:r w:rsidRPr="00500B56">
        <w:rPr>
          <w:sz w:val="24"/>
          <w:lang w:val="el-GR"/>
        </w:rPr>
        <w:t>ΕΕ</w:t>
      </w:r>
      <w:r w:rsidRPr="006A163A">
        <w:rPr>
          <w:sz w:val="24"/>
          <w:lang w:val="fi-FI"/>
        </w:rPr>
        <w:t xml:space="preserve"> L, 2024/2795, 31.10.2024, ELI: </w:t>
      </w:r>
      <w:r>
        <w:fldChar w:fldCharType="begin"/>
      </w:r>
      <w:r w:rsidRPr="001076D8">
        <w:rPr>
          <w:lang w:val="fi-FI"/>
        </w:rPr>
        <w:instrText>HYPERLINK "http://data.europa.eu/eli/reg_del/2024/2795/oj" \t "http://data.europa.eu/eli/reg_del/2024/2795/oj"</w:instrText>
      </w:r>
      <w:r>
        <w:fldChar w:fldCharType="separate"/>
      </w:r>
      <w:r w:rsidRPr="006A163A">
        <w:rPr>
          <w:rStyle w:val="Hyperlink"/>
          <w:sz w:val="24"/>
          <w:lang w:val="fi-FI"/>
        </w:rPr>
        <w:t>http://data.europa.eu/eli/reg_del/2024/2795/oj</w:t>
      </w:r>
      <w:r>
        <w:fldChar w:fldCharType="end"/>
      </w:r>
      <w:r w:rsidRPr="006A163A">
        <w:rPr>
          <w:sz w:val="24"/>
          <w:lang w:val="fi-FI"/>
        </w:rPr>
        <w:t>.</w:t>
      </w:r>
    </w:p>
  </w:footnote>
  <w:footnote w:id="8">
    <w:p w14:paraId="1DDA3213" w14:textId="038D070C" w:rsidR="00C16B62" w:rsidRPr="006A163A" w:rsidRDefault="00C16B62" w:rsidP="00827EEA">
      <w:pPr>
        <w:pStyle w:val="FootnoteText"/>
        <w:spacing w:line="240" w:lineRule="auto"/>
        <w:ind w:left="567" w:hanging="567"/>
        <w:rPr>
          <w:sz w:val="24"/>
          <w:lang w:val="fi-FI"/>
        </w:rPr>
      </w:pPr>
      <w:r w:rsidRPr="006A163A">
        <w:rPr>
          <w:sz w:val="24"/>
          <w:vertAlign w:val="superscript"/>
          <w:lang w:val="fi-FI"/>
        </w:rPr>
        <w:t>8</w:t>
      </w:r>
      <w:r w:rsidR="00500B56" w:rsidRPr="006A163A">
        <w:rPr>
          <w:sz w:val="24"/>
          <w:vertAlign w:val="superscript"/>
          <w:lang w:val="fi-FI"/>
        </w:rPr>
        <w:t xml:space="preserve"> </w:t>
      </w:r>
      <w:r w:rsidR="00500B56" w:rsidRPr="006A163A">
        <w:rPr>
          <w:sz w:val="24"/>
          <w:vertAlign w:val="superscript"/>
          <w:lang w:val="fi-FI"/>
        </w:rPr>
        <w:tab/>
      </w:r>
      <w:r w:rsidRPr="00500B56">
        <w:rPr>
          <w:sz w:val="24"/>
          <w:lang w:val="el-GR"/>
        </w:rPr>
        <w:t>ΕΕ</w:t>
      </w:r>
      <w:r w:rsidRPr="006A163A">
        <w:rPr>
          <w:sz w:val="24"/>
          <w:lang w:val="fi-FI"/>
        </w:rPr>
        <w:t xml:space="preserve"> C, C/2025/3752, 17.9.2025, ELI: </w:t>
      </w:r>
      <w:r>
        <w:fldChar w:fldCharType="begin"/>
      </w:r>
      <w:r w:rsidRPr="001076D8">
        <w:rPr>
          <w:lang w:val="fi-FI"/>
        </w:rPr>
        <w:instrText>HYPERLINK "http://data.europa.eu/eli/C/2025/3752/oj" \t "http://data.europa.eu/eli/C/2025/3752/oj"</w:instrText>
      </w:r>
      <w:r>
        <w:fldChar w:fldCharType="separate"/>
      </w:r>
      <w:r w:rsidRPr="006A163A">
        <w:rPr>
          <w:rStyle w:val="Hyperlink"/>
          <w:sz w:val="24"/>
          <w:lang w:val="fi-FI"/>
        </w:rPr>
        <w:t>http://data.europa.eu/eli/C/2025/3752/oj</w:t>
      </w:r>
      <w:r>
        <w:fldChar w:fldCharType="end"/>
      </w:r>
      <w:r w:rsidRPr="006A163A">
        <w:rPr>
          <w:sz w:val="24"/>
          <w:lang w:val="fi-FI"/>
        </w:rPr>
        <w:t>.</w:t>
      </w:r>
    </w:p>
  </w:footnote>
  <w:footnote w:id="9">
    <w:p w14:paraId="56BFCEF4" w14:textId="398C2A42" w:rsidR="00C16B62" w:rsidRPr="006A163A" w:rsidRDefault="00C16B62" w:rsidP="00827EEA">
      <w:pPr>
        <w:pStyle w:val="FootnoteText"/>
        <w:spacing w:line="240" w:lineRule="auto"/>
        <w:ind w:left="567" w:hanging="567"/>
        <w:rPr>
          <w:sz w:val="24"/>
          <w:lang w:val="fi-FI"/>
        </w:rPr>
      </w:pPr>
      <w:r w:rsidRPr="006A163A">
        <w:rPr>
          <w:sz w:val="24"/>
          <w:vertAlign w:val="superscript"/>
          <w:lang w:val="fi-FI"/>
        </w:rPr>
        <w:t>9</w:t>
      </w:r>
      <w:r w:rsidR="00500B56" w:rsidRPr="006A163A">
        <w:rPr>
          <w:sz w:val="24"/>
          <w:vertAlign w:val="superscript"/>
          <w:lang w:val="fi-FI"/>
        </w:rPr>
        <w:t xml:space="preserve"> </w:t>
      </w:r>
      <w:r w:rsidR="00500B56" w:rsidRPr="006A163A">
        <w:rPr>
          <w:sz w:val="24"/>
          <w:vertAlign w:val="superscript"/>
          <w:lang w:val="fi-FI"/>
        </w:rPr>
        <w:tab/>
      </w:r>
      <w:r w:rsidRPr="00500B56">
        <w:rPr>
          <w:sz w:val="24"/>
          <w:lang w:val="el-GR"/>
        </w:rPr>
        <w:t>ΕΕ</w:t>
      </w:r>
      <w:r w:rsidRPr="006A163A">
        <w:rPr>
          <w:sz w:val="24"/>
          <w:lang w:val="fi-FI"/>
        </w:rPr>
        <w:t xml:space="preserve"> C, C/2025/3753, 17.9.2025, ELI: </w:t>
      </w:r>
      <w:r>
        <w:fldChar w:fldCharType="begin"/>
      </w:r>
      <w:r w:rsidRPr="001076D8">
        <w:rPr>
          <w:lang w:val="fi-FI"/>
        </w:rPr>
        <w:instrText>HYPERLINK "http://data.europa.eu/eli/C/2025/3753/oj" \t "http://data.europa.eu/eli/C/2025/3753/oj"</w:instrText>
      </w:r>
      <w:r>
        <w:fldChar w:fldCharType="separate"/>
      </w:r>
      <w:r w:rsidRPr="006A163A">
        <w:rPr>
          <w:rStyle w:val="Hyperlink"/>
          <w:sz w:val="24"/>
          <w:lang w:val="fi-FI"/>
        </w:rPr>
        <w:t>http://data.europa.eu/eli/C/2025/3753/oj</w:t>
      </w:r>
      <w:r>
        <w:fldChar w:fldCharType="end"/>
      </w:r>
      <w:r w:rsidRPr="006A163A">
        <w:rPr>
          <w:sz w:val="24"/>
          <w:lang w:val="fi-FI"/>
        </w:rPr>
        <w:t>.</w:t>
      </w:r>
    </w:p>
  </w:footnote>
  <w:footnote w:id="10">
    <w:p w14:paraId="17734E7E" w14:textId="4F446C5C" w:rsidR="00C16B62" w:rsidRPr="006A163A" w:rsidRDefault="00C16B62" w:rsidP="00827EEA">
      <w:pPr>
        <w:pStyle w:val="FootnoteText"/>
        <w:spacing w:line="240" w:lineRule="auto"/>
        <w:ind w:left="567" w:hanging="567"/>
        <w:rPr>
          <w:sz w:val="24"/>
          <w:lang w:val="fi-FI"/>
        </w:rPr>
      </w:pPr>
      <w:r w:rsidRPr="006A163A">
        <w:rPr>
          <w:sz w:val="24"/>
          <w:vertAlign w:val="superscript"/>
          <w:lang w:val="fi-FI"/>
        </w:rPr>
        <w:t>10</w:t>
      </w:r>
      <w:r w:rsidR="00500B56" w:rsidRPr="006A163A">
        <w:rPr>
          <w:sz w:val="24"/>
          <w:vertAlign w:val="superscript"/>
          <w:lang w:val="fi-FI"/>
        </w:rPr>
        <w:t xml:space="preserve"> </w:t>
      </w:r>
      <w:r w:rsidR="00500B56" w:rsidRPr="006A163A">
        <w:rPr>
          <w:sz w:val="24"/>
          <w:vertAlign w:val="superscript"/>
          <w:lang w:val="fi-FI"/>
        </w:rPr>
        <w:tab/>
      </w:r>
      <w:r w:rsidRPr="00500B56">
        <w:rPr>
          <w:sz w:val="24"/>
          <w:lang w:val="el-GR"/>
        </w:rPr>
        <w:t>ΕΕ</w:t>
      </w:r>
      <w:r w:rsidRPr="006A163A">
        <w:rPr>
          <w:sz w:val="24"/>
          <w:lang w:val="fi-FI"/>
        </w:rPr>
        <w:t xml:space="preserve"> C, C/2025/3754, 17.9.2025, ELI: </w:t>
      </w:r>
      <w:r>
        <w:fldChar w:fldCharType="begin"/>
      </w:r>
      <w:r w:rsidRPr="001076D8">
        <w:rPr>
          <w:lang w:val="fi-FI"/>
        </w:rPr>
        <w:instrText>HYPERLINK "http://data.europa.eu/eli/C/2025/3754/oj" \t "http://data.europa.eu/eli/C/2025/3754/oj"</w:instrText>
      </w:r>
      <w:r>
        <w:fldChar w:fldCharType="separate"/>
      </w:r>
      <w:r w:rsidRPr="006A163A">
        <w:rPr>
          <w:rStyle w:val="Hyperlink"/>
          <w:sz w:val="24"/>
          <w:lang w:val="fi-FI"/>
        </w:rPr>
        <w:t>http://data.europa.eu/eli/C/2025/3754/oj</w:t>
      </w:r>
      <w:r>
        <w:fldChar w:fldCharType="end"/>
      </w:r>
      <w:r w:rsidRPr="006A163A">
        <w:rPr>
          <w:sz w:val="24"/>
          <w:lang w:val="fi-FI"/>
        </w:rPr>
        <w:t>.</w:t>
      </w:r>
    </w:p>
  </w:footnote>
  <w:footnote w:id="11">
    <w:p w14:paraId="3D97082C" w14:textId="3E76077A" w:rsidR="00C16B62" w:rsidRPr="00500B56" w:rsidRDefault="00C16B62" w:rsidP="00827EEA">
      <w:pPr>
        <w:pStyle w:val="FootnoteText"/>
        <w:spacing w:line="240" w:lineRule="auto"/>
        <w:ind w:left="567" w:hanging="567"/>
        <w:rPr>
          <w:sz w:val="24"/>
          <w:lang w:val="el-GR"/>
        </w:rPr>
      </w:pPr>
      <w:r w:rsidRPr="00500B56">
        <w:rPr>
          <w:sz w:val="24"/>
          <w:vertAlign w:val="superscript"/>
          <w:lang w:val="el-GR"/>
        </w:rPr>
        <w:t>11</w:t>
      </w:r>
      <w:r w:rsidR="00500B56" w:rsidRPr="00500B56">
        <w:rPr>
          <w:sz w:val="24"/>
          <w:vertAlign w:val="superscript"/>
          <w:lang w:val="el-GR"/>
        </w:rPr>
        <w:t xml:space="preserve"> </w:t>
      </w:r>
      <w:r w:rsidR="00500B56" w:rsidRPr="00500B56">
        <w:rPr>
          <w:sz w:val="24"/>
          <w:vertAlign w:val="superscript"/>
          <w:lang w:val="el-GR"/>
        </w:rPr>
        <w:tab/>
      </w:r>
      <w:r w:rsidRPr="00500B56">
        <w:rPr>
          <w:sz w:val="24"/>
          <w:lang w:val="el-GR"/>
        </w:rPr>
        <w:t>ΕΕ C 23 της 21.1.2021, σ. 105.</w:t>
      </w:r>
    </w:p>
  </w:footnote>
  <w:footnote w:id="12">
    <w:p w14:paraId="66215600" w14:textId="7808F4CF" w:rsidR="00C16B62" w:rsidRPr="00500B56" w:rsidRDefault="00C16B62" w:rsidP="00827EEA">
      <w:pPr>
        <w:pStyle w:val="FootnoteText"/>
        <w:spacing w:line="240" w:lineRule="auto"/>
        <w:ind w:left="567" w:hanging="567"/>
        <w:rPr>
          <w:sz w:val="24"/>
          <w:lang w:val="el-GR"/>
        </w:rPr>
      </w:pPr>
      <w:r w:rsidRPr="00500B56">
        <w:rPr>
          <w:sz w:val="24"/>
          <w:vertAlign w:val="superscript"/>
          <w:lang w:val="el-GR"/>
        </w:rPr>
        <w:t>12</w:t>
      </w:r>
      <w:r w:rsidR="00500B56" w:rsidRPr="00500B56">
        <w:rPr>
          <w:sz w:val="24"/>
          <w:vertAlign w:val="superscript"/>
          <w:lang w:val="el-GR"/>
        </w:rPr>
        <w:t xml:space="preserve"> </w:t>
      </w:r>
      <w:r w:rsidR="00500B56" w:rsidRPr="00500B56">
        <w:rPr>
          <w:sz w:val="24"/>
          <w:vertAlign w:val="superscript"/>
          <w:lang w:val="el-GR"/>
        </w:rPr>
        <w:tab/>
      </w:r>
      <w:r w:rsidRPr="00500B56">
        <w:rPr>
          <w:sz w:val="24"/>
          <w:lang w:val="el-GR"/>
        </w:rPr>
        <w:t>ΕΕ C 494 της 8.12.2021, σ. 118.</w:t>
      </w:r>
    </w:p>
  </w:footnote>
  <w:footnote w:id="13">
    <w:p w14:paraId="27ED2BEC" w14:textId="69966B14" w:rsidR="00C16B62" w:rsidRPr="00500B56" w:rsidRDefault="00C16B62" w:rsidP="00827EEA">
      <w:pPr>
        <w:pStyle w:val="FootnoteText"/>
        <w:spacing w:line="240" w:lineRule="auto"/>
        <w:ind w:left="567" w:hanging="567"/>
        <w:rPr>
          <w:sz w:val="24"/>
          <w:lang w:val="el-GR"/>
        </w:rPr>
      </w:pPr>
      <w:r w:rsidRPr="00500B56">
        <w:rPr>
          <w:sz w:val="24"/>
          <w:vertAlign w:val="superscript"/>
          <w:lang w:val="el-GR"/>
        </w:rPr>
        <w:t>13</w:t>
      </w:r>
      <w:r w:rsidR="00500B56" w:rsidRPr="00500B56">
        <w:rPr>
          <w:sz w:val="24"/>
          <w:vertAlign w:val="superscript"/>
          <w:lang w:val="el-GR"/>
        </w:rPr>
        <w:t xml:space="preserve"> </w:t>
      </w:r>
      <w:r w:rsidR="00500B56" w:rsidRPr="00500B56">
        <w:rPr>
          <w:sz w:val="24"/>
          <w:vertAlign w:val="superscript"/>
          <w:lang w:val="el-GR"/>
        </w:rPr>
        <w:tab/>
      </w:r>
      <w:r w:rsidRPr="00500B56">
        <w:rPr>
          <w:sz w:val="24"/>
          <w:lang w:val="el-GR"/>
        </w:rPr>
        <w:t>Ευρωπαϊκό Ινστιτούτο για την Ισότητα των Φύλων, «</w:t>
      </w:r>
      <w:proofErr w:type="spellStart"/>
      <w:r w:rsidRPr="00500B56">
        <w:rPr>
          <w:sz w:val="24"/>
          <w:lang w:val="el-GR"/>
        </w:rPr>
        <w:t>Gender</w:t>
      </w:r>
      <w:proofErr w:type="spellEnd"/>
      <w:r w:rsidRPr="00500B56">
        <w:rPr>
          <w:sz w:val="24"/>
          <w:lang w:val="el-GR"/>
        </w:rPr>
        <w:t xml:space="preserve"> in </w:t>
      </w:r>
      <w:proofErr w:type="spellStart"/>
      <w:r w:rsidRPr="00500B56">
        <w:rPr>
          <w:sz w:val="24"/>
          <w:lang w:val="el-GR"/>
        </w:rPr>
        <w:t>entrepreneurship</w:t>
      </w:r>
      <w:proofErr w:type="spellEnd"/>
      <w:r w:rsidRPr="00500B56">
        <w:rPr>
          <w:sz w:val="24"/>
          <w:lang w:val="el-GR"/>
        </w:rPr>
        <w:t>», 2017, σ. 5-6.</w:t>
      </w:r>
    </w:p>
  </w:footnote>
  <w:footnote w:id="14">
    <w:p w14:paraId="50BAC21E" w14:textId="032A1459" w:rsidR="00C16B62" w:rsidRPr="006A163A" w:rsidRDefault="00C16B62" w:rsidP="00827EEA">
      <w:pPr>
        <w:pStyle w:val="FootnoteText"/>
        <w:spacing w:line="240" w:lineRule="auto"/>
        <w:ind w:left="567" w:hanging="567"/>
        <w:rPr>
          <w:sz w:val="24"/>
          <w:lang w:val="en-GB"/>
        </w:rPr>
      </w:pPr>
      <w:r w:rsidRPr="006A163A">
        <w:rPr>
          <w:sz w:val="24"/>
          <w:vertAlign w:val="superscript"/>
          <w:lang w:val="en-GB"/>
        </w:rPr>
        <w:t>14</w:t>
      </w:r>
      <w:r w:rsidR="00500B56" w:rsidRPr="006A163A">
        <w:rPr>
          <w:sz w:val="24"/>
          <w:vertAlign w:val="superscript"/>
          <w:lang w:val="en-GB"/>
        </w:rPr>
        <w:t xml:space="preserve"> </w:t>
      </w:r>
      <w:r w:rsidR="00500B56" w:rsidRPr="006A163A">
        <w:rPr>
          <w:sz w:val="24"/>
          <w:vertAlign w:val="superscript"/>
          <w:lang w:val="en-GB"/>
        </w:rPr>
        <w:tab/>
      </w:r>
      <w:r w:rsidRPr="006A163A">
        <w:rPr>
          <w:sz w:val="24"/>
          <w:lang w:val="en-GB"/>
        </w:rPr>
        <w:t>Maneely, M./</w:t>
      </w:r>
      <w:proofErr w:type="spellStart"/>
      <w:r w:rsidRPr="006A163A">
        <w:rPr>
          <w:sz w:val="24"/>
          <w:lang w:val="en-GB"/>
        </w:rPr>
        <w:t>Ratnovski</w:t>
      </w:r>
      <w:proofErr w:type="spellEnd"/>
      <w:r w:rsidRPr="006A163A">
        <w:rPr>
          <w:sz w:val="24"/>
          <w:lang w:val="en-GB"/>
        </w:rPr>
        <w:t xml:space="preserve">, L., </w:t>
      </w:r>
      <w:r w:rsidR="00827EEA" w:rsidRPr="006A163A">
        <w:rPr>
          <w:sz w:val="24"/>
          <w:lang w:val="en-GB"/>
        </w:rPr>
        <w:t>«</w:t>
      </w:r>
      <w:r w:rsidRPr="006A163A">
        <w:rPr>
          <w:sz w:val="24"/>
          <w:lang w:val="en-GB"/>
        </w:rPr>
        <w:t>Bank Profits and Bank Taxes in the EU</w:t>
      </w:r>
      <w:r w:rsidR="00827EEA" w:rsidRPr="006A163A">
        <w:rPr>
          <w:sz w:val="24"/>
          <w:lang w:val="en-GB"/>
        </w:rPr>
        <w:t>»</w:t>
      </w:r>
      <w:r w:rsidRPr="006A163A">
        <w:rPr>
          <w:sz w:val="24"/>
          <w:lang w:val="en-GB"/>
        </w:rPr>
        <w:t xml:space="preserve">, IMF, </w:t>
      </w:r>
      <w:r w:rsidRPr="00500B56">
        <w:rPr>
          <w:sz w:val="24"/>
          <w:lang w:val="el-GR"/>
        </w:rPr>
        <w:t>Ιούλιος</w:t>
      </w:r>
      <w:r w:rsidRPr="006A163A">
        <w:rPr>
          <w:sz w:val="24"/>
          <w:lang w:val="en-GB"/>
        </w:rPr>
        <w:t xml:space="preserve"> 2024.</w:t>
      </w:r>
    </w:p>
  </w:footnote>
  <w:footnote w:id="15">
    <w:p w14:paraId="27B5DA62" w14:textId="36A95649" w:rsidR="00C16B62" w:rsidRPr="00500B56" w:rsidRDefault="00C16B62" w:rsidP="00827EEA">
      <w:pPr>
        <w:pStyle w:val="FootnoteText"/>
        <w:spacing w:line="240" w:lineRule="auto"/>
        <w:ind w:left="567" w:hanging="567"/>
        <w:rPr>
          <w:sz w:val="24"/>
          <w:lang w:val="el-GR"/>
        </w:rPr>
      </w:pPr>
      <w:r w:rsidRPr="00500B56">
        <w:rPr>
          <w:sz w:val="24"/>
          <w:vertAlign w:val="superscript"/>
          <w:lang w:val="el-GR"/>
        </w:rPr>
        <w:t>15</w:t>
      </w:r>
      <w:r w:rsidR="00500B56" w:rsidRPr="00500B56">
        <w:rPr>
          <w:sz w:val="24"/>
          <w:vertAlign w:val="superscript"/>
          <w:lang w:val="el-GR"/>
        </w:rPr>
        <w:t xml:space="preserve"> </w:t>
      </w:r>
      <w:r w:rsidR="00500B56" w:rsidRPr="00500B56">
        <w:rPr>
          <w:sz w:val="24"/>
          <w:vertAlign w:val="superscript"/>
          <w:lang w:val="el-GR"/>
        </w:rPr>
        <w:tab/>
      </w:r>
      <w:r w:rsidRPr="00500B56">
        <w:rPr>
          <w:sz w:val="24"/>
          <w:lang w:val="el-GR"/>
        </w:rPr>
        <w:t>ΕΚΤ, «Εποπτικές τραπεζικές στατιστικές – δεύτερο τρίμηνο του 2025».</w:t>
      </w:r>
    </w:p>
  </w:footnote>
  <w:footnote w:id="16">
    <w:p w14:paraId="0687A125" w14:textId="12F9F0EF" w:rsidR="00C16B62" w:rsidRPr="00500B56" w:rsidRDefault="00C16B62" w:rsidP="00827EEA">
      <w:pPr>
        <w:pStyle w:val="FootnoteText"/>
        <w:spacing w:line="240" w:lineRule="auto"/>
        <w:ind w:left="567" w:hanging="567"/>
        <w:rPr>
          <w:sz w:val="24"/>
          <w:lang w:val="el-GR"/>
        </w:rPr>
      </w:pPr>
      <w:r w:rsidRPr="006A163A">
        <w:rPr>
          <w:sz w:val="24"/>
          <w:vertAlign w:val="superscript"/>
          <w:lang w:val="en-GB"/>
        </w:rPr>
        <w:t>16</w:t>
      </w:r>
      <w:r w:rsidR="00500B56" w:rsidRPr="006A163A">
        <w:rPr>
          <w:sz w:val="24"/>
          <w:vertAlign w:val="superscript"/>
          <w:lang w:val="en-GB"/>
        </w:rPr>
        <w:t xml:space="preserve"> </w:t>
      </w:r>
      <w:r w:rsidR="00500B56" w:rsidRPr="006A163A">
        <w:rPr>
          <w:sz w:val="24"/>
          <w:vertAlign w:val="superscript"/>
          <w:lang w:val="en-GB"/>
        </w:rPr>
        <w:tab/>
      </w:r>
      <w:r w:rsidRPr="006A163A">
        <w:rPr>
          <w:sz w:val="24"/>
          <w:lang w:val="en-GB"/>
        </w:rPr>
        <w:t xml:space="preserve">Behn, M. &amp; </w:t>
      </w:r>
      <w:proofErr w:type="spellStart"/>
      <w:r w:rsidRPr="006A163A">
        <w:rPr>
          <w:sz w:val="24"/>
          <w:lang w:val="en-GB"/>
        </w:rPr>
        <w:t>Reghezza</w:t>
      </w:r>
      <w:proofErr w:type="spellEnd"/>
      <w:r w:rsidRPr="006A163A">
        <w:rPr>
          <w:sz w:val="24"/>
          <w:lang w:val="en-GB"/>
        </w:rPr>
        <w:t xml:space="preserve">, A., «Capital requirements: a pillar or a burden for bank </w:t>
      </w:r>
      <w:proofErr w:type="gramStart"/>
      <w:r w:rsidRPr="006A163A">
        <w:rPr>
          <w:sz w:val="24"/>
          <w:lang w:val="en-GB"/>
        </w:rPr>
        <w:t>competitiveness?»</w:t>
      </w:r>
      <w:proofErr w:type="gramEnd"/>
      <w:r w:rsidRPr="006A163A">
        <w:rPr>
          <w:sz w:val="24"/>
          <w:lang w:val="en-GB"/>
        </w:rPr>
        <w:t xml:space="preserve"> </w:t>
      </w:r>
      <w:r w:rsidRPr="00500B56">
        <w:rPr>
          <w:sz w:val="24"/>
          <w:lang w:val="el-GR"/>
        </w:rPr>
        <w:t>(Κεφαλαιακές απαιτήσεις: πυλώνας ή επιβάρυνση για την ανταγωνιστικότητα των τραπεζών;), σειρά</w:t>
      </w:r>
      <w:r w:rsidRPr="00500B56">
        <w:rPr>
          <w:i/>
          <w:sz w:val="24"/>
          <w:lang w:val="el-GR"/>
        </w:rPr>
        <w:t xml:space="preserve"> </w:t>
      </w:r>
      <w:proofErr w:type="spellStart"/>
      <w:r w:rsidRPr="00500B56">
        <w:rPr>
          <w:sz w:val="24"/>
          <w:lang w:val="el-GR"/>
        </w:rPr>
        <w:t>Occasional</w:t>
      </w:r>
      <w:proofErr w:type="spellEnd"/>
      <w:r w:rsidRPr="00500B56">
        <w:rPr>
          <w:sz w:val="24"/>
          <w:lang w:val="el-GR"/>
        </w:rPr>
        <w:t xml:space="preserve"> Paper της ΕΚΤ, αριθ. 376, Φρανκφούρτη 2025.</w:t>
      </w:r>
    </w:p>
  </w:footnote>
  <w:footnote w:id="17">
    <w:p w14:paraId="1C3DBD1E" w14:textId="516E9144" w:rsidR="00C16B62" w:rsidRPr="00500B56" w:rsidRDefault="00C16B62" w:rsidP="00827EEA">
      <w:pPr>
        <w:pStyle w:val="FootnoteText"/>
        <w:spacing w:line="240" w:lineRule="auto"/>
        <w:ind w:left="567" w:hanging="567"/>
        <w:rPr>
          <w:sz w:val="24"/>
          <w:lang w:val="el-GR"/>
        </w:rPr>
      </w:pPr>
      <w:r w:rsidRPr="00500B56">
        <w:rPr>
          <w:sz w:val="24"/>
          <w:vertAlign w:val="superscript"/>
          <w:lang w:val="el-GR"/>
        </w:rPr>
        <w:t>17</w:t>
      </w:r>
      <w:r w:rsidR="00500B56" w:rsidRPr="00500B56">
        <w:rPr>
          <w:sz w:val="24"/>
          <w:vertAlign w:val="superscript"/>
          <w:lang w:val="el-GR"/>
        </w:rPr>
        <w:t xml:space="preserve"> </w:t>
      </w:r>
      <w:r w:rsidR="00500B56" w:rsidRPr="00500B56">
        <w:rPr>
          <w:sz w:val="24"/>
          <w:vertAlign w:val="superscript"/>
          <w:lang w:val="el-GR"/>
        </w:rPr>
        <w:tab/>
      </w:r>
      <w:r w:rsidRPr="00500B56">
        <w:rPr>
          <w:sz w:val="24"/>
          <w:lang w:val="el-GR"/>
        </w:rPr>
        <w:t xml:space="preserve">Κανονισμός (ΕΕ) 2023/1114 του Ευρωπαϊκού Κοινοβουλίου και του Συμβουλίου, της 31ης Μαΐου 2023, για τις αγορές κρυπτοστοιχείων και για την τροποποίηση των κανονισμών (ΕΕ) αριθ. 1093/2010 και (ΕΕ) αριθ. </w:t>
      </w:r>
      <w:r w:rsidRPr="00500B56">
        <w:rPr>
          <w:sz w:val="24"/>
          <w:lang w:val="el-GR"/>
        </w:rPr>
        <w:t xml:space="preserve">1095/2010 και των οδηγιών 2013/36/ΕΕ και (ΕΕ) 2019/1937 </w:t>
      </w:r>
      <w:r w:rsidR="00827EEA">
        <w:rPr>
          <w:sz w:val="24"/>
          <w:lang w:val="el-GR"/>
        </w:rPr>
        <w:t>(</w:t>
      </w:r>
      <w:r w:rsidRPr="00500B56">
        <w:rPr>
          <w:sz w:val="24"/>
          <w:lang w:val="el-GR"/>
        </w:rPr>
        <w:t xml:space="preserve">ΕΕ L </w:t>
      </w:r>
      <w:r w:rsidRPr="00500B56">
        <w:rPr>
          <w:sz w:val="24"/>
          <w:lang w:val="el-GR"/>
        </w:rPr>
        <w:t xml:space="preserve">150 της 9.6.2023, σ. 40, ELI: </w:t>
      </w:r>
      <w:hyperlink r:id="rId1" w:tgtFrame="http://data.europa.eu/eli/reg/2023/1114/oj" w:history="1">
        <w:r w:rsidRPr="00500B56">
          <w:rPr>
            <w:rStyle w:val="Hyperlink"/>
            <w:sz w:val="24"/>
            <w:lang w:val="el-GR"/>
          </w:rPr>
          <w:t>http://data.europa.eu/eli/reg/2023/1114/oj</w:t>
        </w:r>
      </w:hyperlink>
      <w:r w:rsidR="00827EEA">
        <w:rPr>
          <w:sz w:val="24"/>
          <w:lang w:val="el-GR"/>
        </w:rPr>
        <w:t>)</w:t>
      </w:r>
      <w:r w:rsidRPr="00500B56">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54799" w14:textId="77777777" w:rsidR="00064002" w:rsidRPr="00500B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E344B" w14:textId="77777777" w:rsidR="00064002" w:rsidRPr="00500B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B5CDF" w14:textId="77777777" w:rsidR="00064002" w:rsidRPr="00500B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9A7F1F"/>
    <w:multiLevelType w:val="hybridMultilevel"/>
    <w:tmpl w:val="53183D04"/>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B3D9D"/>
    <w:multiLevelType w:val="hybridMultilevel"/>
    <w:tmpl w:val="CAA22492"/>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6086AC4"/>
    <w:multiLevelType w:val="hybridMultilevel"/>
    <w:tmpl w:val="C4D81C3C"/>
    <w:lvl w:ilvl="0" w:tplc="C4EAFA1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2935B51"/>
    <w:multiLevelType w:val="hybridMultilevel"/>
    <w:tmpl w:val="0464D870"/>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1059B0"/>
    <w:multiLevelType w:val="hybridMultilevel"/>
    <w:tmpl w:val="F5E022E2"/>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D92F2D"/>
    <w:multiLevelType w:val="hybridMultilevel"/>
    <w:tmpl w:val="33CC72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5561791">
    <w:abstractNumId w:val="9"/>
  </w:num>
  <w:num w:numId="2" w16cid:durableId="1606888395">
    <w:abstractNumId w:val="9"/>
  </w:num>
  <w:num w:numId="3" w16cid:durableId="195503723">
    <w:abstractNumId w:val="7"/>
  </w:num>
  <w:num w:numId="4" w16cid:durableId="717752071">
    <w:abstractNumId w:val="7"/>
  </w:num>
  <w:num w:numId="5" w16cid:durableId="670108367">
    <w:abstractNumId w:val="6"/>
  </w:num>
  <w:num w:numId="6" w16cid:durableId="1642927975">
    <w:abstractNumId w:val="6"/>
  </w:num>
  <w:num w:numId="7" w16cid:durableId="448554278">
    <w:abstractNumId w:val="5"/>
  </w:num>
  <w:num w:numId="8" w16cid:durableId="620065228">
    <w:abstractNumId w:val="5"/>
  </w:num>
  <w:num w:numId="9" w16cid:durableId="406656828">
    <w:abstractNumId w:val="4"/>
  </w:num>
  <w:num w:numId="10" w16cid:durableId="1112437217">
    <w:abstractNumId w:val="4"/>
  </w:num>
  <w:num w:numId="11" w16cid:durableId="491527023">
    <w:abstractNumId w:val="8"/>
  </w:num>
  <w:num w:numId="12" w16cid:durableId="1400250045">
    <w:abstractNumId w:val="8"/>
  </w:num>
  <w:num w:numId="13" w16cid:durableId="1322149916">
    <w:abstractNumId w:val="3"/>
  </w:num>
  <w:num w:numId="14" w16cid:durableId="321013282">
    <w:abstractNumId w:val="3"/>
  </w:num>
  <w:num w:numId="15" w16cid:durableId="1358047289">
    <w:abstractNumId w:val="2"/>
  </w:num>
  <w:num w:numId="16" w16cid:durableId="1226989828">
    <w:abstractNumId w:val="2"/>
  </w:num>
  <w:num w:numId="17" w16cid:durableId="1606034559">
    <w:abstractNumId w:val="1"/>
  </w:num>
  <w:num w:numId="18" w16cid:durableId="1985037602">
    <w:abstractNumId w:val="1"/>
  </w:num>
  <w:num w:numId="19" w16cid:durableId="82460984">
    <w:abstractNumId w:val="0"/>
  </w:num>
  <w:num w:numId="20" w16cid:durableId="197085106">
    <w:abstractNumId w:val="0"/>
  </w:num>
  <w:num w:numId="21" w16cid:durableId="225727648">
    <w:abstractNumId w:val="9"/>
  </w:num>
  <w:num w:numId="22" w16cid:durableId="1254628195">
    <w:abstractNumId w:val="7"/>
  </w:num>
  <w:num w:numId="23" w16cid:durableId="1775516483">
    <w:abstractNumId w:val="6"/>
  </w:num>
  <w:num w:numId="24" w16cid:durableId="562444792">
    <w:abstractNumId w:val="5"/>
  </w:num>
  <w:num w:numId="25" w16cid:durableId="1741246418">
    <w:abstractNumId w:val="4"/>
  </w:num>
  <w:num w:numId="26" w16cid:durableId="1827745749">
    <w:abstractNumId w:val="8"/>
  </w:num>
  <w:num w:numId="27" w16cid:durableId="1205950150">
    <w:abstractNumId w:val="3"/>
  </w:num>
  <w:num w:numId="28" w16cid:durableId="432090793">
    <w:abstractNumId w:val="2"/>
  </w:num>
  <w:num w:numId="29" w16cid:durableId="1079713677">
    <w:abstractNumId w:val="1"/>
  </w:num>
  <w:num w:numId="30" w16cid:durableId="908226673">
    <w:abstractNumId w:val="0"/>
  </w:num>
  <w:num w:numId="31" w16cid:durableId="657851443">
    <w:abstractNumId w:val="9"/>
  </w:num>
  <w:num w:numId="32" w16cid:durableId="1808009970">
    <w:abstractNumId w:val="7"/>
  </w:num>
  <w:num w:numId="33" w16cid:durableId="86510645">
    <w:abstractNumId w:val="6"/>
  </w:num>
  <w:num w:numId="34" w16cid:durableId="1994944377">
    <w:abstractNumId w:val="5"/>
  </w:num>
  <w:num w:numId="35" w16cid:durableId="1591963758">
    <w:abstractNumId w:val="4"/>
  </w:num>
  <w:num w:numId="36" w16cid:durableId="514924443">
    <w:abstractNumId w:val="8"/>
  </w:num>
  <w:num w:numId="37" w16cid:durableId="701327826">
    <w:abstractNumId w:val="3"/>
  </w:num>
  <w:num w:numId="38" w16cid:durableId="152575725">
    <w:abstractNumId w:val="2"/>
  </w:num>
  <w:num w:numId="39" w16cid:durableId="1950701270">
    <w:abstractNumId w:val="1"/>
  </w:num>
  <w:num w:numId="40" w16cid:durableId="944072032">
    <w:abstractNumId w:val="0"/>
  </w:num>
  <w:num w:numId="41" w16cid:durableId="1880512342">
    <w:abstractNumId w:val="10"/>
  </w:num>
  <w:num w:numId="42" w16cid:durableId="1607543374">
    <w:abstractNumId w:val="10"/>
  </w:num>
  <w:num w:numId="43" w16cid:durableId="114326775">
    <w:abstractNumId w:val="10"/>
  </w:num>
  <w:num w:numId="44" w16cid:durableId="1682393019">
    <w:abstractNumId w:val="13"/>
  </w:num>
  <w:num w:numId="45" w16cid:durableId="144395715">
    <w:abstractNumId w:val="17"/>
  </w:num>
  <w:num w:numId="46" w16cid:durableId="578175486">
    <w:abstractNumId w:val="14"/>
  </w:num>
  <w:num w:numId="47" w16cid:durableId="1260064542">
    <w:abstractNumId w:val="12"/>
  </w:num>
  <w:num w:numId="48" w16cid:durableId="1925912310">
    <w:abstractNumId w:val="11"/>
  </w:num>
  <w:num w:numId="49" w16cid:durableId="1487085018">
    <w:abstractNumId w:val="15"/>
  </w:num>
  <w:num w:numId="50" w16cid:durableId="3696936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EL"/>
    <w:docVar w:name="dvnumam" w:val="0"/>
    <w:docVar w:name="dvpe" w:val="779.660"/>
    <w:docVar w:name="dvrapporteur" w:val="Εισηγήτρια: "/>
    <w:docVar w:name="dvtitre" w:val="Ψήφισμα του Ευρωπαϊκού Κοινοβουλίου της ... 2026 σχετικά με την Τραπεζική Ένωση – ετήσια έκθεση για το 2025(2025/2136(INI))"/>
  </w:docVars>
  <w:rsids>
    <w:rsidRoot w:val="005F4E94"/>
    <w:rsid w:val="00002272"/>
    <w:rsid w:val="00064002"/>
    <w:rsid w:val="000677B9"/>
    <w:rsid w:val="000831BA"/>
    <w:rsid w:val="000A42CC"/>
    <w:rsid w:val="000E7DD9"/>
    <w:rsid w:val="0010095E"/>
    <w:rsid w:val="001076D8"/>
    <w:rsid w:val="00125B37"/>
    <w:rsid w:val="00182E0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B56"/>
    <w:rsid w:val="0050519A"/>
    <w:rsid w:val="005072A1"/>
    <w:rsid w:val="0051009C"/>
    <w:rsid w:val="00514517"/>
    <w:rsid w:val="00545827"/>
    <w:rsid w:val="00560270"/>
    <w:rsid w:val="005C2568"/>
    <w:rsid w:val="005E48D1"/>
    <w:rsid w:val="005F1B17"/>
    <w:rsid w:val="005F4E94"/>
    <w:rsid w:val="006037C0"/>
    <w:rsid w:val="00636351"/>
    <w:rsid w:val="006631B6"/>
    <w:rsid w:val="00680577"/>
    <w:rsid w:val="006A163A"/>
    <w:rsid w:val="006F74FA"/>
    <w:rsid w:val="00731ADD"/>
    <w:rsid w:val="00734777"/>
    <w:rsid w:val="00747932"/>
    <w:rsid w:val="00751A4A"/>
    <w:rsid w:val="00756632"/>
    <w:rsid w:val="00762C74"/>
    <w:rsid w:val="00786EC0"/>
    <w:rsid w:val="007D1690"/>
    <w:rsid w:val="007E22AD"/>
    <w:rsid w:val="00817416"/>
    <w:rsid w:val="00827EE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B62"/>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16D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D3828A"/>
  <w15:chartTrackingRefBased/>
  <w15:docId w15:val="{26B5AF1A-E411-4FF1-954F-5C41A0A11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16B62"/>
    <w:pPr>
      <w:widowControl/>
      <w:spacing w:after="240"/>
    </w:pPr>
    <w:rPr>
      <w:szCs w:val="24"/>
      <w:lang w:eastAsia="en-US"/>
    </w:rPr>
  </w:style>
  <w:style w:type="paragraph" w:customStyle="1" w:styleId="NormalHanging12a">
    <w:name w:val="NormalHanging12a"/>
    <w:basedOn w:val="Normal"/>
    <w:rsid w:val="00C16B62"/>
    <w:pPr>
      <w:widowControl/>
      <w:spacing w:after="240"/>
      <w:ind w:left="566" w:hanging="566"/>
    </w:pPr>
    <w:rPr>
      <w:szCs w:val="24"/>
      <w:lang w:eastAsia="en-US"/>
    </w:rPr>
  </w:style>
  <w:style w:type="paragraph" w:customStyle="1" w:styleId="Normal12">
    <w:name w:val="Normal12"/>
    <w:basedOn w:val="Normal"/>
    <w:rsid w:val="00C16B62"/>
    <w:pPr>
      <w:widowControl/>
      <w:spacing w:after="240"/>
    </w:pPr>
    <w:rPr>
      <w:szCs w:val="24"/>
      <w:lang w:eastAsia="en-US"/>
    </w:rPr>
  </w:style>
  <w:style w:type="paragraph" w:customStyle="1" w:styleId="NormalHanging">
    <w:name w:val="NormalHanging"/>
    <w:basedOn w:val="Normal"/>
    <w:rsid w:val="00C16B62"/>
    <w:pPr>
      <w:widowControl/>
      <w:spacing w:after="240"/>
      <w:ind w:left="566" w:hanging="566"/>
    </w:pPr>
    <w:rPr>
      <w:szCs w:val="24"/>
      <w:lang w:eastAsia="en-US"/>
    </w:rPr>
  </w:style>
  <w:style w:type="paragraph" w:customStyle="1" w:styleId="NormalBold12a">
    <w:name w:val="NormalBold12a"/>
    <w:basedOn w:val="Normal"/>
    <w:rsid w:val="00C16B62"/>
    <w:pPr>
      <w:widowControl/>
      <w:spacing w:after="240"/>
    </w:pPr>
    <w:rPr>
      <w:b/>
      <w:szCs w:val="24"/>
      <w:lang w:eastAsia="en-US"/>
    </w:rPr>
  </w:style>
  <w:style w:type="paragraph" w:customStyle="1" w:styleId="NormalCenter12a">
    <w:name w:val="NormalCenter12a"/>
    <w:basedOn w:val="Normal"/>
    <w:rsid w:val="00C16B62"/>
    <w:pPr>
      <w:widowControl/>
      <w:spacing w:after="240"/>
      <w:jc w:val="center"/>
    </w:pPr>
    <w:rPr>
      <w:szCs w:val="24"/>
      <w:lang w:eastAsia="en-US"/>
    </w:rPr>
  </w:style>
  <w:style w:type="character" w:styleId="Hyperlink">
    <w:name w:val="Hyperlink"/>
    <w:basedOn w:val="DefaultParagraphFont"/>
    <w:rsid w:val="00C16B62"/>
    <w:rPr>
      <w:color w:val="0000FF"/>
      <w:u w:val="single"/>
    </w:rPr>
  </w:style>
  <w:style w:type="paragraph" w:styleId="Revision">
    <w:name w:val="Revision"/>
    <w:hidden/>
    <w:uiPriority w:val="99"/>
    <w:semiHidden/>
    <w:rsid w:val="00827EE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4655</Words>
  <Characters>28723</Characters>
  <Application>Microsoft Office Word</Application>
  <DocSecurity>0</DocSecurity>
  <Lines>239</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TZANIDI Anastasia</cp:lastModifiedBy>
  <cp:revision>2</cp:revision>
  <cp:lastPrinted>2004-11-19T15:42:00Z</cp:lastPrinted>
  <dcterms:created xsi:type="dcterms:W3CDTF">2026-06-04T12:47:00Z</dcterms:created>
  <dcterms:modified xsi:type="dcterms:W3CDTF">2026-06-04T12:47:00Z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A10-0079/2026</vt:lpwstr>
  </property>
  <property fmtid="{D5CDD505-2E9C-101B-9397-08002B2CF9AE}" pid="4" name="&lt;Type&gt;">
    <vt:lpwstr>RR</vt:lpwstr>
  </property>
</Properties>
</file>