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64FE" w14:paraId="2A4434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414FEA" w14:textId="77777777" w:rsidR="00751A4A" w:rsidRPr="00BA64FE" w:rsidRDefault="00B7405E" w:rsidP="0010095E">
            <w:pPr>
              <w:pStyle w:val="EPName"/>
            </w:pPr>
            <w:r w:rsidRPr="00BA64FE">
              <w:t>Európai Parlament</w:t>
            </w:r>
          </w:p>
          <w:p w14:paraId="41A362E1" w14:textId="77777777" w:rsidR="00751A4A" w:rsidRPr="00BA64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64FE">
              <w:t>2024</w:t>
            </w:r>
            <w:r w:rsidR="00817416" w:rsidRPr="00BA64FE">
              <w:t>-202</w:t>
            </w:r>
            <w:r w:rsidRPr="00BA64FE">
              <w:t>9</w:t>
            </w:r>
          </w:p>
        </w:tc>
        <w:tc>
          <w:tcPr>
            <w:tcW w:w="2268" w:type="dxa"/>
            <w:shd w:val="clear" w:color="auto" w:fill="auto"/>
          </w:tcPr>
          <w:p w14:paraId="34152549" w14:textId="77777777" w:rsidR="00751A4A" w:rsidRPr="00BA64FE" w:rsidRDefault="00187494" w:rsidP="0010095E">
            <w:pPr>
              <w:pStyle w:val="EPLogo"/>
            </w:pPr>
            <w:r w:rsidRPr="00BA64FE">
              <w:rPr>
                <w:noProof/>
                <w:lang w:eastAsia="ja-JP"/>
              </w:rPr>
              <w:drawing>
                <wp:inline distT="0" distB="0" distL="0" distR="0" wp14:anchorId="71AD4C8D" wp14:editId="205EC42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A9157A" w14:textId="77777777" w:rsidR="00D058B8" w:rsidRPr="00BA64FE" w:rsidRDefault="00D058B8" w:rsidP="004C5D52">
      <w:pPr>
        <w:pStyle w:val="LineTop"/>
      </w:pPr>
    </w:p>
    <w:p w14:paraId="12A9ADBC" w14:textId="77777777" w:rsidR="00680577" w:rsidRPr="00BA64FE" w:rsidRDefault="00B7405E" w:rsidP="00680577">
      <w:pPr>
        <w:pStyle w:val="EPBodyTA1"/>
      </w:pPr>
      <w:r w:rsidRPr="00BA64FE">
        <w:t>ELFOGADOTT SZÖVEGEK</w:t>
      </w:r>
    </w:p>
    <w:p w14:paraId="127AB28F" w14:textId="77777777" w:rsidR="00D058B8" w:rsidRPr="00BA64FE" w:rsidRDefault="00D058B8" w:rsidP="00D058B8">
      <w:pPr>
        <w:pStyle w:val="LineBottom"/>
      </w:pPr>
    </w:p>
    <w:p w14:paraId="0820C057" w14:textId="7E065B9B" w:rsidR="00B7405E" w:rsidRPr="00BA64FE" w:rsidRDefault="00B7405E" w:rsidP="00B7405E">
      <w:pPr>
        <w:pStyle w:val="ATHeading1"/>
      </w:pPr>
      <w:bookmarkStart w:id="0" w:name="TANumber"/>
      <w:r w:rsidRPr="00BA64FE">
        <w:t>P10_</w:t>
      </w:r>
      <w:proofErr w:type="gramStart"/>
      <w:r w:rsidRPr="00BA64FE">
        <w:t>TA(</w:t>
      </w:r>
      <w:proofErr w:type="gramEnd"/>
      <w:r w:rsidRPr="00BA64FE">
        <w:t>2026)0</w:t>
      </w:r>
      <w:r w:rsidR="00BA64FE">
        <w:t>159</w:t>
      </w:r>
      <w:bookmarkEnd w:id="0"/>
    </w:p>
    <w:p w14:paraId="6B7F7968" w14:textId="77777777" w:rsidR="00B7405E" w:rsidRPr="00BA64FE" w:rsidRDefault="00B7405E" w:rsidP="00B7405E">
      <w:pPr>
        <w:pStyle w:val="ATHeading2"/>
      </w:pPr>
      <w:bookmarkStart w:id="1" w:name="title"/>
      <w:r w:rsidRPr="00BA64FE">
        <w:t>Bankunió – 2025. évi éves jelentés</w:t>
      </w:r>
      <w:bookmarkEnd w:id="1"/>
    </w:p>
    <w:p w14:paraId="146186A4" w14:textId="77777777" w:rsidR="00B7405E" w:rsidRPr="00BA64FE" w:rsidRDefault="00B7405E" w:rsidP="00B7405E">
      <w:pPr>
        <w:rPr>
          <w:i/>
          <w:vanish/>
        </w:rPr>
      </w:pPr>
      <w:r w:rsidRPr="00BA64FE">
        <w:rPr>
          <w:i/>
        </w:rPr>
        <w:fldChar w:fldCharType="begin"/>
      </w:r>
      <w:r w:rsidRPr="00BA64FE">
        <w:rPr>
          <w:i/>
        </w:rPr>
        <w:instrText xml:space="preserve"> TC"(</w:instrText>
      </w:r>
      <w:bookmarkStart w:id="2" w:name="DocNumber"/>
      <w:r w:rsidRPr="00BA64FE">
        <w:rPr>
          <w:i/>
        </w:rPr>
        <w:instrText>A10-0079/2026</w:instrText>
      </w:r>
      <w:bookmarkEnd w:id="2"/>
      <w:r w:rsidRPr="00BA64FE">
        <w:rPr>
          <w:i/>
        </w:rPr>
        <w:instrText xml:space="preserve"> - Előadó: Evelyn Regner)"\l3 \n&gt; \* MERGEFORMAT </w:instrText>
      </w:r>
      <w:r w:rsidRPr="00BA64FE">
        <w:rPr>
          <w:i/>
        </w:rPr>
        <w:fldChar w:fldCharType="end"/>
      </w:r>
    </w:p>
    <w:p w14:paraId="7C76FECB" w14:textId="77777777" w:rsidR="00B7405E" w:rsidRPr="00BA64FE" w:rsidRDefault="00B7405E" w:rsidP="00B7405E">
      <w:pPr>
        <w:rPr>
          <w:vanish/>
        </w:rPr>
      </w:pPr>
      <w:bookmarkStart w:id="3" w:name="Commission"/>
      <w:r w:rsidRPr="00BA64FE">
        <w:rPr>
          <w:vanish/>
        </w:rPr>
        <w:t>Gazdasági és Monetáris Bizottság</w:t>
      </w:r>
      <w:bookmarkEnd w:id="3"/>
    </w:p>
    <w:p w14:paraId="7C199AF1" w14:textId="77777777" w:rsidR="00B7405E" w:rsidRPr="00BA64FE" w:rsidRDefault="00B7405E" w:rsidP="00B7405E">
      <w:pPr>
        <w:rPr>
          <w:vanish/>
        </w:rPr>
      </w:pPr>
      <w:bookmarkStart w:id="4" w:name="PE"/>
      <w:r w:rsidRPr="00BA64FE">
        <w:rPr>
          <w:vanish/>
        </w:rPr>
        <w:t>PE779.660</w:t>
      </w:r>
      <w:bookmarkEnd w:id="4"/>
    </w:p>
    <w:p w14:paraId="7D5A10A6" w14:textId="04FC36FB" w:rsidR="00B7405E" w:rsidRPr="00BA64FE" w:rsidRDefault="00B7405E" w:rsidP="00B7405E">
      <w:pPr>
        <w:pStyle w:val="ATHeading3"/>
      </w:pPr>
      <w:bookmarkStart w:id="5" w:name="Sujet"/>
      <w:r w:rsidRPr="00BA64FE">
        <w:t xml:space="preserve">Az Európai Parlament 2026. </w:t>
      </w:r>
      <w:r w:rsidR="00815475" w:rsidRPr="00BA64FE">
        <w:t>április</w:t>
      </w:r>
      <w:r w:rsidRPr="00BA64FE">
        <w:t xml:space="preserve"> </w:t>
      </w:r>
      <w:r w:rsidR="00815475" w:rsidRPr="00BA64FE">
        <w:t>30-</w:t>
      </w:r>
      <w:r w:rsidRPr="00BA64FE">
        <w:t>i állásfoglalása a bankunióról – 2025. évi éves jelentés</w:t>
      </w:r>
      <w:bookmarkEnd w:id="5"/>
      <w:r w:rsidRPr="00BA64FE">
        <w:t xml:space="preserve"> </w:t>
      </w:r>
      <w:bookmarkStart w:id="6" w:name="References"/>
      <w:r w:rsidRPr="00BA64FE">
        <w:t>(2025/2136(INI))</w:t>
      </w:r>
      <w:bookmarkEnd w:id="6"/>
    </w:p>
    <w:p w14:paraId="6F3F2F0F" w14:textId="77777777" w:rsidR="00F347A4" w:rsidRPr="00BA64FE" w:rsidRDefault="00F347A4" w:rsidP="00815475">
      <w:pPr>
        <w:pStyle w:val="Normal12"/>
        <w:spacing w:before="360"/>
        <w:rPr>
          <w:i/>
          <w:iCs/>
        </w:rPr>
      </w:pPr>
      <w:r w:rsidRPr="00BA64FE">
        <w:rPr>
          <w:i/>
          <w:iCs/>
        </w:rPr>
        <w:t>Az Európai Parlament,</w:t>
      </w:r>
    </w:p>
    <w:p w14:paraId="65FD4816" w14:textId="2AB668CD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 bankunióról szóló 2024. évi éves jelentésről szóló, 2025. május 8-i állásfoglalására</w:t>
      </w:r>
      <w:r w:rsidR="00815475" w:rsidRPr="00BA64FE">
        <w:rPr>
          <w:rStyle w:val="FootnoteReference"/>
        </w:rPr>
        <w:footnoteReference w:id="1"/>
      </w:r>
      <w:r w:rsidRPr="00BA64FE">
        <w:t>,</w:t>
      </w:r>
    </w:p>
    <w:p w14:paraId="40C354BA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 Parlament „Bankunió – 2024. évi éves jelentés” című, 2025. május 8-i állásfoglalásának a Bizottság általi nyomon követésére,</w:t>
      </w:r>
    </w:p>
    <w:p w14:paraId="20962A28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Európai Központi Bank által közzétett, „Visszajelzés a bankunióról szóló európaiparlamenti állásfoglalásról – 2024. évi éves jelentés” című dokumentumra,</w:t>
      </w:r>
    </w:p>
    <w:p w14:paraId="3BDBF80E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EKB felügyeleti tevékenységekről szóló, 2025. április 28-án bemutatott 2024. évi éves jelentésére,</w:t>
      </w:r>
    </w:p>
    <w:p w14:paraId="00C7FB6B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Egységes Szanálási Testület 2025. június 26-án közzétett, 2024. évi éves jelentésére,</w:t>
      </w:r>
    </w:p>
    <w:p w14:paraId="1304F28B" w14:textId="30797082" w:rsidR="00F347A4" w:rsidRPr="00BA64FE" w:rsidRDefault="00F347A4" w:rsidP="00815475">
      <w:pPr>
        <w:pStyle w:val="NormalHanging"/>
        <w:ind w:left="567" w:hanging="567"/>
      </w:pPr>
      <w:r w:rsidRPr="00BA64FE">
        <w:lastRenderedPageBreak/>
        <w:t>–</w:t>
      </w:r>
      <w:r w:rsidRPr="00BA64FE">
        <w:tab/>
        <w:t>tekintettel a pénzmosási irányelv</w:t>
      </w:r>
      <w:r w:rsidR="00815475" w:rsidRPr="00BA64FE">
        <w:rPr>
          <w:rStyle w:val="FootnoteReference"/>
        </w:rPr>
        <w:footnoteReference w:id="2"/>
      </w:r>
      <w:r w:rsidRPr="00BA64FE">
        <w:t xml:space="preserve"> és a pénzmosás elleni rendelet</w:t>
      </w:r>
      <w:r w:rsidR="00815475" w:rsidRPr="00BA64FE">
        <w:rPr>
          <w:rStyle w:val="FootnoteReference"/>
        </w:rPr>
        <w:footnoteReference w:id="3"/>
      </w:r>
      <w:r w:rsidRPr="00BA64FE">
        <w:t xml:space="preserve"> elfogadására, valamint a Pénzmosás Elleni Hatóság (AMLA) létrehozására</w:t>
      </w:r>
      <w:r w:rsidR="00815475" w:rsidRPr="00BA64FE">
        <w:rPr>
          <w:rStyle w:val="FootnoteReference"/>
        </w:rPr>
        <w:footnoteReference w:id="4"/>
      </w:r>
      <w:r w:rsidRPr="00BA64FE">
        <w:t>,</w:t>
      </w:r>
    </w:p>
    <w:p w14:paraId="3FD97A97" w14:textId="6E9D37AD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 Bázel III standardok végrehajtására, nevezetesen a tőkekövetelmény-irányelv</w:t>
      </w:r>
      <w:r w:rsidR="00815475" w:rsidRPr="00BA64FE">
        <w:rPr>
          <w:rStyle w:val="FootnoteReference"/>
        </w:rPr>
        <w:footnoteReference w:id="5"/>
      </w:r>
      <w:r w:rsidRPr="00BA64FE">
        <w:t xml:space="preserve"> és a tőkekövetelmény-rendelet</w:t>
      </w:r>
      <w:r w:rsidR="00815475" w:rsidRPr="00BA64FE">
        <w:rPr>
          <w:rStyle w:val="FootnoteReference"/>
        </w:rPr>
        <w:footnoteReference w:id="6"/>
      </w:r>
      <w:r w:rsidRPr="00BA64FE">
        <w:t xml:space="preserve"> módosításainak elfogadására,</w:t>
      </w:r>
    </w:p>
    <w:p w14:paraId="1540CBC3" w14:textId="4B56DC92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575/2013/EU európai parlamenti és tanácsi rendeletnek a piaci kockázatra vonatkozó szavatolótőke-követelmények alkalmazásának kezdőnapja tekintetében történő módosításáról szóló, 2024. július 24-i (EU) 2024/2795 felhatalmazáson alapuló bizottsági rendelet elfogadására</w:t>
      </w:r>
      <w:r w:rsidR="00815475" w:rsidRPr="00BA64FE">
        <w:rPr>
          <w:rStyle w:val="FootnoteReference"/>
        </w:rPr>
        <w:footnoteReference w:id="7"/>
      </w:r>
      <w:r w:rsidRPr="00BA64FE">
        <w:t>,</w:t>
      </w:r>
    </w:p>
    <w:p w14:paraId="71D5ABFD" w14:textId="2E953E2B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 806/2014/EU rendeletnek a korai beavatkozási intézkedések, a szanálási feltételek és a szanálási intézkedések finanszírozása tekintetében történő módosításáról szóló európai parlamenti és tanácsi rendeletre irányuló javaslatról szóló, 2024. április 24-i első olvasatbeli álláspontjára</w:t>
      </w:r>
      <w:r w:rsidR="00815475" w:rsidRPr="00BA64FE">
        <w:rPr>
          <w:rStyle w:val="FootnoteReference"/>
        </w:rPr>
        <w:footnoteReference w:id="8"/>
      </w:r>
      <w:r w:rsidRPr="00BA64FE">
        <w:t>,</w:t>
      </w:r>
    </w:p>
    <w:p w14:paraId="2D33F2EF" w14:textId="0B680928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 2014/59/EU irányelvnek a korai beavatkozási intézkedések, a szanálási feltételek és a szanálási intézkedések finanszírozása tekintetében történő módosításáról szóló európai parlamenti és tanácsi irányelvre irányuló javaslatról szóló, 2024. április 24-i első olvasatbeli álláspontjára</w:t>
      </w:r>
      <w:r w:rsidR="00815475" w:rsidRPr="00BA64FE">
        <w:rPr>
          <w:rStyle w:val="FootnoteReference"/>
        </w:rPr>
        <w:footnoteReference w:id="9"/>
      </w:r>
    </w:p>
    <w:p w14:paraId="3CFB9590" w14:textId="151DD3CD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 xml:space="preserve">tekintettel a 2014/49/EU irányelvnek a betétvédelem hatóköre, a betétbiztosítási rendszerek pénzeszközeinek felhasználása, a határokon átnyúló együttműködés és az </w:t>
      </w:r>
      <w:r w:rsidRPr="00BA64FE">
        <w:lastRenderedPageBreak/>
        <w:t>átláthatóság tekintetében történő módosításáról szóló európai parlamenti és tanácsi irányelvre irányuló javaslatról szóló, 2024. április 24-i első olvasatbeli álláspontjára</w:t>
      </w:r>
      <w:r w:rsidR="00815475" w:rsidRPr="00BA64FE">
        <w:rPr>
          <w:rStyle w:val="FootnoteReference"/>
        </w:rPr>
        <w:footnoteReference w:id="10"/>
      </w:r>
      <w:r w:rsidRPr="00BA64FE">
        <w:t>,</w:t>
      </w:r>
    </w:p>
    <w:p w14:paraId="1AA58DE1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Gazdasági és Monetáris Bizottságának a 806/2014/EU rendeletnek az európai betétbiztosítási rendszer (EDIS) létrehozása érdekében történő módosításáról szóló európai parlamenti és tanácsi rendeletre irányuló javaslatról szóló, 2024. április 23-i állásfoglalására,</w:t>
      </w:r>
    </w:p>
    <w:p w14:paraId="5C40BF09" w14:textId="2B501CB2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 „Megtakarítási és beruházási unió – Stratégia a polgárok vagyonának és az EU gazdasági versenyképességének növelésére” című bizottsági közleményre (</w:t>
      </w:r>
      <w:proofErr w:type="gramStart"/>
      <w:r w:rsidRPr="00BA64FE">
        <w:t>COM(</w:t>
      </w:r>
      <w:proofErr w:type="gramEnd"/>
      <w:r w:rsidRPr="00BA64FE">
        <w:t>2025)0124),</w:t>
      </w:r>
    </w:p>
    <w:p w14:paraId="3AEDB55B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Enrico Letta „Much more more than a market – Speed, security, solidarity: empowering the Single Market for a sustainable future and prosperity for the EU citizens” („Jóval több mint piac – Sebesség, biztonság, szolidaritás – Az egységes piac képessé tétele arra, hogy fenntartható jövőt és jólétet teremtsen valamennyi uniós polgár számára”) című, 2024. április 10-i jelentésére,</w:t>
      </w:r>
    </w:p>
    <w:p w14:paraId="4C532BEA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Mario Draghi „Az európai versenyképesség jövője” című, 2024. szeptember 9-i jelentésére,</w:t>
      </w:r>
    </w:p>
    <w:p w14:paraId="2DC89144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eurócsoportnak a tőkepiaci unió jövőjéről szóló, 2024. március 11-i nyilatkozatára, valamint az eurócsoportnak a bankunió jövőjéről szóló, 2022. június 16-i nyilatkozatára, és annak az eurócsoport általi 2023. április 28-i nyomon követésére,</w:t>
      </w:r>
    </w:p>
    <w:p w14:paraId="0279AEB4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 Bázeli Bankfelügyeleti Bizottság „A kriptoeszköz-kitettségek közzététele” és „A kriptoeszközökre vonatkozó standard módosításai” című, 2024. július 17-én közzétett kiadványaira,</w:t>
      </w:r>
    </w:p>
    <w:p w14:paraId="112FF06E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 Bázeli Bankfelügyeleti Bizottság „A hatékony bankfelügyelet alapelvei” című, 2024. április 25-i kiadványára,</w:t>
      </w:r>
    </w:p>
    <w:p w14:paraId="772778E9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EKB 2025. november 17-i pénzügyi stabilitási áttekintésére,</w:t>
      </w:r>
    </w:p>
    <w:p w14:paraId="40568864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 Pénzügyi Stabilitási Tanács 2015. november 9-i, „A globálisan rendszerszinten jelentős bankok veszteségviselő és feltőkésítési képességére vonatkozó elvek” című kiadványára,</w:t>
      </w:r>
    </w:p>
    <w:p w14:paraId="52BB4702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 Pénzügyi Stabilitási Tanács 2023. október 10-i, „2023 Bank Failures: Preliminary lessons learnt for resolution” [2023. évi bankcsődök: A szanáláshoz szükséges előzetes tanulságok] című jelentésére,</w:t>
      </w:r>
    </w:p>
    <w:p w14:paraId="759FFA08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egységes felügyeleti mechanizmus (SSM) 2025–2027-es időszakra vonatkozó felügyeleti prioritásaira,</w:t>
      </w:r>
    </w:p>
    <w:p w14:paraId="1547EABD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ESZT-nek az eurócsoporthoz intézett, 2025. novemberi kétéves jelentésére,</w:t>
      </w:r>
    </w:p>
    <w:p w14:paraId="03050272" w14:textId="77777777" w:rsidR="00F347A4" w:rsidRPr="00BA64FE" w:rsidRDefault="00F347A4" w:rsidP="00815475">
      <w:pPr>
        <w:pStyle w:val="NormalHanging"/>
        <w:ind w:left="567" w:hanging="567"/>
      </w:pPr>
      <w:r w:rsidRPr="00BA64FE">
        <w:lastRenderedPageBreak/>
        <w:t>–</w:t>
      </w:r>
      <w:r w:rsidRPr="00BA64FE">
        <w:tab/>
        <w:t>tekintettel a Bázeli Bankfelügyeleti Bizottság „Bankok összekapcsolása nem banki pénzügyi közvetítőkkel” című, 2025. július 10-i jelentésére,</w:t>
      </w:r>
    </w:p>
    <w:p w14:paraId="723B8236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Európai Bankhatóság 2025. decemberében közzétett, 2025. évi uniós szintű átláthatósági vizsgálatának eredményére,</w:t>
      </w:r>
    </w:p>
    <w:p w14:paraId="6FFF57AA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Európai Számvevőszék „A bankok hitelkockázatának uniós felügyelete – Az EKB erőteljesebben lépett fel, de a hitelkockázat megfelelő kezelésével és fedezetével kapcsolatos bizonyosság növeléséhez még többre van szükség” című, 2023. május 12-i 12/2023. sz. különjelentésére,</w:t>
      </w:r>
    </w:p>
    <w:p w14:paraId="31D303E1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EKB felügyeleti testületének elnöke, Claudia Bach által a Parlament Gazdasági és Monetáris Bizottságában lefolytatott 2025. március 27-i, 2025. július 15-i és 2025. november 5-i meghallgatásokon tett nyilatkozatokra,</w:t>
      </w:r>
    </w:p>
    <w:p w14:paraId="0748909B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ESZT elnöke, Dominique Laboureix által a Parlament Gazdasági és Monetáris Bizottságában lefolytatott 2025. március 3-i, 2025. július 15-i és 2025. november 5-i meghallgatásokon tett nyilatkozatokra,</w:t>
      </w:r>
    </w:p>
    <w:p w14:paraId="05E030D3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Európai Bankhatóság 2025. júniusi kockázatértékelési jelentéseire,</w:t>
      </w:r>
    </w:p>
    <w:p w14:paraId="04BDD012" w14:textId="6317BDA8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uniós gazdasági és monetáris ügyekkel kapcsolatos pozíciók jelöltjei közötti nemi egyensúlyról szóló, 2019. március 14-i állásfoglalására</w:t>
      </w:r>
      <w:r w:rsidR="00815475" w:rsidRPr="00BA64FE">
        <w:rPr>
          <w:rStyle w:val="FootnoteReference"/>
        </w:rPr>
        <w:footnoteReference w:id="11"/>
      </w:r>
      <w:r w:rsidRPr="00BA64FE">
        <w:t>,</w:t>
      </w:r>
    </w:p>
    <w:p w14:paraId="00E3E59C" w14:textId="44ADC2D1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az euro nemzetközi szerepének megerősítéséről szóló, 2021. március 25-i állásfoglalására</w:t>
      </w:r>
      <w:r w:rsidR="00815475" w:rsidRPr="00BA64FE">
        <w:rPr>
          <w:rStyle w:val="FootnoteReference"/>
        </w:rPr>
        <w:footnoteReference w:id="12"/>
      </w:r>
    </w:p>
    <w:p w14:paraId="41EC4573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eljárási szabályzata 55. cikkére,</w:t>
      </w:r>
    </w:p>
    <w:p w14:paraId="203113F6" w14:textId="77777777" w:rsidR="00F347A4" w:rsidRPr="00BA64FE" w:rsidRDefault="00F347A4" w:rsidP="00815475">
      <w:pPr>
        <w:pStyle w:val="NormalHanging"/>
        <w:ind w:left="567" w:hanging="567"/>
      </w:pPr>
      <w:r w:rsidRPr="00BA64FE">
        <w:t>–</w:t>
      </w:r>
      <w:r w:rsidRPr="00BA64FE">
        <w:tab/>
        <w:t>tekintettel a Gazdasági és Monetáris Bizottság jelentésére (A10-0079/2026),</w:t>
      </w:r>
    </w:p>
    <w:p w14:paraId="15D798BD" w14:textId="77777777" w:rsidR="00F347A4" w:rsidRPr="00BA64FE" w:rsidRDefault="00F347A4" w:rsidP="00815475">
      <w:pPr>
        <w:pStyle w:val="NormalHanging"/>
        <w:ind w:left="567" w:hanging="567"/>
      </w:pPr>
      <w:r w:rsidRPr="00BA64FE">
        <w:t>A.</w:t>
      </w:r>
      <w:r w:rsidRPr="00BA64FE">
        <w:tab/>
        <w:t>mivel a bankunió célja a banki stabilitás és ezáltal a pénzügyi rendszer megőrzése, az adófizetők által finanszírozott mentőcsomagok elkerülése, a reziliencia megerősítése, a rendezett szanálás lehetővé tétele, a piac széttagoltságának csökkentése, a betétesek védelmének javítása, valamint a versenyképesség, a határokon átnyúló tevékenység és a finanszírozáshoz való hozzáférés fokozása, ezáltal csökkentve a bankok ügyfeleire háruló költségeket; mivel a bankok szolgáltatásai fontosak a polgárok és a vállalkozások számára; mivel az EU banki környezete és különböző banki struktúrái sokszínűek; mivel a „túl nagy a csődhöz” kockázatát nem kezelték teljes mértékben;</w:t>
      </w:r>
    </w:p>
    <w:p w14:paraId="0B0B525F" w14:textId="77777777" w:rsidR="00F347A4" w:rsidRPr="00BA64FE" w:rsidRDefault="00F347A4" w:rsidP="00815475">
      <w:pPr>
        <w:pStyle w:val="NormalHanging"/>
        <w:ind w:left="567" w:hanging="567"/>
      </w:pPr>
      <w:r w:rsidRPr="00BA64FE">
        <w:t>B.</w:t>
      </w:r>
      <w:r w:rsidRPr="00BA64FE">
        <w:tab/>
        <w:t>mivel a bankunió célja a bankok stabilitásának és jövőbeli pénzügyi válságokkal szembeni ellenálló képességének előmozdítása; mivel a csődközeli helyzetbe került bankok szanálásának biztosítása az adófizetők pénzének felhasználása nélkül, a reálgazdaságra gyakorolt minimális hatás mellett történik, és a piac széttagoltságának csökkentése a pénzügyi ágazatra vonatkozó harmonizált szabályok létrehozásával zajlik;</w:t>
      </w:r>
    </w:p>
    <w:p w14:paraId="4C63B378" w14:textId="77777777" w:rsidR="00F347A4" w:rsidRPr="00BA64FE" w:rsidRDefault="00F347A4" w:rsidP="00815475">
      <w:pPr>
        <w:pStyle w:val="NormalHanging"/>
        <w:ind w:left="567" w:hanging="567"/>
      </w:pPr>
      <w:r w:rsidRPr="00BA64FE">
        <w:lastRenderedPageBreak/>
        <w:t>C.</w:t>
      </w:r>
      <w:r w:rsidRPr="00BA64FE">
        <w:tab/>
        <w:t>mivel az erős és diverzifikált bankszektor kulcsfontosságú a gazdasági növekedés megvalósításához, a kis- és középvállalkozások (kkv-k) és az induló vállalkozások finanszírozásához, valamint a zöld és digitális gazdaságra való átállás biztosításához;</w:t>
      </w:r>
    </w:p>
    <w:p w14:paraId="27E8DBD6" w14:textId="77777777" w:rsidR="00F347A4" w:rsidRPr="00BA64FE" w:rsidRDefault="00F347A4" w:rsidP="00815475">
      <w:pPr>
        <w:pStyle w:val="NormalHanging"/>
        <w:ind w:left="567" w:hanging="567"/>
      </w:pPr>
      <w:r w:rsidRPr="00BA64FE">
        <w:t>D.</w:t>
      </w:r>
      <w:r w:rsidRPr="00BA64FE">
        <w:tab/>
        <w:t>mivel az egységes felügyeleti mechanizmusból és az egységes szanálási mechanizmusból álló bankunió összehangolja a felügyeletet a válságkezeléssel, és magas szintű betétvédelmet biztosít, de nem teljes az európai betétbiztosítási rendszer nélkül;</w:t>
      </w:r>
    </w:p>
    <w:p w14:paraId="2B466108" w14:textId="77777777" w:rsidR="00F347A4" w:rsidRPr="00BA64FE" w:rsidRDefault="00F347A4" w:rsidP="00815475">
      <w:pPr>
        <w:pStyle w:val="NormalHanging"/>
        <w:ind w:left="567" w:hanging="567"/>
      </w:pPr>
      <w:r w:rsidRPr="00BA64FE">
        <w:t>E.</w:t>
      </w:r>
      <w:r w:rsidRPr="00BA64FE">
        <w:tab/>
        <w:t>mivel a kiteljesített bankunió pozitív fejlemény lenne a polgárok és az uniós gazdaság számára, amely alapot biztosítana egy stabilabb bankrendszerhez, a rendszerszintű kockázat csökkentéséhez, a fokozott versenyhez, a fogyasztói választási lehetőségek javulásához, a határokon átnyúló banki szolgáltatások és a lakossági pénzügyi szolgáltatásokhoz való hozzáférés lehetőségeinek bővüléséhez, a nagyobb mértékű gazdasági beruházásokhoz, a háztartások és a vállalkozások finanszírozáshoz való jobb hozzáféréséhez, valamint a banki ügyfelek költségeinek csökkentéséhez;</w:t>
      </w:r>
    </w:p>
    <w:p w14:paraId="460543E7" w14:textId="77777777" w:rsidR="00F347A4" w:rsidRPr="00BA64FE" w:rsidRDefault="00F347A4" w:rsidP="00815475">
      <w:pPr>
        <w:pStyle w:val="NormalHanging"/>
        <w:ind w:left="567" w:hanging="567"/>
      </w:pPr>
      <w:r w:rsidRPr="00BA64FE">
        <w:t>F.</w:t>
      </w:r>
      <w:r w:rsidRPr="00BA64FE">
        <w:tab/>
        <w:t>mivel a nem banki pénzügyi közvetítők (NBFI-k vagy „árnyékbankok”) továbbra is kívül maradnak a bankunió struktúráján, ami kiszolgáltatottá teszi az uniós bankszektort a kockázatokkal szemben;</w:t>
      </w:r>
    </w:p>
    <w:p w14:paraId="530AC025" w14:textId="77777777" w:rsidR="00F347A4" w:rsidRPr="00BA64FE" w:rsidRDefault="00F347A4" w:rsidP="00815475">
      <w:pPr>
        <w:pStyle w:val="NormalHanging"/>
        <w:ind w:left="567" w:hanging="567"/>
      </w:pPr>
      <w:r w:rsidRPr="00BA64FE">
        <w:t>G.</w:t>
      </w:r>
      <w:r w:rsidRPr="00BA64FE">
        <w:tab/>
        <w:t>mivel a pénzügyi stabilitás a hatékony monetáris politika és a reziliens pénzügyi rendszer előfeltétele; mivel az EU már megállapodott a Bázel III keret végrehajtásáról, és a Bázel III standardokat az uniós bankrendszer versenyképessége, valamint a nemzetközi fejlemények figyelembevételével kell végrehajtania;</w:t>
      </w:r>
    </w:p>
    <w:p w14:paraId="5E7A335E" w14:textId="77777777" w:rsidR="00F347A4" w:rsidRPr="00BA64FE" w:rsidRDefault="00F347A4" w:rsidP="00815475">
      <w:pPr>
        <w:pStyle w:val="NormalHanging"/>
        <w:ind w:left="567" w:hanging="567"/>
      </w:pPr>
      <w:r w:rsidRPr="00BA64FE">
        <w:t>H.</w:t>
      </w:r>
      <w:r w:rsidRPr="00BA64FE">
        <w:tab/>
        <w:t>mivel az Ukrajna elleni orosz agresszió és annak gazdasági és társadalmi következményei továbbra is közvetlen és közvetett hatással vannak és lesznek az uniós bankszektorra; mivel az uniós bankok kulcsszerepet játszanak az EU által Oroszországgal szemben az invázióra válaszul kiszabott szankciók folyamatos végrehajtásának és betartásának biztosításában;</w:t>
      </w:r>
    </w:p>
    <w:p w14:paraId="11117485" w14:textId="77777777" w:rsidR="00F347A4" w:rsidRPr="00BA64FE" w:rsidRDefault="00F347A4" w:rsidP="00815475">
      <w:pPr>
        <w:pStyle w:val="NormalHanging"/>
        <w:ind w:left="567" w:hanging="567"/>
      </w:pPr>
      <w:r w:rsidRPr="00BA64FE">
        <w:t>I.</w:t>
      </w:r>
      <w:r w:rsidRPr="00BA64FE">
        <w:tab/>
        <w:t>mivel a bankunió egyik fő célkitűzése, hogy bankcsőd esetén ne az adófizetők állják a korrekciós intézkedések költségeit;</w:t>
      </w:r>
    </w:p>
    <w:p w14:paraId="65AFBDD9" w14:textId="77777777" w:rsidR="00F347A4" w:rsidRPr="00BA64FE" w:rsidRDefault="00F347A4" w:rsidP="00815475">
      <w:pPr>
        <w:pStyle w:val="NormalHanging"/>
        <w:ind w:left="567" w:hanging="567"/>
      </w:pPr>
      <w:r w:rsidRPr="00BA64FE">
        <w:t>J.</w:t>
      </w:r>
      <w:r w:rsidRPr="00BA64FE">
        <w:tab/>
        <w:t>mivel az éghajlatváltozás, a környezetkárosodás és az alacsony szén-dioxid-kibocsátású gazdaságra való átállás kockázatot jelenthet a pénzügyi stabilitásra nézve, és olyan tényezők, amelyeket figyelembe lehet venni a bankokat érintő kockázatok értékelésekor;</w:t>
      </w:r>
    </w:p>
    <w:p w14:paraId="22131C21" w14:textId="77777777" w:rsidR="00F347A4" w:rsidRPr="00BA64FE" w:rsidRDefault="00F347A4" w:rsidP="00815475">
      <w:pPr>
        <w:pStyle w:val="NormalHanging"/>
        <w:ind w:left="567" w:hanging="567"/>
      </w:pPr>
      <w:r w:rsidRPr="00BA64FE">
        <w:t>K.</w:t>
      </w:r>
      <w:r w:rsidRPr="00BA64FE">
        <w:tab/>
        <w:t>mivel a digitális euró fokozná az uniós fizetések hatékonyságát, rezilienciáját, a pénzügyi befogadást, az innovációt, a közbizalmat és az euró nemzetközi szerepét;</w:t>
      </w:r>
    </w:p>
    <w:p w14:paraId="522ADFD9" w14:textId="77777777" w:rsidR="00F347A4" w:rsidRPr="00BA64FE" w:rsidRDefault="00F347A4" w:rsidP="00815475">
      <w:pPr>
        <w:pStyle w:val="NormalHanging"/>
        <w:ind w:left="567" w:hanging="567"/>
      </w:pPr>
      <w:r w:rsidRPr="00BA64FE">
        <w:t>L.</w:t>
      </w:r>
      <w:r w:rsidRPr="00BA64FE">
        <w:tab/>
        <w:t>mivel az uniós bankok 2022 óta rekordnyereséget könyveltek el a monetáris szigorítási politikák késleltetett begyűrűzésének köszönhetően; mivel számos tagállam ideiglenes banki illetékeket vezetett be a méltányos hozzájárulás biztosítása érdekében, a stabilitás és a társadalmi kohézió megőrzése mellett;</w:t>
      </w:r>
    </w:p>
    <w:p w14:paraId="51DA7B12" w14:textId="77777777" w:rsidR="00F347A4" w:rsidRPr="00BA64FE" w:rsidRDefault="00F347A4" w:rsidP="00815475">
      <w:pPr>
        <w:pStyle w:val="NormalHanging"/>
        <w:ind w:left="567" w:hanging="567"/>
      </w:pPr>
      <w:r w:rsidRPr="00BA64FE">
        <w:t>M.</w:t>
      </w:r>
      <w:r w:rsidRPr="00BA64FE">
        <w:tab/>
        <w:t xml:space="preserve">mivel az európai megtakarítási és beruházási unióról szóló, 2025. márciusi közleményében a Bizottság kötelezettséget vállal arra, hogy „döntő lépéseket tesz a bankunió továbbfejlesztése érdekében, többek között azáltal, hogy meghatározza az </w:t>
      </w:r>
      <w:r w:rsidRPr="00BA64FE">
        <w:lastRenderedPageBreak/>
        <w:t>európai betétbiztosítási rendszerrel kapcsolatos további lépéseket”, de azóta még mindig nem terjesztett elő javaslatot a bankunió kiteljesítésével kapcsolatban;</w:t>
      </w:r>
    </w:p>
    <w:p w14:paraId="45B04951" w14:textId="77777777" w:rsidR="00F347A4" w:rsidRPr="00BA64FE" w:rsidRDefault="00F347A4" w:rsidP="00815475">
      <w:pPr>
        <w:pStyle w:val="NormalHanging"/>
        <w:ind w:left="567" w:hanging="567"/>
      </w:pPr>
      <w:r w:rsidRPr="00BA64FE">
        <w:t>N.</w:t>
      </w:r>
      <w:r w:rsidRPr="00BA64FE">
        <w:tab/>
        <w:t>mivel a bankok gazdaságunk alapvető pillérei és a bankszektor a stratégiailag legfontosabb ágazatok közé tartozik; mivel a stabilitás, a reziliencia és a versenyképesség alapvető fontosságú annak biztosításához, hogy a pénzügyi rendszer alkalmazkodni tudjon a globális kihívásokhoz, elő tudja mozdítani az innovációt, és hatékonyan ki tudja elégíteni a vállalkozások és a polgárok igényeit;</w:t>
      </w:r>
    </w:p>
    <w:p w14:paraId="16F971DC" w14:textId="77777777" w:rsidR="00F347A4" w:rsidRPr="00BA64FE" w:rsidRDefault="00F347A4" w:rsidP="00815475">
      <w:pPr>
        <w:pStyle w:val="NormalHanging"/>
        <w:ind w:left="567" w:hanging="567"/>
      </w:pPr>
      <w:r w:rsidRPr="00BA64FE">
        <w:t>O.</w:t>
      </w:r>
      <w:r w:rsidRPr="00BA64FE">
        <w:tab/>
        <w:t>mivel az elektronikuspénz-tokeneket egyre gyakrabban használják, és a bankunión belül egyre szorosabban összekapcsolódnak a bankokkal;</w:t>
      </w:r>
    </w:p>
    <w:p w14:paraId="7A91B8B2" w14:textId="77777777" w:rsidR="00F347A4" w:rsidRPr="00BA64FE" w:rsidRDefault="00F347A4" w:rsidP="00815475">
      <w:pPr>
        <w:pStyle w:val="Normal12a"/>
        <w:ind w:left="567" w:hanging="567"/>
      </w:pPr>
      <w:r w:rsidRPr="00BA64FE">
        <w:rPr>
          <w:b/>
          <w:i/>
        </w:rPr>
        <w:t xml:space="preserve">Általános szempontok </w:t>
      </w:r>
    </w:p>
    <w:p w14:paraId="43677236" w14:textId="77777777" w:rsidR="00F347A4" w:rsidRPr="00BA64FE" w:rsidRDefault="00F347A4" w:rsidP="00815475">
      <w:pPr>
        <w:pStyle w:val="NormalHanging12a"/>
        <w:ind w:left="567" w:hanging="567"/>
      </w:pPr>
      <w:r w:rsidRPr="00BA64FE">
        <w:t>1.</w:t>
      </w:r>
      <w:r w:rsidRPr="00BA64FE">
        <w:tab/>
        <w:t>üdvözli az egységes felügyeleti mechanizmus és az egységes szanálási mechanizmus terén az elmúlt évtizedben elért haladást; felszólít a bankunió teljes körű és gyors kiteljesítésére, beleértve a harmadik pillére, az európai betétbiztosítási rendszer létrehozásával kapcsolatos munka folytatását, valamint a piaci integráció elmélyítésére és a tőke és a likviditás bankcsoportokon belüli hatékony áramlásának megkönnyítésére irányuló intézkedéseket; hangsúlyozza, hogy a bankuniónak egy inkluzívabb, versenyképesebb és fenntarthatóbb pénzügyi rendszert kell támogatnia, amely összhangban van a társadalmi kohézióval és a zöld és digitális kettős átállással;</w:t>
      </w:r>
    </w:p>
    <w:p w14:paraId="72954AAB" w14:textId="77777777" w:rsidR="00F347A4" w:rsidRPr="00BA64FE" w:rsidRDefault="00F347A4" w:rsidP="00815475">
      <w:pPr>
        <w:pStyle w:val="NormalHanging12a"/>
        <w:ind w:left="567" w:hanging="567"/>
      </w:pPr>
      <w:r w:rsidRPr="00BA64FE">
        <w:t>2.</w:t>
      </w:r>
      <w:r w:rsidRPr="00BA64FE">
        <w:tab/>
        <w:t>felhívja a Bizottságot, hogy kezelje prioritásként a bankunió, valamint a megtakarítási és beruházási unió kiteljesítését; kiemeli ezek fontosságát a polgárok, a kkv-k és a reálgazdaság számára a reziliencia, a fenntartható jólét, a minőségi munkahelyek és a pénzügyi stabilitás előmozdítása révén; hangsúlyozza, hogy egy integráltabb bankunió támogatná az európai bankok növekedését és versenyképességét; hangsúlyozza, hogy egyértelmű szabályokon és kötelezettségeken alapuló, erős és szilárd keretre van szükség, amely megakadályozza a bankostromokat, fokozza a pénzügyi stabilitást és a versenyképességet, és megerősíti az uniós bankszektort; hangsúlyozza, hogy a tőkepiaci unió kiteljesítése a bankunió fejlesztésével párhuzamosan hozzájárul az európai gazdaság finanszírozása terén jobb feltételek biztosításához, mind a háztartások, mind a vállalkozások szempontjából, amelyek a beruházások és a munkahelyteremtés előmozdítása tekintetében még mindig nagymértékben a banki hitelekre támaszkodnak, hozzájárulva az európai gazdaság rezilienciájához is;</w:t>
      </w:r>
    </w:p>
    <w:p w14:paraId="645E8625" w14:textId="77777777" w:rsidR="00F347A4" w:rsidRPr="00BA64FE" w:rsidRDefault="00F347A4" w:rsidP="00815475">
      <w:pPr>
        <w:pStyle w:val="NormalHanging12a"/>
        <w:ind w:left="567" w:hanging="567"/>
      </w:pPr>
      <w:r w:rsidRPr="00BA64FE">
        <w:t>3.</w:t>
      </w:r>
      <w:r w:rsidRPr="00BA64FE">
        <w:tab/>
        <w:t>kiemeli, hogy a háztartások és a kkv-k számára a tagállamokban kínált kamatlábak rendkívül eltérőek; ösztönzi a Bizottságot, hogy mérlegeljen olyan intézkedéseket, amelyek biztosítják, hogy javítani lehessen minden polgár és vállalkozás finanszírozáshoz való hozzáférését, különösen a kkv-k esetében, amelyeknek sürgősen tőkére van szükségük tisztességes és versenyképes kamatlábak mellett;</w:t>
      </w:r>
    </w:p>
    <w:p w14:paraId="194D1562" w14:textId="6763F9A2" w:rsidR="00F347A4" w:rsidRPr="00BA64FE" w:rsidRDefault="00F347A4" w:rsidP="00815475">
      <w:pPr>
        <w:pStyle w:val="NormalHanging12a"/>
        <w:ind w:left="567" w:hanging="567"/>
      </w:pPr>
      <w:r w:rsidRPr="00BA64FE">
        <w:t>4.</w:t>
      </w:r>
      <w:r w:rsidRPr="00BA64FE">
        <w:tab/>
        <w:t xml:space="preserve">hangsúlyozza a bankszektor szerepét a kettős átállás finanszírozásában; hangsúlyozza, hogy az EU fenntartható finanszírozási keretén belül egyszerűsítési törekvéseket folytatnak a koherencia biztosítása, a párhuzamosságok csökkentése és a banki, közzétételi és kockázatkezelési szabályok összehangolása érdekében; felhívja a figyelmet az Európai Biztosítás- és Foglalkoztatóinyugdíj-hatóságnak a meg nem térülő eszközökre vonatkozó magasabb tőkekövetelmények meghatározására irányuló ajánlására; </w:t>
      </w:r>
    </w:p>
    <w:p w14:paraId="3D39FF35" w14:textId="77777777" w:rsidR="00F347A4" w:rsidRPr="00BA64FE" w:rsidRDefault="00F347A4" w:rsidP="00815475">
      <w:pPr>
        <w:pStyle w:val="NormalHanging12a"/>
        <w:ind w:left="567" w:hanging="567"/>
      </w:pPr>
      <w:r w:rsidRPr="00BA64FE">
        <w:lastRenderedPageBreak/>
        <w:t>5.</w:t>
      </w:r>
      <w:r w:rsidRPr="00BA64FE">
        <w:tab/>
        <w:t>sajnálja, hogy a határokon átnyúló lakossági banki szolgáltatások továbbra is akadályokba ütköznek; hangsúlyozza az integrált bankunióban rejlő potenciált a verseny és a fogyasztói választási lehetőségek javítása érdekében a lakossági banki szolgáltatások területén, többek között a határokon átnyúló lakossági banki szolgáltatások nyújtására vonatkozó lehetőségek javítása révén;</w:t>
      </w:r>
    </w:p>
    <w:p w14:paraId="75006D57" w14:textId="77777777" w:rsidR="00F347A4" w:rsidRPr="00BA64FE" w:rsidRDefault="00F347A4" w:rsidP="00815475">
      <w:pPr>
        <w:pStyle w:val="NormalHanging12a"/>
        <w:ind w:left="567" w:hanging="567"/>
      </w:pPr>
      <w:r w:rsidRPr="00BA64FE">
        <w:t>6.</w:t>
      </w:r>
      <w:r w:rsidRPr="00BA64FE">
        <w:tab/>
        <w:t>elismeri az online és offline digitális euróval kapcsolatos tárgyalások terén tett előrelépést; üdvözli a digitális euróban rejlő azon lehetőségeket, hogy kiegészítheti és megőrizheti a készpénzt, miközben erősíti az EU pénzügyi szuverenitását és autonómiáját, és hozzájárul a pénzügyi inkluzivitáshoz; üdvözli a Tanács digitális euróra vonatkozó általános megközelítésének 2025. decemberi véglegesítését, és lényegesnek tartja, hogy a Parlamentet a lehető leghamarabb véglegesítse saját álláspontját;</w:t>
      </w:r>
    </w:p>
    <w:p w14:paraId="2C6FA1AF" w14:textId="2DAB668E" w:rsidR="00F347A4" w:rsidRPr="00BA64FE" w:rsidRDefault="00F347A4" w:rsidP="00815475">
      <w:pPr>
        <w:pStyle w:val="NormalHanging12a"/>
        <w:ind w:left="567" w:hanging="567"/>
      </w:pPr>
      <w:r w:rsidRPr="00BA64FE">
        <w:t>7.</w:t>
      </w:r>
      <w:r w:rsidRPr="00BA64FE">
        <w:tab/>
        <w:t>úgy ítéli meg, hogy a nemek közötti egyenlőség terén csak korlátozott az előrelépés a pénzügyi intézményekben, különösen a vezetésben; hangsúlyozza, hogy a nők által vezetett vállalkozások sokszínű vezetése és finanszírozáshoz való jobb hozzáférése javítja az irányítást, az innovációt és a gazdasági teljesítményt</w:t>
      </w:r>
      <w:r w:rsidR="00815475" w:rsidRPr="00BA64FE">
        <w:rPr>
          <w:rStyle w:val="FootnoteReference"/>
        </w:rPr>
        <w:footnoteReference w:id="13"/>
      </w:r>
      <w:r w:rsidRPr="00BA64FE">
        <w:t>; felhívja a pénzügyi intézményeket, az érdekelt feleket, a Bizottságot és a tagállamokat, hogy fogadjanak el hatékony sokszínűségi stratégiákat, kövessék nyomon a nemek közötti különbségeket, és építsék be a nemek közötti egyenlőséget a felügyeleti és beruházási keretekbe az inkluzív tőkéhez való hozzáférés Unió-szerte történő biztosítása érdekében; emlékeztet a Parlament azon álláspontjára, hogy a jövőbeli jelöltek esetében nemi szempontból kiegyensúlyozott szűkített listákat kell fenntartani és előnyben részesíteni; hangsúlyozza, hogy biztosítani kell a nemek közötti egyensúlyt a vezetőség minden szintjén azoknál az uniós intézményeknél és szerveknél, amelyek felelősek a bankunióért;</w:t>
      </w:r>
    </w:p>
    <w:p w14:paraId="519A92CF" w14:textId="1B22246B" w:rsidR="00F347A4" w:rsidRPr="00BA64FE" w:rsidRDefault="00F347A4" w:rsidP="00815475">
      <w:pPr>
        <w:pStyle w:val="NormalHanging12a"/>
        <w:ind w:left="567" w:hanging="567"/>
      </w:pPr>
      <w:r w:rsidRPr="00BA64FE">
        <w:t>8.</w:t>
      </w:r>
      <w:r w:rsidRPr="00BA64FE">
        <w:tab/>
        <w:t>megjegyzi, hogy az EKB kamatemeléseit követően jelentősen javult az uniós bankok jövedelmezősége és ellenálló képessége</w:t>
      </w:r>
      <w:r w:rsidR="00815475" w:rsidRPr="00BA64FE">
        <w:rPr>
          <w:rStyle w:val="FootnoteReference"/>
        </w:rPr>
        <w:footnoteReference w:id="14"/>
      </w:r>
      <w:r w:rsidRPr="00BA64FE">
        <w:t>, és 2025-ben is magas maradt; hangsúlyozza, hogy ez a jövedelmezőség és reziliencia elősegítheti az uniós gazdaságba irányuló alapvető beruházásokat és a háztartások és a vállalatok, különösen a kkv-k és az induló innovatív vállalkozások, valamint a fiatal szakemberek finanszírozását; hangsúlyozza a bankok fontos szerepét a kkv-k és a helyi gazdaságok támogatásában, és felhívja a Bizottságot, hogy biztosítsa, hogy minden szabályozás maradjon kockázatérzékeny; hangsúlyozza, hogy az állami támogatásban részesülő intézményeknek szigorú feltételekkel kell működniük az osztalékok, a visszavásárlások és a változó javadalmazás tekintetében;</w:t>
      </w:r>
    </w:p>
    <w:p w14:paraId="31FF000B" w14:textId="77777777" w:rsidR="00F347A4" w:rsidRPr="00BA64FE" w:rsidRDefault="00F347A4" w:rsidP="00815475">
      <w:pPr>
        <w:pStyle w:val="NormalHanging12a"/>
        <w:ind w:left="567" w:hanging="567"/>
      </w:pPr>
      <w:r w:rsidRPr="00BA64FE">
        <w:t>9.</w:t>
      </w:r>
      <w:r w:rsidRPr="00BA64FE">
        <w:tab/>
        <w:t xml:space="preserve">hangsúlyozza, hogy a bankunió megfelelő működése és hitelessége az uniós fogyasztóvédelmi jog bankszektorban való teljes körű tiszteletben tartásától és hatékony érvényesítésétől is függ; kiemeli, hogy a hitelintézeteknek tartózkodniuk kell a tisztességtelen szerződési feltételek és kereskedelmi gyakorlatok alkalmazásától, különösen a jelzáloghitelek és a lakossági hitelezés terén; hangsúlyozza, hogy a fogyasztóknak, köztük a hitelfelvevőknek hatékony védelemben, jogbiztonságban és hatékony jogorvoslathoz való hozzáférésben kell részesülniük; e tekintetben felhívja a </w:t>
      </w:r>
      <w:r w:rsidRPr="00BA64FE">
        <w:lastRenderedPageBreak/>
        <w:t>tagállamokat és az illetékes hatóságokat, hogy jogsértések esetén biztosítsanak szigorú felügyeleti és végrehajtási intézkedéseket; hangsúlyozza továbbá annak fontosságát, hogy megfelelő védelmet biztosítsanak az állandó lakóhelyek számára, különösen a kiszolgáltatott háztartások esetében, figyelembe véve a lakóhely méretét is, valamint azt, hogy a hitelfelvevők már visszafizették-e hitelük jelentős részét, például az eredeti hitel 50%-át;</w:t>
      </w:r>
    </w:p>
    <w:p w14:paraId="1EB16E9B" w14:textId="77777777" w:rsidR="00F347A4" w:rsidRPr="00BA64FE" w:rsidRDefault="00F347A4" w:rsidP="00815475">
      <w:pPr>
        <w:pStyle w:val="NormalHanging12a"/>
        <w:ind w:left="567" w:hanging="567"/>
      </w:pPr>
      <w:r w:rsidRPr="00BA64FE">
        <w:t>10.</w:t>
      </w:r>
      <w:r w:rsidRPr="00BA64FE">
        <w:tab/>
        <w:t>üdvözli az AMLA szerepét a pénzmosás és a terrorizmusfinanszírozás elleni uniós küzdelem megerősítésében; következetes végrehajtásra, megerősített együttműködésre, információmegosztásra és összehangolt végrehajtásra szólít fel az egész EU-ban; hangsúlyozza, hogy hatékony együttműködésre van szükség az AMLA, valamint az európai felügyeleti hatóságok és a prudenciális hatóságok között; hangsúlyozza, hogy az AMLA-nak felügyeleti és szabályozási munkája során tiszteletben kell tartania az arányosság és az együttműködés elvét;</w:t>
      </w:r>
    </w:p>
    <w:p w14:paraId="17ECE429" w14:textId="77777777" w:rsidR="00F347A4" w:rsidRPr="00BA64FE" w:rsidRDefault="00F347A4" w:rsidP="00815475">
      <w:pPr>
        <w:pStyle w:val="NormalHanging12a"/>
        <w:ind w:left="567" w:hanging="567"/>
      </w:pPr>
      <w:r w:rsidRPr="00BA64FE">
        <w:t>11.</w:t>
      </w:r>
      <w:r w:rsidRPr="00BA64FE">
        <w:tab/>
        <w:t>hangsúlyozza, hogy a szilárd, arányos, következetes és időben történő pénzügyi beszámolás létfontosságú a felügyelet és a stabilitás szempontjából; hangsúlyozza a jogbiztonság, a kiszámíthatóság és a stabilitás fontosságát a bankszektor számára, és azt, hogy az egyszerűsítés nem gyengítheti a prudenciális, a rezilienciára, a fogyasztóvédelemre vagy a stabilitásra vonatkozó normákat; kiemeli, hogy további intézkedésekre van szükség, amelyek előmozdítják a digitalizációt és az egyszerűsítést, miközben fenntartják ezeket a normákat; kiegyensúlyozott és integráltabb megközelítést szorgalmaz, többek között standardizált fogalommeghatározásokra épülő központosított adatközpontot, közös adatszótárt és megosztott kérelemadattárat a hatóságok között a szükségtelen bonyolultság visszaszorítása, a feladatok megkettőzésének csökkentése és az adatminőség javítása érdekében, ugyanakkor megőrizve a bankuniós keret szilárdságát;</w:t>
      </w:r>
    </w:p>
    <w:p w14:paraId="75F9C70B" w14:textId="77777777" w:rsidR="00F347A4" w:rsidRPr="00BA64FE" w:rsidRDefault="00F347A4" w:rsidP="00815475">
      <w:pPr>
        <w:pStyle w:val="NormalHanging12a"/>
        <w:ind w:left="567" w:hanging="567"/>
      </w:pPr>
      <w:r w:rsidRPr="00BA64FE">
        <w:t>12.</w:t>
      </w:r>
      <w:r w:rsidRPr="00BA64FE">
        <w:tab/>
        <w:t>elismeri az intézményi és szabályozási fejlődést, amely megerősítette az euróövezeti bankok rezilienciáját; megjegyzi, hogy a pénzügyi szolgáltatások uniós egységes piacában rejlő lehetőségek teljes körű kiaknázása továbbra is jelentős akadályokba ütközik; felhívja a Bizottságot, a tagállamokat és az uniós szerveket, hogy a törekvéseket hangolják össze a megtakarítási és beruházási unió és az egységes piac kiteljesítésére irányuló konkrét lépésekkel, fokozva az egyszerűsítést és a versenyképességet; felhívja a Bizottságot, hogy az uniós bankszektor versenyképességéről szóló 2026. évi jelentésében javasoljon olyan érdemi intézkedéseket, amelyek célja az uniós bankok versenyképességének növelése, megőrizve ugyanakkor a bankok alapvető szerepét az Unió zöld és digitális átállásának megvalósításához szükséges beruházások finanszírozásában;</w:t>
      </w:r>
    </w:p>
    <w:p w14:paraId="0A55DC26" w14:textId="77777777" w:rsidR="00F347A4" w:rsidRPr="00BA64FE" w:rsidRDefault="00F347A4" w:rsidP="00815475">
      <w:pPr>
        <w:pStyle w:val="NormalHanging12a"/>
        <w:ind w:left="567" w:hanging="567"/>
      </w:pPr>
      <w:r w:rsidRPr="00BA64FE">
        <w:t>13.</w:t>
      </w:r>
      <w:r w:rsidRPr="00BA64FE">
        <w:tab/>
        <w:t>hangsúlyozza, hogy tekintettel a jelenlegi geopolitikai bizonytalanságra, a potenciálisan túlértékelt részvénypiacokra és a nem banki (magánhitel-) szektor átláthatatlan hitelezését követő közelmúltbeli egyesült államokbeli zavarokra, a felügyeleteknek előretekintő perspektívát kell fenntartaniuk és megfelelően nyomon kell követniük a kockázatokat, a bankoknak pedig megfelelő tőkepuffereket kell fenntartaniuk, és működési szempontból reziliensnek kell lenniük; e tekintetben kiemeli, hogy javítani kell a nem banki pénzügyi közvetítők felügyeletét és rezilienciáját; kiemeli, hogy az időben bevezetett prudens felügyelet megvédheti az adófizetőket, a betéteseket és a reálgazdaságot a jövőbeli veszteségektől;</w:t>
      </w:r>
    </w:p>
    <w:p w14:paraId="1AEB47B1" w14:textId="77777777" w:rsidR="00F347A4" w:rsidRPr="00BA64FE" w:rsidRDefault="00F347A4" w:rsidP="00815475">
      <w:pPr>
        <w:pStyle w:val="Normal12a"/>
        <w:ind w:left="567" w:hanging="567"/>
      </w:pPr>
      <w:r w:rsidRPr="00BA64FE">
        <w:rPr>
          <w:b/>
          <w:i/>
        </w:rPr>
        <w:t xml:space="preserve">Felügyelet </w:t>
      </w:r>
    </w:p>
    <w:p w14:paraId="4F2A1962" w14:textId="74D51729" w:rsidR="00F347A4" w:rsidRPr="00BA64FE" w:rsidRDefault="00F347A4" w:rsidP="00815475">
      <w:pPr>
        <w:pStyle w:val="NormalHanging12a"/>
        <w:ind w:left="567" w:hanging="567"/>
      </w:pPr>
      <w:r w:rsidRPr="00BA64FE">
        <w:lastRenderedPageBreak/>
        <w:t>14.</w:t>
      </w:r>
      <w:r w:rsidRPr="00BA64FE">
        <w:tab/>
        <w:t>megjegyzi, hogy az egységes felügyeleti mechanizmus részét képező bankok összesített elsődleges alapvető tőkemegfelelési mutatója (CET1) 2025 második negyedévében elérte a 16,12%-ot, 10,11%-os tőkearányos jövedelmezőséggel (ROE), míg a nemteljesítő hitelek (NPL) aránya 2,22%-ra csökkent, a 2. szakaszban nyújtott hitelek aránya pedig 9,59% volt</w:t>
      </w:r>
      <w:r w:rsidR="00815475" w:rsidRPr="00BA64FE">
        <w:rPr>
          <w:rStyle w:val="FootnoteReference"/>
        </w:rPr>
        <w:footnoteReference w:id="15"/>
      </w:r>
      <w:r w:rsidRPr="00BA64FE">
        <w:t>; hangsúlyozza, hogy nyomon kell követni a hitelkockázatot, ugyanakkor fenn kell tartani a bankszektor rezilienciájához szükséges elegendő tőkét és likviditást; kiemeli, hogy ezt a kockázatcsökkentési intézkedések terén elért eredményt nem kísérte arányos előrelépés a kockázatmegosztás terén;</w:t>
      </w:r>
    </w:p>
    <w:p w14:paraId="1D1C9467" w14:textId="77777777" w:rsidR="00F347A4" w:rsidRPr="00BA64FE" w:rsidRDefault="00F347A4" w:rsidP="00815475">
      <w:pPr>
        <w:pStyle w:val="NormalHanging12a"/>
        <w:ind w:left="567" w:hanging="567"/>
      </w:pPr>
      <w:r w:rsidRPr="00BA64FE">
        <w:t>15.</w:t>
      </w:r>
      <w:r w:rsidRPr="00BA64FE">
        <w:tab/>
        <w:t>kiemeli a kedvezőtlen makrogazdasági feltételeket és geopolitikai ellenszelet, amelyek az eszközminőség romlásához vezethetnek;</w:t>
      </w:r>
    </w:p>
    <w:p w14:paraId="6C75F80D" w14:textId="77777777" w:rsidR="00F347A4" w:rsidRPr="00BA64FE" w:rsidRDefault="00F347A4" w:rsidP="00815475">
      <w:pPr>
        <w:pStyle w:val="NormalHanging12a"/>
        <w:ind w:left="567" w:hanging="567"/>
      </w:pPr>
      <w:r w:rsidRPr="00BA64FE">
        <w:t>16.</w:t>
      </w:r>
      <w:r w:rsidRPr="00BA64FE">
        <w:tab/>
        <w:t>megjegyzi, hogy a bankok egyre inkább ki vannak téve a nem banki pénzügyi közvetítőknek (NBFI-k), ami lehetséges kockázatokat eredményez, a likviditástól a partnerkockázatokig, és szorgalmazza az NBFI-ágazat átfogó európai felügyeletét; hangsúlyozza, hogy nemzetközi és uniós szervek többször is kiemelték az árnyékbankszektorból eredő kockázatot, különösen a hagyományos bankszektorral való fokozott összekapcsoltsága miatt; támogatja a rendszerszintű stresszteszteket a fő piacok ellenálló képességének értékelésére; sürgeti a Bizottságot annak vizsgálatára, hogy vannak-e hiányosságok a felügyeleti eszköztárban, beleértve a likviditási és rendszerkockázatokat is, és adott esetben javasoljon intézkedéseket a pénzügyi stabilitás megőrzésére;</w:t>
      </w:r>
    </w:p>
    <w:p w14:paraId="04B9F340" w14:textId="77777777" w:rsidR="00F347A4" w:rsidRPr="00BA64FE" w:rsidRDefault="00F347A4" w:rsidP="00815475">
      <w:pPr>
        <w:pStyle w:val="NormalHanging12a"/>
        <w:ind w:left="567" w:hanging="567"/>
      </w:pPr>
      <w:r w:rsidRPr="00BA64FE">
        <w:t>17.</w:t>
      </w:r>
      <w:r w:rsidRPr="00BA64FE">
        <w:tab/>
        <w:t>üdvözli a Bázel III keret véglegesítését és végrehajtását, amely erősíteni fogja a rezilienciát az EU-ban; megállapítja, hogy más joghatóságok kevésbé ambiciózus végrehajtási menetrendet követnek; hangsúlyozza, hogy egyes más joghatóságokban továbbra sem egyértelmű a Bázel III standardok végrehajtása; emlékeztet arra, hogy az egységes felügyeleti mechanizmus ismételten megállapította, hogy a kereskedési könyv teljes felülvizsgálatának végrehajtása megerősítené az uniós bankok rezilienciáját, és nem ásná alá versenyképességüket; felhívja a Bizottságot, hogy vizsgálja felül az egyenértékűségi határozatokat az említett standardokat nem alkalmazó joghatóságokkal;</w:t>
      </w:r>
    </w:p>
    <w:p w14:paraId="6CB5A0B6" w14:textId="24762160" w:rsidR="00F347A4" w:rsidRPr="00BA64FE" w:rsidRDefault="00F347A4" w:rsidP="00815475">
      <w:pPr>
        <w:pStyle w:val="NormalHanging12a"/>
        <w:ind w:left="567" w:hanging="567"/>
      </w:pPr>
      <w:r w:rsidRPr="00BA64FE">
        <w:t>18.</w:t>
      </w:r>
      <w:r w:rsidRPr="00BA64FE">
        <w:tab/>
        <w:t>tudomásul veszi az EKB azon kiadványát</w:t>
      </w:r>
      <w:r w:rsidR="00815475" w:rsidRPr="00BA64FE">
        <w:rPr>
          <w:rStyle w:val="FootnoteReference"/>
        </w:rPr>
        <w:footnoteReference w:id="16"/>
      </w:r>
      <w:r w:rsidRPr="00BA64FE">
        <w:t>, amely szerint a magas tőkekövetelmények nem vetik vissza a bankok versenyképességét, inkább biztosítják azok rezilienciáját és a gazdaság finanszírozására való képességét a teljes ciklus alatt;</w:t>
      </w:r>
    </w:p>
    <w:p w14:paraId="0EE34461" w14:textId="77777777" w:rsidR="00F347A4" w:rsidRPr="00BA64FE" w:rsidRDefault="00F347A4" w:rsidP="00815475">
      <w:pPr>
        <w:pStyle w:val="NormalHanging12a"/>
        <w:ind w:left="567" w:hanging="567"/>
      </w:pPr>
      <w:r w:rsidRPr="00BA64FE">
        <w:t>19.</w:t>
      </w:r>
      <w:r w:rsidRPr="00BA64FE">
        <w:tab/>
        <w:t xml:space="preserve">sajnálatát fejezi ki amiatt, hogy egyre több bankfiókot zárnak be, ami a kiszolgáltatott helyzetben lévő és periférikus közösségeket érinti; emlékeztet a polgárok alapvető pénzügyi szolgáltatások eléréséhez való jogára; hangsúlyozza a kisebb bankok szerepét a háztartásoknak és a kisvállalkozásoknak nyújtott szolgáltatásokhoz való hozzáférésben; kiemeli, hogy a banki üzleti modellek sokfélesége növeli a pénzügyi rendszer rezilienciáját; elismeri a digitalizáció és a mesterséges intelligencia jelentőségét a bankszektor hatékonyságának megerősítésében; aggodalommal veszi tudomásul azonban, hogy a mesterséges intelligenciával összefüggésben munkahelyek szűntek meg; felhívja a hitelintézeteket, hogy hajtsanak végre átképzési politikákat, és biztosítsák az emberi felügyeletet az automatizált döntésekben; hangsúlyozza, hogy </w:t>
      </w:r>
      <w:r w:rsidRPr="00BA64FE">
        <w:lastRenderedPageBreak/>
        <w:t>meg kell őrizni a munkahelyek minőségét, a tisztességes feltételeket és a méltányos banki hozzáférést;</w:t>
      </w:r>
    </w:p>
    <w:p w14:paraId="3FC30432" w14:textId="77777777" w:rsidR="00F347A4" w:rsidRPr="00BA64FE" w:rsidRDefault="00F347A4" w:rsidP="00815475">
      <w:pPr>
        <w:pStyle w:val="NormalHanging12a"/>
        <w:ind w:left="567" w:hanging="567"/>
      </w:pPr>
      <w:r w:rsidRPr="00BA64FE">
        <w:t>20.</w:t>
      </w:r>
      <w:r w:rsidRPr="00BA64FE">
        <w:tab/>
        <w:t>elismeri a kriptoeszközök jelentette sajátos kockázatokat, ugyanakkor elismeri az általuk kínált lehetőségeket is, például az euróban denominált stabil kriptopénzeket; következetes innovációbarát felügyeletre szólít fel annak biztosítása érdekében, hogy az innováció a közérdeket szolgálja; felhívja az uniós és nemzeti hatóságokat, hogy kövessék nyomon a kitettségeket, kezeljék a kockázatokat, szálljanak szembe a spekulatív magatartással, küzdjenek a pénzügyi bűnözés ellen és védjék a fogyasztókat; hangsúlyozza a globális standardok fontosságát ezen a területen;</w:t>
      </w:r>
    </w:p>
    <w:p w14:paraId="3784CC87" w14:textId="1D09547F" w:rsidR="00F347A4" w:rsidRPr="00BA64FE" w:rsidRDefault="00F347A4" w:rsidP="00815475">
      <w:pPr>
        <w:pStyle w:val="NormalHanging12a"/>
        <w:ind w:left="567" w:hanging="567"/>
      </w:pPr>
      <w:r w:rsidRPr="00BA64FE">
        <w:t>21.</w:t>
      </w:r>
      <w:r w:rsidRPr="00BA64FE">
        <w:tab/>
        <w:t>felhívja a Bizottságot, az EBH-t és a bankunión belüli illetékes nemzeti hatóságokat, hogy az uniós banki alapú pénzügyi stabilitási keret szükséges kiegészítéseként biztosítsák a kriptoeszközök piacairól szóló rendelet</w:t>
      </w:r>
      <w:r w:rsidR="00815475" w:rsidRPr="00BA64FE">
        <w:rPr>
          <w:rStyle w:val="FootnoteReference"/>
        </w:rPr>
        <w:footnoteReference w:id="17"/>
      </w:r>
      <w:r w:rsidRPr="00BA64FE">
        <w:t xml:space="preserve"> szigorú, következetes és pontos végrehajtását és érvényesítését;</w:t>
      </w:r>
    </w:p>
    <w:p w14:paraId="7CA73320" w14:textId="77777777" w:rsidR="00F347A4" w:rsidRPr="00BA64FE" w:rsidRDefault="00F347A4" w:rsidP="00815475">
      <w:pPr>
        <w:pStyle w:val="NormalHanging12a"/>
        <w:ind w:left="567" w:hanging="567"/>
      </w:pPr>
      <w:r w:rsidRPr="00BA64FE">
        <w:t>22.</w:t>
      </w:r>
      <w:r w:rsidRPr="00BA64FE">
        <w:tab/>
        <w:t>tudomásul veszi az uniós bankok számára a harmadik országbeli, több kibocsátót magukban foglaló stabil kriptopénzekből eredő bizonytalanságokat; kiemeli, hogy a joghatóságok közötti szabályozási arbitrázs potenciálisan az uniós bankok megrohanásához vezethet, és tovagyűrűző hatásokkal járhat;</w:t>
      </w:r>
    </w:p>
    <w:p w14:paraId="35615BE5" w14:textId="77777777" w:rsidR="00F347A4" w:rsidRPr="00BA64FE" w:rsidRDefault="00F347A4" w:rsidP="00815475">
      <w:pPr>
        <w:pStyle w:val="Normal12a"/>
        <w:ind w:left="567" w:hanging="567"/>
      </w:pPr>
      <w:r w:rsidRPr="00BA64FE">
        <w:rPr>
          <w:b/>
          <w:i/>
        </w:rPr>
        <w:t xml:space="preserve">Határozat </w:t>
      </w:r>
    </w:p>
    <w:p w14:paraId="730F3109" w14:textId="77777777" w:rsidR="00F347A4" w:rsidRPr="00BA64FE" w:rsidRDefault="00F347A4" w:rsidP="00815475">
      <w:pPr>
        <w:pStyle w:val="NormalHanging12a"/>
        <w:ind w:left="567" w:hanging="567"/>
      </w:pPr>
      <w:r w:rsidRPr="00BA64FE">
        <w:t>23.</w:t>
      </w:r>
      <w:r w:rsidRPr="00BA64FE">
        <w:tab/>
        <w:t>üdvözli a koherens válságkezelést és betétbiztosítást, a stabilitás megerősítését, valamint a megtakarítások és az adófizetők védelmét célzó válságkezelés és betétbiztosítás (CMDI) reformját, és a közpénzek jobb szanálási célú felhasználásának biztosítását, amennyiben az közérdeket szolgál egyértelmű szabályozási kereten belül; hangsúlyozza, hogy rugalmasságra van szükség a kisebb bankok és a hatóságok számára, hogy hatékony, a bankok fejlődését előmozdító és a pénzügyileg stabil bankunióhoz hozzájáruló szabályozási keret által támogatott eszközökkel rendelkezzenek, hogy hatékonyan tudjanak reagálni a bankcsődökre és rendelkezésre tudják bocsátani a szükséges biztosítékokat, a bankok fejlődését előmozdító és a pénzügyileg stabil bankunióhoz hozzájáruló szabályozási keret támogatásával;</w:t>
      </w:r>
    </w:p>
    <w:p w14:paraId="28D92619" w14:textId="77777777" w:rsidR="00F347A4" w:rsidRPr="00BA64FE" w:rsidRDefault="00F347A4" w:rsidP="00815475">
      <w:pPr>
        <w:pStyle w:val="NormalHanging12a"/>
        <w:ind w:left="567" w:hanging="567"/>
      </w:pPr>
      <w:r w:rsidRPr="00BA64FE">
        <w:t>24.</w:t>
      </w:r>
      <w:r w:rsidRPr="00BA64FE">
        <w:tab/>
        <w:t xml:space="preserve">üdvözli a Parlament és a Tanács között a fizetésképtelenségi jog egyes vonatkozásainak harmonizálásáról szóló irányelvről 2025. november 19-én elért ideiglenes </w:t>
      </w:r>
      <w:proofErr w:type="gramStart"/>
      <w:r w:rsidRPr="00BA64FE">
        <w:t>megállapodást</w:t>
      </w:r>
      <w:proofErr w:type="gramEnd"/>
      <w:r w:rsidRPr="00BA64FE">
        <w:t xml:space="preserve"> mint a fizetésképtelenségi jogszabályok és a szerkezetátalakítási eljárások további összehangolását, amely elősegítheti a bankunió kiteljesítését;</w:t>
      </w:r>
    </w:p>
    <w:p w14:paraId="2D97626D" w14:textId="77777777" w:rsidR="00F347A4" w:rsidRPr="00BA64FE" w:rsidRDefault="00F347A4" w:rsidP="00815475">
      <w:pPr>
        <w:pStyle w:val="NormalHanging12a"/>
        <w:ind w:left="567" w:hanging="567"/>
      </w:pPr>
      <w:r w:rsidRPr="00BA64FE">
        <w:t>25.</w:t>
      </w:r>
      <w:r w:rsidRPr="00BA64FE">
        <w:tab/>
        <w:t xml:space="preserve">hangsúlyozza, hogy bankcsőd esetén először a részvényeseket, a hitelezőket vagy az ipar által finanszírozott mechanizmusokat kell felelősségre vonni, és a közpénzeket csak végső megoldásként szabad felhasználni, összhangban a felelősségteljes költségvetési gazdálkodással, a társadalmi igazságossággal és a piaci fegyelemmel, mivel el kell kerülni, hogy a bankok szanálására az adófizetők pénzéből kerüljön sor; hangsúlyozza a prudenciális és szanálási szabályoknak való megfelelés folyamatos és hatékony </w:t>
      </w:r>
      <w:r w:rsidRPr="00BA64FE">
        <w:lastRenderedPageBreak/>
        <w:t>felügyeletének szükségességét, amely bankcsőd esetén biztosítja az eszközök hitelességét és hatékony végrehajtását;</w:t>
      </w:r>
    </w:p>
    <w:p w14:paraId="23A7C52B" w14:textId="77777777" w:rsidR="00F347A4" w:rsidRPr="00BA64FE" w:rsidRDefault="00F347A4" w:rsidP="00815475">
      <w:pPr>
        <w:pStyle w:val="NormalHanging12a"/>
        <w:ind w:left="567" w:hanging="567"/>
      </w:pPr>
      <w:r w:rsidRPr="00BA64FE">
        <w:t>26.</w:t>
      </w:r>
      <w:r w:rsidRPr="00BA64FE">
        <w:tab/>
        <w:t>emlékeztet arra, hogy a szavatolótőkére és a leírható, illetve átalakítható kötelezettségekre vonatkozó elegendő minimumkövetelmény (MREL) elengedhetetlen a hiteles szanálási kerethez és annak biztosításához, hogy a szanálási hatóságok kellő rugalmassággal rendelkezzenek az adott válsághelyzetben szükséges szanálási stratégiák hatékony alkalmazásához;</w:t>
      </w:r>
    </w:p>
    <w:p w14:paraId="7643C6BA" w14:textId="77777777" w:rsidR="00F347A4" w:rsidRPr="00BA64FE" w:rsidRDefault="00F347A4" w:rsidP="00815475">
      <w:pPr>
        <w:pStyle w:val="NormalHanging12a"/>
        <w:ind w:left="567" w:hanging="567"/>
      </w:pPr>
      <w:r w:rsidRPr="00BA64FE">
        <w:t>27.</w:t>
      </w:r>
      <w:r w:rsidRPr="00BA64FE">
        <w:tab/>
        <w:t>emlékeztet arra, hogy a bankoknak a szanálás közben is folytatniuk kell az alapvető szolgáltatások nyújtását; hangsúlyozza, hogy egyértelmű és kiszámítható keretre van szükség, amely védi a betéteseket, és támogatja a kisebb ügyfeleket és a vállalkozásokat, köztük különösen a kkv-kat;</w:t>
      </w:r>
    </w:p>
    <w:p w14:paraId="212BD20C" w14:textId="77777777" w:rsidR="00F347A4" w:rsidRPr="00BA64FE" w:rsidRDefault="00F347A4" w:rsidP="00815475">
      <w:pPr>
        <w:pStyle w:val="NormalHanging12a"/>
        <w:ind w:left="567" w:hanging="567"/>
      </w:pPr>
      <w:r w:rsidRPr="00BA64FE">
        <w:t>28.</w:t>
      </w:r>
      <w:r w:rsidRPr="00BA64FE">
        <w:tab/>
        <w:t>üdvözli az Egységes Szanálási Alapot mint teljes mértékben közös felhasználású, az ipar által finanszírozott biztonsági hálót; ismételten felszólít az Európai Stabilitási Mechanizmus létrehozásáról szóló szerződést módosító megállapodás teljes körű ratifikálására a hitelesség, a szanálhatóság és az euróövezet rezilienciájának megerősítése érdekében; kiemeli az adófizetők szanálás esetén történő védelmének célját, és megismétli, hogy az elfogadott közös védőhálón túl nem szabad további adófizetői forrásokat fordítani a csődközeli helyzetbe került bankokra;</w:t>
      </w:r>
    </w:p>
    <w:p w14:paraId="2925CF3B" w14:textId="77777777" w:rsidR="00F347A4" w:rsidRPr="00BA64FE" w:rsidRDefault="00F347A4" w:rsidP="00815475">
      <w:pPr>
        <w:pStyle w:val="NormalHanging12a"/>
        <w:ind w:left="567" w:hanging="567"/>
      </w:pPr>
      <w:r w:rsidRPr="00BA64FE">
        <w:t>29.</w:t>
      </w:r>
      <w:r w:rsidRPr="00BA64FE">
        <w:tab/>
        <w:t>emlékeztet arra, hogy az államadósságra vonatkozó nulla kockázati súlyozási politika olyan probléma lehet, amellyel foglalkozni kell a nemzetközi standardokkal összhangban;</w:t>
      </w:r>
    </w:p>
    <w:p w14:paraId="2A8BDF1B" w14:textId="77777777" w:rsidR="00F347A4" w:rsidRPr="00BA64FE" w:rsidRDefault="00F347A4" w:rsidP="00815475">
      <w:pPr>
        <w:pStyle w:val="Normal12a"/>
        <w:ind w:left="567" w:hanging="567"/>
      </w:pPr>
      <w:r w:rsidRPr="00BA64FE">
        <w:rPr>
          <w:b/>
          <w:i/>
        </w:rPr>
        <w:t xml:space="preserve">Betétbiztosítás </w:t>
      </w:r>
    </w:p>
    <w:p w14:paraId="52FACC06" w14:textId="77777777" w:rsidR="00F347A4" w:rsidRPr="00BA64FE" w:rsidRDefault="00F347A4" w:rsidP="00815475">
      <w:pPr>
        <w:pStyle w:val="NormalHanging12a"/>
        <w:ind w:left="567" w:hanging="567"/>
      </w:pPr>
      <w:r w:rsidRPr="00BA64FE">
        <w:t>30.</w:t>
      </w:r>
      <w:r w:rsidRPr="00BA64FE">
        <w:tab/>
        <w:t>megerősíti szilárd elkötelezettségét egy európai betétbiztosítási rendszer továbbfejlesztése mellett, amely rendszer a bankunió harmadik pillére; emlékeztet arra, hogy az európai betétbiztosítási rendszerre irányuló javaslatot 2015-ben mutatták be; hangsúlyozza, hogy a közös betétvédelmi rendszer elengedhetetlen a betétesek Unió-szerte egyenlő védelmének biztosításához, a pénzügyi stabilitás további megerősítéséhez, valamint a bankok és az állam közötti fennmaradó kapcsolatok határozott csökkentéséhez; hangsúlyozza, hogy az európai betétbiztosítási rendszerhez való hozzájárulásoknak figyelembe kell venniük az egyes részt vevő ágazatok kockázati profilját; hangsúlyozza továbbá a jelenlegi szabályok teljes körű alkalmazásának fontosságát, ezáltal lehetővé téve az uniós bankok számára, hogy Unió-szerte hatékonyan finanszírozzák a vállalkozásokat és javítsák a versenyképességet;</w:t>
      </w:r>
    </w:p>
    <w:p w14:paraId="7A71EB60" w14:textId="77777777" w:rsidR="00F347A4" w:rsidRPr="00BA64FE" w:rsidRDefault="00F347A4" w:rsidP="00815475">
      <w:pPr>
        <w:pStyle w:val="NormalHanging12a"/>
        <w:ind w:left="567" w:hanging="567"/>
      </w:pPr>
      <w:r w:rsidRPr="00BA64FE">
        <w:t>31.</w:t>
      </w:r>
      <w:r w:rsidRPr="00BA64FE">
        <w:tab/>
        <w:t>üdvözli a válságkezelési és betétbiztosítási csomag elfogadását mint olyan pozitív lépést, amely megerősíti a nemzeti betétbiztosítási rendszereket, megerősíti a bankszektorba vetett bizalmat, és javítja a betétesek és adófizetők közös uniós védelme felé történő fokozatos és hiteles elmozdulás operatív és jogi feltételeit; emlékeztet a Gazdasági és Monetáris Bizottság európai betétbiztosítási rendszer létrehozásáról szóló 2024. évi álláspontjára; határozottan sürgeti a Tanácsot, hogy mozdítsa elő a tárgyalásokat; felhívja az eurócsoport új elnökét, hogy a lehető leghamarabb folytassa az e témával kapcsolatos megbeszéléseket;</w:t>
      </w:r>
    </w:p>
    <w:p w14:paraId="7F5FC2F9" w14:textId="77777777" w:rsidR="00F347A4" w:rsidRPr="00BA64FE" w:rsidRDefault="00F347A4" w:rsidP="00815475">
      <w:pPr>
        <w:pStyle w:val="NormalCenter12a"/>
        <w:ind w:left="567" w:hanging="567"/>
      </w:pPr>
      <w:r w:rsidRPr="00BA64FE">
        <w:t>°</w:t>
      </w:r>
    </w:p>
    <w:p w14:paraId="17C7C977" w14:textId="77777777" w:rsidR="00F347A4" w:rsidRPr="00BA64FE" w:rsidRDefault="00F347A4" w:rsidP="00815475">
      <w:pPr>
        <w:pStyle w:val="NormalCenter12a"/>
        <w:ind w:left="567" w:hanging="567"/>
      </w:pPr>
      <w:r w:rsidRPr="00BA64FE">
        <w:lastRenderedPageBreak/>
        <w:t>°</w:t>
      </w:r>
      <w:r w:rsidRPr="00BA64FE">
        <w:tab/>
        <w:t>°</w:t>
      </w:r>
    </w:p>
    <w:p w14:paraId="66888935" w14:textId="7733C6D5" w:rsidR="00A81E1B" w:rsidRPr="00A81E1B" w:rsidRDefault="00F347A4" w:rsidP="00815475">
      <w:pPr>
        <w:pStyle w:val="NormalHanging12a"/>
        <w:ind w:left="567" w:hanging="567"/>
      </w:pPr>
      <w:r w:rsidRPr="00BA64FE">
        <w:t>32.</w:t>
      </w:r>
      <w:r w:rsidRPr="00BA64FE">
        <w:tab/>
        <w:t>utasítja elnökét, hogy továbbítsa ezt az állásfoglalást a Tanácsnak, a Bizottságnak, az Európai Központi Banknak, az Egységes Szanálási Testületnek és az Európai Bankhatóságnak.</w:t>
      </w:r>
    </w:p>
    <w:sectPr w:rsidR="00A81E1B" w:rsidRPr="00A81E1B" w:rsidSect="00A81E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55297" w14:textId="77777777" w:rsidR="00B7405E" w:rsidRPr="00A81E1B" w:rsidRDefault="00B7405E">
      <w:r w:rsidRPr="00A81E1B">
        <w:separator/>
      </w:r>
    </w:p>
  </w:endnote>
  <w:endnote w:type="continuationSeparator" w:id="0">
    <w:p w14:paraId="29B22C13" w14:textId="77777777" w:rsidR="00B7405E" w:rsidRPr="00A81E1B" w:rsidRDefault="00B7405E">
      <w:r w:rsidRPr="00A81E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F524F" w14:textId="77777777" w:rsidR="00064002" w:rsidRPr="00A81E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C7CEE" w14:textId="77777777" w:rsidR="00064002" w:rsidRPr="00A81E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B3D2F" w14:textId="77777777" w:rsidR="00064002" w:rsidRPr="00A81E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7DA7C" w14:textId="77777777" w:rsidR="00B7405E" w:rsidRPr="00A81E1B" w:rsidRDefault="00B7405E">
      <w:r w:rsidRPr="00A81E1B">
        <w:separator/>
      </w:r>
    </w:p>
  </w:footnote>
  <w:footnote w:type="continuationSeparator" w:id="0">
    <w:p w14:paraId="1FDBD72D" w14:textId="77777777" w:rsidR="00B7405E" w:rsidRPr="00A81E1B" w:rsidRDefault="00B7405E">
      <w:r w:rsidRPr="00A81E1B">
        <w:continuationSeparator/>
      </w:r>
    </w:p>
  </w:footnote>
  <w:footnote w:id="1">
    <w:p w14:paraId="1232320A" w14:textId="388DDACD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>Elfogadott szövegek, P10_</w:t>
      </w:r>
      <w:proofErr w:type="gramStart"/>
      <w:r w:rsidRPr="00A81E1B">
        <w:rPr>
          <w:sz w:val="24"/>
          <w:lang w:val="hu-HU"/>
        </w:rPr>
        <w:t>TA(</w:t>
      </w:r>
      <w:proofErr w:type="gramEnd"/>
      <w:r w:rsidRPr="00A81E1B">
        <w:rPr>
          <w:sz w:val="24"/>
          <w:lang w:val="hu-HU"/>
        </w:rPr>
        <w:t>2025)0105.</w:t>
      </w:r>
    </w:p>
  </w:footnote>
  <w:footnote w:id="2">
    <w:p w14:paraId="3379F814" w14:textId="2F259244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>Az Európai Parlament és a Tanács (EU) 2024/1640 irányelve (2024. május 31.) a pénzügyi rendszer pénzmosás vagy terrorizmusfinanszírozás céljára való felhasználásának megelőzése érdekében a tagállamok által létrehozandó mechanizmusokról, az (EU) 2019/1937 irányelv módosításáról, és az (EU) 2015/849 irányelv módosításáról és hatályon kívül helyezéséről (HL L</w:t>
      </w:r>
      <w:r w:rsidR="009C3B9C">
        <w:rPr>
          <w:sz w:val="24"/>
          <w:lang w:val="hu-HU"/>
        </w:rPr>
        <w:t>,</w:t>
      </w:r>
      <w:r w:rsidRPr="00A81E1B">
        <w:rPr>
          <w:sz w:val="24"/>
          <w:lang w:val="hu-HU"/>
        </w:rPr>
        <w:t xml:space="preserve"> 2024/1640, 2024</w:t>
      </w:r>
      <w:r w:rsidR="009C3B9C">
        <w:rPr>
          <w:sz w:val="24"/>
          <w:lang w:val="hu-HU"/>
        </w:rPr>
        <w:t>.6.19.</w:t>
      </w:r>
      <w:r w:rsidRPr="00A81E1B">
        <w:rPr>
          <w:sz w:val="24"/>
          <w:lang w:val="hu-HU"/>
        </w:rPr>
        <w:t xml:space="preserve">, ELI: </w:t>
      </w:r>
      <w:hyperlink r:id="rId1" w:tgtFrame="http://data.europa.eu/eli/dir/2024/1640/oj" w:history="1">
        <w:r w:rsidRPr="00A81E1B">
          <w:rPr>
            <w:rStyle w:val="Hyperlink"/>
            <w:sz w:val="24"/>
            <w:lang w:val="hu-HU"/>
          </w:rPr>
          <w:t>http://data.europa.eu/eli/dir/2024/1640/oj</w:t>
        </w:r>
      </w:hyperlink>
      <w:r w:rsidRPr="00A81E1B">
        <w:rPr>
          <w:sz w:val="24"/>
          <w:lang w:val="hu-HU"/>
        </w:rPr>
        <w:t>).</w:t>
      </w:r>
    </w:p>
  </w:footnote>
  <w:footnote w:id="3">
    <w:p w14:paraId="249D0958" w14:textId="06335EAF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 xml:space="preserve">Az Európai Parlament és a Tanács (EU) 2024/1624 rendelete (2024. május 31.) a pénzügyi rendszer pénzmosás vagy terrorizmusfinanszírozás céljára való felhasználásának megelőzéséről (HL L, 2024/1624, 2024.6.19, ELI: </w:t>
      </w:r>
      <w:hyperlink r:id="rId2" w:tgtFrame="http://data.europa.eu/eli/reg/2024/1624/oj" w:history="1">
        <w:r w:rsidRPr="00A81E1B">
          <w:rPr>
            <w:rStyle w:val="Hyperlink"/>
            <w:sz w:val="24"/>
            <w:lang w:val="hu-HU"/>
          </w:rPr>
          <w:t>http://data.europa.eu/eli/reg/2024/1624/oj</w:t>
        </w:r>
      </w:hyperlink>
      <w:r w:rsidRPr="00A81E1B">
        <w:rPr>
          <w:sz w:val="24"/>
          <w:lang w:val="hu-HU"/>
        </w:rPr>
        <w:t>).</w:t>
      </w:r>
    </w:p>
  </w:footnote>
  <w:footnote w:id="4">
    <w:p w14:paraId="4AEE3BD0" w14:textId="05AC7A6F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 xml:space="preserve">Az Európai Parlament és a Tanács (EU) 2024/1620 rendelete (2024. május 31.) a Pénzmosás és Terrorizmusfinanszírozás Elleni Hatóság létrehozásáról, valamint az 1093/2010/EU, az 1094/2010/EU és az 1095/2010/EU rendelet módosításáról (HL L, 2024/1620, 2024.6.19., ELI: </w:t>
      </w:r>
      <w:hyperlink r:id="rId3" w:tgtFrame="http://data.europa.eu/eli/reg/2024/1620/oj" w:history="1">
        <w:r w:rsidRPr="00A81E1B">
          <w:rPr>
            <w:rStyle w:val="Hyperlink"/>
            <w:sz w:val="24"/>
            <w:lang w:val="hu-HU"/>
          </w:rPr>
          <w:t>http://data.europa.eu/eli/reg/2024/1620/oj</w:t>
        </w:r>
      </w:hyperlink>
      <w:r w:rsidRPr="00A81E1B">
        <w:rPr>
          <w:sz w:val="24"/>
          <w:lang w:val="hu-HU"/>
        </w:rPr>
        <w:t>).</w:t>
      </w:r>
    </w:p>
  </w:footnote>
  <w:footnote w:id="5">
    <w:p w14:paraId="238F0E46" w14:textId="58D73423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 xml:space="preserve">Az Európai Parlament és a Tanács (EU) 2024/1619 irányelve (2024. május 31.) a 2013/36/EU irányelvnek a felügyeleti hatáskörök, a szankciók, a harmadik országbeli fióktelepek, valamint a környezeti, társadalmi és irányítási kockázatok tekintetében történő módosításáról (HL L, 2024/1619, 2024.6.19., ELI: </w:t>
      </w:r>
      <w:hyperlink r:id="rId4" w:tgtFrame="http://data.europa.eu/eli/dir/2024/1619/oj" w:history="1">
        <w:r w:rsidRPr="00A81E1B">
          <w:rPr>
            <w:rStyle w:val="Hyperlink"/>
            <w:sz w:val="24"/>
            <w:lang w:val="hu-HU"/>
          </w:rPr>
          <w:t>http://data.europa.eu/eli/dir/2024/1619/oj</w:t>
        </w:r>
      </w:hyperlink>
      <w:r w:rsidRPr="00A81E1B">
        <w:rPr>
          <w:sz w:val="24"/>
          <w:lang w:val="hu-HU"/>
        </w:rPr>
        <w:t>).</w:t>
      </w:r>
    </w:p>
  </w:footnote>
  <w:footnote w:id="6">
    <w:p w14:paraId="51BA2EAB" w14:textId="30866DD6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 xml:space="preserve">Az Európai Parlament és a Tanács (EU) 2024/1623 rendelete (2024. május 31.) az 575/2013/EU rendeletnek a hitelkockázatra, a hitelértékelési korrekciós kockázatra, a működési kockázatra, a piaci kockázatra és a tőke-küszöbértékre vonatkozó követelmények tekintetében történő módosításáról (HL L, 2024/1623, 2024.6.19., ELI: </w:t>
      </w:r>
      <w:hyperlink r:id="rId5" w:tgtFrame="http://data.europa.eu/eli/reg/2024/1623/oj" w:history="1">
        <w:r w:rsidRPr="00A81E1B">
          <w:rPr>
            <w:rStyle w:val="Hyperlink"/>
            <w:sz w:val="24"/>
            <w:lang w:val="hu-HU"/>
          </w:rPr>
          <w:t>http://data.europa.eu/eli/reg/2024/1623/oj</w:t>
        </w:r>
      </w:hyperlink>
      <w:r w:rsidRPr="00A81E1B">
        <w:rPr>
          <w:sz w:val="24"/>
          <w:lang w:val="hu-HU"/>
        </w:rPr>
        <w:t>).</w:t>
      </w:r>
    </w:p>
  </w:footnote>
  <w:footnote w:id="7">
    <w:p w14:paraId="2EECBE8C" w14:textId="0BE9C1B0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 xml:space="preserve">HL L, 2024/2795, 2024.10.31., ELI: </w:t>
      </w:r>
      <w:hyperlink r:id="rId6" w:tgtFrame="http://data.europa.eu/eli/reg_del/2024/2795/oj" w:history="1">
        <w:r w:rsidRPr="00A81E1B">
          <w:rPr>
            <w:rStyle w:val="Hyperlink"/>
            <w:sz w:val="24"/>
            <w:lang w:val="hu-HU"/>
          </w:rPr>
          <w:t>http://data.europa.eu/eli/reg_del/2024/2795/oj</w:t>
        </w:r>
      </w:hyperlink>
      <w:r w:rsidRPr="00A81E1B">
        <w:rPr>
          <w:sz w:val="24"/>
          <w:lang w:val="hu-HU"/>
        </w:rPr>
        <w:t>.</w:t>
      </w:r>
    </w:p>
  </w:footnote>
  <w:footnote w:id="8">
    <w:p w14:paraId="61059796" w14:textId="50C95DF6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 xml:space="preserve">HL C, C/2025/3752, 2025.9.17., ELI: </w:t>
      </w:r>
      <w:hyperlink r:id="rId7" w:tgtFrame="http://data.europa.eu/eli/C/2025/3752/oj" w:history="1">
        <w:r w:rsidRPr="00A81E1B">
          <w:rPr>
            <w:rStyle w:val="Hyperlink"/>
            <w:sz w:val="24"/>
            <w:lang w:val="hu-HU"/>
          </w:rPr>
          <w:t>http://data.europa.eu/eli/C/2025/3752/oj</w:t>
        </w:r>
      </w:hyperlink>
      <w:r w:rsidRPr="00A81E1B">
        <w:rPr>
          <w:sz w:val="24"/>
          <w:lang w:val="hu-HU"/>
        </w:rPr>
        <w:t>.</w:t>
      </w:r>
    </w:p>
  </w:footnote>
  <w:footnote w:id="9">
    <w:p w14:paraId="740F5620" w14:textId="327DCF0E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 xml:space="preserve">HL C, C/2025/3753, 2025.9.17., ELI: </w:t>
      </w:r>
      <w:hyperlink r:id="rId8" w:tgtFrame="http://data.europa.eu/eli/C/2025/3753/oj" w:history="1">
        <w:r w:rsidRPr="00A81E1B">
          <w:rPr>
            <w:rStyle w:val="Hyperlink"/>
            <w:sz w:val="24"/>
            <w:lang w:val="hu-HU"/>
          </w:rPr>
          <w:t>http://data.europa.eu/eli/C/2025/3753/oj</w:t>
        </w:r>
      </w:hyperlink>
      <w:r w:rsidRPr="00A81E1B">
        <w:rPr>
          <w:sz w:val="24"/>
          <w:lang w:val="hu-HU"/>
        </w:rPr>
        <w:t>.</w:t>
      </w:r>
    </w:p>
  </w:footnote>
  <w:footnote w:id="10">
    <w:p w14:paraId="192E0260" w14:textId="72DC9C81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 xml:space="preserve">HL C, C/2025/3754, 2025.9.17., ELI: </w:t>
      </w:r>
      <w:hyperlink r:id="rId9" w:tgtFrame="http://data.europa.eu/eli/C/2025/3754/oj" w:history="1">
        <w:r w:rsidRPr="00A81E1B">
          <w:rPr>
            <w:rStyle w:val="Hyperlink"/>
            <w:sz w:val="24"/>
            <w:lang w:val="hu-HU"/>
          </w:rPr>
          <w:t>http://data.europa.eu/eli/C/2025/3754/oj</w:t>
        </w:r>
      </w:hyperlink>
      <w:r w:rsidRPr="00A81E1B">
        <w:rPr>
          <w:sz w:val="24"/>
          <w:lang w:val="hu-HU"/>
        </w:rPr>
        <w:t>.</w:t>
      </w:r>
    </w:p>
  </w:footnote>
  <w:footnote w:id="11">
    <w:p w14:paraId="660EDBEB" w14:textId="750BC44D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>HL C 23., 2021.1.21., 105. o.</w:t>
      </w:r>
    </w:p>
  </w:footnote>
  <w:footnote w:id="12">
    <w:p w14:paraId="307CF41D" w14:textId="7D6CC8C8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>HL C 494., 2021.12.8., 118. o.</w:t>
      </w:r>
    </w:p>
  </w:footnote>
  <w:footnote w:id="13">
    <w:p w14:paraId="70F97932" w14:textId="05B7CC61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>A Nemek Közötti Egyenlőség Európai Intézete, Gender in entrepreneurship („Nemi szempontok a vállalkozásban”), 2017, 5–6. o.</w:t>
      </w:r>
    </w:p>
  </w:footnote>
  <w:footnote w:id="14">
    <w:p w14:paraId="10475204" w14:textId="199AB810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>Maneely, M./Ratnovski, L. „Bank Profits and Bank Taxes in the EU” (Banki nyereségek és banki adók az EU-ban), IMF, 2024. július.</w:t>
      </w:r>
    </w:p>
  </w:footnote>
  <w:footnote w:id="15">
    <w:p w14:paraId="2105C14B" w14:textId="7CED0659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>EKB, „Felügyeleti banki statisztikák (2025 harmadik negyedéve)”.</w:t>
      </w:r>
    </w:p>
  </w:footnote>
  <w:footnote w:id="16">
    <w:p w14:paraId="2DA8168E" w14:textId="7240739C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>Behn, M. &amp; Reghezza, A., „Capital requirements: a pillar or a burden for bank competitiveness?” (Tőkekövetelmények: támasz vagy teher a bankok versenyképessége szempontjából?), ECB Occasional Paper Series, 376. sz., Frankfurt 2025.</w:t>
      </w:r>
    </w:p>
  </w:footnote>
  <w:footnote w:id="17">
    <w:p w14:paraId="412E01D6" w14:textId="0A9B4F7B" w:rsidR="00815475" w:rsidRPr="00A81E1B" w:rsidRDefault="00815475" w:rsidP="00A81E1B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A81E1B">
        <w:rPr>
          <w:sz w:val="24"/>
          <w:vertAlign w:val="superscript"/>
          <w:lang w:val="hu-HU"/>
        </w:rPr>
        <w:t xml:space="preserve"> </w:t>
      </w:r>
      <w:r w:rsidRPr="00A81E1B">
        <w:rPr>
          <w:sz w:val="24"/>
          <w:vertAlign w:val="superscript"/>
          <w:lang w:val="hu-HU"/>
        </w:rPr>
        <w:tab/>
      </w:r>
      <w:r w:rsidRPr="00A81E1B">
        <w:rPr>
          <w:sz w:val="24"/>
          <w:lang w:val="hu-HU"/>
        </w:rPr>
        <w:t xml:space="preserve">Az Európai Parlament és a Tanács (EU) 2023/1114 rendelete (2023. május 31.) a kriptoeszközök piacairól, valamint az 1093/2010/EU és az 1095/2010/EU rendelet, továbbá a 2013/36/EU és az (EU) 2019/1937 irányelv módosításáról (HL L 150., 2023.6.9., 40. o., ELI: </w:t>
      </w:r>
      <w:hyperlink r:id="rId10" w:tgtFrame="http://data.europa.eu/eli/reg/2023/1114/oj" w:history="1">
        <w:r w:rsidRPr="00A81E1B">
          <w:rPr>
            <w:rStyle w:val="Hyperlink"/>
            <w:sz w:val="24"/>
            <w:lang w:val="hu-HU"/>
          </w:rPr>
          <w:t>http://data.europa.eu/eli/reg/2023/1114/oj</w:t>
        </w:r>
      </w:hyperlink>
      <w:r>
        <w:rPr>
          <w:sz w:val="24"/>
          <w:lang w:val="hu-HU"/>
        </w:rPr>
        <w:t>)</w:t>
      </w:r>
      <w:r w:rsidRPr="00A81E1B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34ABA" w14:textId="77777777" w:rsidR="00064002" w:rsidRPr="00A81E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4369" w14:textId="77777777" w:rsidR="00064002" w:rsidRPr="00A81E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67AE9" w14:textId="77777777" w:rsidR="00064002" w:rsidRPr="00A81E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8243175">
    <w:abstractNumId w:val="9"/>
  </w:num>
  <w:num w:numId="2" w16cid:durableId="1052582248">
    <w:abstractNumId w:val="9"/>
  </w:num>
  <w:num w:numId="3" w16cid:durableId="1200316522">
    <w:abstractNumId w:val="7"/>
  </w:num>
  <w:num w:numId="4" w16cid:durableId="545725547">
    <w:abstractNumId w:val="7"/>
  </w:num>
  <w:num w:numId="5" w16cid:durableId="704602814">
    <w:abstractNumId w:val="6"/>
  </w:num>
  <w:num w:numId="6" w16cid:durableId="79717705">
    <w:abstractNumId w:val="6"/>
  </w:num>
  <w:num w:numId="7" w16cid:durableId="1442801946">
    <w:abstractNumId w:val="5"/>
  </w:num>
  <w:num w:numId="8" w16cid:durableId="305740053">
    <w:abstractNumId w:val="5"/>
  </w:num>
  <w:num w:numId="9" w16cid:durableId="1147938332">
    <w:abstractNumId w:val="4"/>
  </w:num>
  <w:num w:numId="10" w16cid:durableId="46757811">
    <w:abstractNumId w:val="4"/>
  </w:num>
  <w:num w:numId="11" w16cid:durableId="888997297">
    <w:abstractNumId w:val="8"/>
  </w:num>
  <w:num w:numId="12" w16cid:durableId="1649170730">
    <w:abstractNumId w:val="8"/>
  </w:num>
  <w:num w:numId="13" w16cid:durableId="2003193021">
    <w:abstractNumId w:val="3"/>
  </w:num>
  <w:num w:numId="14" w16cid:durableId="113641089">
    <w:abstractNumId w:val="3"/>
  </w:num>
  <w:num w:numId="15" w16cid:durableId="161897801">
    <w:abstractNumId w:val="2"/>
  </w:num>
  <w:num w:numId="16" w16cid:durableId="1262489154">
    <w:abstractNumId w:val="2"/>
  </w:num>
  <w:num w:numId="17" w16cid:durableId="1663506287">
    <w:abstractNumId w:val="1"/>
  </w:num>
  <w:num w:numId="18" w16cid:durableId="1667129770">
    <w:abstractNumId w:val="1"/>
  </w:num>
  <w:num w:numId="19" w16cid:durableId="1171525773">
    <w:abstractNumId w:val="0"/>
  </w:num>
  <w:num w:numId="20" w16cid:durableId="1313026305">
    <w:abstractNumId w:val="0"/>
  </w:num>
  <w:num w:numId="21" w16cid:durableId="1450314607">
    <w:abstractNumId w:val="9"/>
  </w:num>
  <w:num w:numId="22" w16cid:durableId="760218245">
    <w:abstractNumId w:val="7"/>
  </w:num>
  <w:num w:numId="23" w16cid:durableId="1714964798">
    <w:abstractNumId w:val="6"/>
  </w:num>
  <w:num w:numId="24" w16cid:durableId="1057171950">
    <w:abstractNumId w:val="5"/>
  </w:num>
  <w:num w:numId="25" w16cid:durableId="2089424452">
    <w:abstractNumId w:val="4"/>
  </w:num>
  <w:num w:numId="26" w16cid:durableId="1024016453">
    <w:abstractNumId w:val="8"/>
  </w:num>
  <w:num w:numId="27" w16cid:durableId="1801025939">
    <w:abstractNumId w:val="3"/>
  </w:num>
  <w:num w:numId="28" w16cid:durableId="636185718">
    <w:abstractNumId w:val="2"/>
  </w:num>
  <w:num w:numId="29" w16cid:durableId="907573949">
    <w:abstractNumId w:val="1"/>
  </w:num>
  <w:num w:numId="30" w16cid:durableId="1407265754">
    <w:abstractNumId w:val="0"/>
  </w:num>
  <w:num w:numId="31" w16cid:durableId="1481461510">
    <w:abstractNumId w:val="9"/>
  </w:num>
  <w:num w:numId="32" w16cid:durableId="1264416623">
    <w:abstractNumId w:val="7"/>
  </w:num>
  <w:num w:numId="33" w16cid:durableId="160245947">
    <w:abstractNumId w:val="6"/>
  </w:num>
  <w:num w:numId="34" w16cid:durableId="1867329458">
    <w:abstractNumId w:val="5"/>
  </w:num>
  <w:num w:numId="35" w16cid:durableId="593131008">
    <w:abstractNumId w:val="4"/>
  </w:num>
  <w:num w:numId="36" w16cid:durableId="1369525282">
    <w:abstractNumId w:val="8"/>
  </w:num>
  <w:num w:numId="37" w16cid:durableId="1654874588">
    <w:abstractNumId w:val="3"/>
  </w:num>
  <w:num w:numId="38" w16cid:durableId="53771895">
    <w:abstractNumId w:val="2"/>
  </w:num>
  <w:num w:numId="39" w16cid:durableId="1897281912">
    <w:abstractNumId w:val="1"/>
  </w:num>
  <w:num w:numId="40" w16cid:durableId="1929730284">
    <w:abstractNumId w:val="0"/>
  </w:num>
  <w:num w:numId="41" w16cid:durableId="2092389380">
    <w:abstractNumId w:val="10"/>
  </w:num>
  <w:num w:numId="42" w16cid:durableId="1977028111">
    <w:abstractNumId w:val="10"/>
  </w:num>
  <w:num w:numId="43" w16cid:durableId="1250237308">
    <w:abstractNumId w:val="10"/>
  </w:num>
  <w:num w:numId="44" w16cid:durableId="3407449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9/2026"/>
    <w:docVar w:name="dvlangue" w:val="HU"/>
    <w:docVar w:name="dvnumam" w:val="0"/>
    <w:docVar w:name="dvpe" w:val="779.660"/>
    <w:docVar w:name="dvrapporteur" w:val="Előadó: "/>
    <w:docVar w:name="dvtitre" w:val="Az Európai Parlament 2026.  ...-i állásfoglalása a bankunióról – 2025. évi éves jelentés(2025/2136(INI))"/>
  </w:docVars>
  <w:rsids>
    <w:rsidRoot w:val="00B740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285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47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AE6"/>
    <w:rsid w:val="009509D8"/>
    <w:rsid w:val="00950B64"/>
    <w:rsid w:val="00981893"/>
    <w:rsid w:val="009C3B9C"/>
    <w:rsid w:val="00A1687D"/>
    <w:rsid w:val="00A43E52"/>
    <w:rsid w:val="00A4678D"/>
    <w:rsid w:val="00A778C7"/>
    <w:rsid w:val="00A81E1B"/>
    <w:rsid w:val="00AB441E"/>
    <w:rsid w:val="00AB6293"/>
    <w:rsid w:val="00AE0928"/>
    <w:rsid w:val="00AF3B82"/>
    <w:rsid w:val="00B12E95"/>
    <w:rsid w:val="00B22876"/>
    <w:rsid w:val="00B558F0"/>
    <w:rsid w:val="00B7405E"/>
    <w:rsid w:val="00BA64FE"/>
    <w:rsid w:val="00BD48FE"/>
    <w:rsid w:val="00BD7BD8"/>
    <w:rsid w:val="00BE6ADC"/>
    <w:rsid w:val="00C05BFE"/>
    <w:rsid w:val="00C067AF"/>
    <w:rsid w:val="00C17570"/>
    <w:rsid w:val="00C23CD4"/>
    <w:rsid w:val="00C61C0C"/>
    <w:rsid w:val="00C82DB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7A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47EDB"/>
  <w15:chartTrackingRefBased/>
  <w15:docId w15:val="{A2C3939F-2A55-463C-B957-44A6F3165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F347A4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F347A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F347A4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F347A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F347A4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F347A4"/>
    <w:rPr>
      <w:color w:val="0000FF"/>
      <w:u w:val="single"/>
    </w:rPr>
  </w:style>
  <w:style w:type="paragraph" w:styleId="Revision">
    <w:name w:val="Revision"/>
    <w:hidden/>
    <w:uiPriority w:val="99"/>
    <w:semiHidden/>
    <w:rsid w:val="00815475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3753/oj" TargetMode="External"/><Relationship Id="rId3" Type="http://schemas.openxmlformats.org/officeDocument/2006/relationships/hyperlink" Target="http://data.europa.eu/eli/reg/2024/1620/oj" TargetMode="External"/><Relationship Id="rId7" Type="http://schemas.openxmlformats.org/officeDocument/2006/relationships/hyperlink" Target="http://data.europa.eu/eli/C/2025/3752/oj" TargetMode="External"/><Relationship Id="rId2" Type="http://schemas.openxmlformats.org/officeDocument/2006/relationships/hyperlink" Target="http://data.europa.eu/eli/reg/2024/1624/oj" TargetMode="External"/><Relationship Id="rId1" Type="http://schemas.openxmlformats.org/officeDocument/2006/relationships/hyperlink" Target="http://data.europa.eu/eli/dir/2024/1640/oj" TargetMode="External"/><Relationship Id="rId6" Type="http://schemas.openxmlformats.org/officeDocument/2006/relationships/hyperlink" Target="http://data.europa.eu/eli/reg_del/2024/2795/oj" TargetMode="External"/><Relationship Id="rId5" Type="http://schemas.openxmlformats.org/officeDocument/2006/relationships/hyperlink" Target="http://data.europa.eu/eli/reg/2024/1623/oj" TargetMode="External"/><Relationship Id="rId10" Type="http://schemas.openxmlformats.org/officeDocument/2006/relationships/hyperlink" Target="http://data.europa.eu/eli/reg/2023/1114/oj" TargetMode="External"/><Relationship Id="rId4" Type="http://schemas.openxmlformats.org/officeDocument/2006/relationships/hyperlink" Target="http://data.europa.eu/eli/dir/2024/1619/oj" TargetMode="External"/><Relationship Id="rId9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3571</Words>
  <Characters>26275</Characters>
  <Application>Microsoft Office Word</Application>
  <DocSecurity>0</DocSecurity>
  <Lines>380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2026-06-02T15:28:00Z</dcterms:created>
  <dcterms:modified xsi:type="dcterms:W3CDTF">2026-06-02T15:28:00Z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A10-0079/2026</vt:lpwstr>
  </property>
  <property fmtid="{D5CDD505-2E9C-101B-9397-08002B2CF9AE}" pid="4" name="&lt;Type&gt;">
    <vt:lpwstr>RR</vt:lpwstr>
  </property>
</Properties>
</file>