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7BED" w14:paraId="1B0870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883797" w14:textId="77777777" w:rsidR="00751A4A" w:rsidRPr="00DB7BED" w:rsidRDefault="000108AB" w:rsidP="0010095E">
            <w:pPr>
              <w:pStyle w:val="EPName"/>
            </w:pPr>
            <w:r w:rsidRPr="00DB7BED">
              <w:t>Európsky parlament</w:t>
            </w:r>
          </w:p>
          <w:p w14:paraId="5DC95746" w14:textId="77777777" w:rsidR="00751A4A" w:rsidRPr="00DB7B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7BED">
              <w:t>2024</w:t>
            </w:r>
            <w:r w:rsidR="00817416" w:rsidRPr="00DB7BED">
              <w:t>-202</w:t>
            </w:r>
            <w:r w:rsidRPr="00DB7BED">
              <w:t>9</w:t>
            </w:r>
          </w:p>
        </w:tc>
        <w:tc>
          <w:tcPr>
            <w:tcW w:w="2268" w:type="dxa"/>
            <w:shd w:val="clear" w:color="auto" w:fill="auto"/>
          </w:tcPr>
          <w:p w14:paraId="1025F3D8" w14:textId="77777777" w:rsidR="00751A4A" w:rsidRPr="00DB7BED" w:rsidRDefault="00187494" w:rsidP="0010095E">
            <w:pPr>
              <w:pStyle w:val="EPLogo"/>
            </w:pPr>
            <w:r w:rsidRPr="00DB7BED">
              <w:rPr>
                <w:noProof/>
                <w:lang w:eastAsia="ja-JP"/>
              </w:rPr>
              <w:drawing>
                <wp:inline distT="0" distB="0" distL="0" distR="0" wp14:anchorId="647BC4B9" wp14:editId="7B36DF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E65C1" w14:textId="77777777" w:rsidR="00D058B8" w:rsidRPr="00DB7BED" w:rsidRDefault="00D058B8" w:rsidP="004C5D52">
      <w:pPr>
        <w:pStyle w:val="LineTop"/>
      </w:pPr>
    </w:p>
    <w:p w14:paraId="7C527334" w14:textId="77777777" w:rsidR="00680577" w:rsidRPr="00DB7BED" w:rsidRDefault="000108AB" w:rsidP="00680577">
      <w:pPr>
        <w:pStyle w:val="EPBodyTA1"/>
      </w:pPr>
      <w:r w:rsidRPr="00DB7BED">
        <w:t>PRIJATÉ TEXTY</w:t>
      </w:r>
    </w:p>
    <w:p w14:paraId="021A86C8" w14:textId="77777777" w:rsidR="00D058B8" w:rsidRPr="00DB7BED" w:rsidRDefault="00D058B8" w:rsidP="00D058B8">
      <w:pPr>
        <w:pStyle w:val="LineBottom"/>
      </w:pPr>
    </w:p>
    <w:p w14:paraId="4EB167EB" w14:textId="694058D3" w:rsidR="000108AB" w:rsidRPr="00DB7BED" w:rsidRDefault="000108AB" w:rsidP="000108AB">
      <w:pPr>
        <w:pStyle w:val="ATHeading1"/>
      </w:pPr>
      <w:bookmarkStart w:id="0" w:name="TANumber"/>
      <w:r w:rsidRPr="00DB7BED">
        <w:t>P10_TA(2026)0</w:t>
      </w:r>
      <w:r w:rsidR="009C1399" w:rsidRPr="00DB7BED">
        <w:t>159</w:t>
      </w:r>
      <w:bookmarkEnd w:id="0"/>
    </w:p>
    <w:p w14:paraId="06EC843C" w14:textId="77777777" w:rsidR="000108AB" w:rsidRPr="00DB7BED" w:rsidRDefault="000108AB" w:rsidP="000108AB">
      <w:pPr>
        <w:pStyle w:val="ATHeading2"/>
      </w:pPr>
      <w:bookmarkStart w:id="1" w:name="title"/>
      <w:r w:rsidRPr="00DB7BED">
        <w:t>Banková únia – výročná správa za rok 2025</w:t>
      </w:r>
      <w:bookmarkEnd w:id="1"/>
    </w:p>
    <w:p w14:paraId="3A999E74" w14:textId="77777777" w:rsidR="000108AB" w:rsidRPr="00DB7BED" w:rsidRDefault="000108AB" w:rsidP="000108AB">
      <w:pPr>
        <w:rPr>
          <w:i/>
          <w:vanish/>
        </w:rPr>
      </w:pPr>
      <w:r w:rsidRPr="00DB7BED">
        <w:rPr>
          <w:i/>
        </w:rPr>
        <w:fldChar w:fldCharType="begin"/>
      </w:r>
      <w:r w:rsidRPr="00DB7BED">
        <w:rPr>
          <w:i/>
        </w:rPr>
        <w:instrText xml:space="preserve"> TC"(</w:instrText>
      </w:r>
      <w:bookmarkStart w:id="2" w:name="DocNumber"/>
      <w:r w:rsidRPr="00DB7BED">
        <w:rPr>
          <w:i/>
        </w:rPr>
        <w:instrText>A10-0079/2026</w:instrText>
      </w:r>
      <w:bookmarkEnd w:id="2"/>
      <w:r w:rsidRPr="00DB7BED">
        <w:rPr>
          <w:i/>
        </w:rPr>
        <w:instrText xml:space="preserve"> - Spravodajkyňa: Evelyn </w:instrText>
      </w:r>
      <w:proofErr w:type="spellStart"/>
      <w:r w:rsidRPr="00DB7BED">
        <w:rPr>
          <w:i/>
        </w:rPr>
        <w:instrText>Regner</w:instrText>
      </w:r>
      <w:proofErr w:type="spellEnd"/>
      <w:r w:rsidRPr="00DB7BED">
        <w:rPr>
          <w:i/>
        </w:rPr>
        <w:instrText xml:space="preserve">)"\l3 \n&gt; \* MERGEFORMAT </w:instrText>
      </w:r>
      <w:r w:rsidRPr="00DB7BED">
        <w:rPr>
          <w:i/>
        </w:rPr>
        <w:fldChar w:fldCharType="end"/>
      </w:r>
    </w:p>
    <w:p w14:paraId="3260ABDF" w14:textId="77777777" w:rsidR="000108AB" w:rsidRPr="00DB7BED" w:rsidRDefault="000108AB" w:rsidP="000108AB">
      <w:pPr>
        <w:rPr>
          <w:vanish/>
        </w:rPr>
      </w:pPr>
      <w:bookmarkStart w:id="3" w:name="Commission"/>
      <w:r w:rsidRPr="00DB7BED">
        <w:rPr>
          <w:vanish/>
        </w:rPr>
        <w:t>Výbor pre hospodárske a menové veci</w:t>
      </w:r>
      <w:bookmarkEnd w:id="3"/>
    </w:p>
    <w:p w14:paraId="41AE5AC9" w14:textId="77777777" w:rsidR="000108AB" w:rsidRPr="00DB7BED" w:rsidRDefault="000108AB" w:rsidP="000108AB">
      <w:pPr>
        <w:rPr>
          <w:vanish/>
        </w:rPr>
      </w:pPr>
      <w:bookmarkStart w:id="4" w:name="PE"/>
      <w:r w:rsidRPr="00DB7BED">
        <w:rPr>
          <w:vanish/>
        </w:rPr>
        <w:t>PE779.660</w:t>
      </w:r>
      <w:bookmarkEnd w:id="4"/>
    </w:p>
    <w:p w14:paraId="58DDA384" w14:textId="77F16A0E" w:rsidR="000108AB" w:rsidRPr="00DB7BED" w:rsidRDefault="000108AB" w:rsidP="000108AB">
      <w:pPr>
        <w:pStyle w:val="ATHeading3"/>
      </w:pPr>
      <w:bookmarkStart w:id="5" w:name="Sujet"/>
      <w:r w:rsidRPr="00DB7BED">
        <w:t>Uznesenie Európskeho parlamentu z</w:t>
      </w:r>
      <w:r w:rsidR="007C3B2C" w:rsidRPr="00DB7BED">
        <w:t> 30. apríla</w:t>
      </w:r>
      <w:r w:rsidRPr="00DB7BED">
        <w:t xml:space="preserve"> 2026 o bankovej únii – výročná správa za rok 2025</w:t>
      </w:r>
      <w:bookmarkEnd w:id="5"/>
      <w:r w:rsidRPr="00DB7BED">
        <w:t xml:space="preserve"> </w:t>
      </w:r>
      <w:bookmarkStart w:id="6" w:name="References"/>
      <w:r w:rsidRPr="00DB7BED">
        <w:t>(2025/2136(INI))</w:t>
      </w:r>
      <w:bookmarkEnd w:id="6"/>
    </w:p>
    <w:p w14:paraId="3A4223C6" w14:textId="77777777" w:rsidR="00460A16" w:rsidRPr="00DB7BED" w:rsidRDefault="00460A16" w:rsidP="00460A16">
      <w:pPr>
        <w:pStyle w:val="Normal12"/>
      </w:pPr>
      <w:r w:rsidRPr="00DB7BED">
        <w:rPr>
          <w:i/>
        </w:rPr>
        <w:t>Európsky parlament</w:t>
      </w:r>
      <w:r w:rsidRPr="00DB7BED">
        <w:t>,</w:t>
      </w:r>
    </w:p>
    <w:p w14:paraId="16632971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svoje uznesenie z 8. mája 2025 o bankovej únii – výročná správa za rok 2024</w:t>
      </w:r>
      <w:r w:rsidRPr="00DB7BED">
        <w:rPr>
          <w:rStyle w:val="FootnoteReference"/>
        </w:rPr>
        <w:footnoteReference w:customMarkFollows="1" w:id="1"/>
        <w:t>1</w:t>
      </w:r>
      <w:r w:rsidRPr="00DB7BED">
        <w:t>,</w:t>
      </w:r>
    </w:p>
    <w:p w14:paraId="7539849A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opatrenia Komisie prijaté v nadväznosti na uznesenie Európskeho parlamentu z 8. mája 2025 o bankovej únii – výročná správa za rok 2024,</w:t>
      </w:r>
    </w:p>
    <w:p w14:paraId="3AA0FCC2" w14:textId="4B1A9E3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dokument Európskej centrálnej banky (</w:t>
      </w:r>
      <w:r w:rsidR="007C3B2C" w:rsidRPr="00DB7BED">
        <w:t>ďalej len „</w:t>
      </w:r>
      <w:r w:rsidRPr="00DB7BED">
        <w:t>ECB</w:t>
      </w:r>
      <w:r w:rsidR="007C3B2C" w:rsidRPr="00DB7BED">
        <w:t>“</w:t>
      </w:r>
      <w:r w:rsidRPr="00DB7BED">
        <w:t xml:space="preserve">) s názvom </w:t>
      </w:r>
      <w:r w:rsidRPr="00DB7BED">
        <w:rPr>
          <w:i/>
        </w:rPr>
        <w:t xml:space="preserve">Feedback on </w:t>
      </w:r>
      <w:proofErr w:type="spellStart"/>
      <w:r w:rsidRPr="00DB7BED">
        <w:rPr>
          <w:i/>
        </w:rPr>
        <w:t>the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input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provided</w:t>
      </w:r>
      <w:proofErr w:type="spellEnd"/>
      <w:r w:rsidRPr="00DB7BED">
        <w:rPr>
          <w:i/>
        </w:rPr>
        <w:t xml:space="preserve"> by </w:t>
      </w:r>
      <w:proofErr w:type="spellStart"/>
      <w:r w:rsidRPr="00DB7BED">
        <w:rPr>
          <w:i/>
        </w:rPr>
        <w:t>the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European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Parliament</w:t>
      </w:r>
      <w:proofErr w:type="spellEnd"/>
      <w:r w:rsidRPr="00DB7BED">
        <w:rPr>
          <w:i/>
        </w:rPr>
        <w:t xml:space="preserve"> as part of </w:t>
      </w:r>
      <w:proofErr w:type="spellStart"/>
      <w:r w:rsidRPr="00DB7BED">
        <w:rPr>
          <w:i/>
        </w:rPr>
        <w:t>its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Resolution</w:t>
      </w:r>
      <w:proofErr w:type="spellEnd"/>
      <w:r w:rsidRPr="00DB7BED">
        <w:rPr>
          <w:i/>
        </w:rPr>
        <w:t xml:space="preserve"> on Banking </w:t>
      </w:r>
      <w:proofErr w:type="spellStart"/>
      <w:r w:rsidRPr="00DB7BED">
        <w:rPr>
          <w:i/>
        </w:rPr>
        <w:t>Union</w:t>
      </w:r>
      <w:proofErr w:type="spellEnd"/>
      <w:r w:rsidRPr="00DB7BED">
        <w:rPr>
          <w:i/>
        </w:rPr>
        <w:t> – </w:t>
      </w:r>
      <w:proofErr w:type="spellStart"/>
      <w:r w:rsidRPr="00DB7BED">
        <w:rPr>
          <w:i/>
        </w:rPr>
        <w:t>Annual</w:t>
      </w:r>
      <w:proofErr w:type="spellEnd"/>
      <w:r w:rsidRPr="00DB7BED">
        <w:rPr>
          <w:i/>
        </w:rPr>
        <w:t xml:space="preserve"> Report 2024</w:t>
      </w:r>
      <w:r w:rsidRPr="00DB7BED">
        <w:t xml:space="preserve"> (Spätná väzba k príspevku, ktorý poskytol Európsky parlament vo svojom uznesení o bankovej únii – výročná správa za rok 2024),</w:t>
      </w:r>
    </w:p>
    <w:p w14:paraId="4D0D7F35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výročnú správu ECB o činnostiach dohľadu za rok 2024, ktorá bola uverejnená 28. apríla 2025,</w:t>
      </w:r>
    </w:p>
    <w:p w14:paraId="19D60134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výročnú správu Jednotnej rady pre riešenie krízových situácií (SRB) za rok 2024 z 26. júna 2025,</w:t>
      </w:r>
    </w:p>
    <w:p w14:paraId="41F8DF6A" w14:textId="19DAA9BB" w:rsidR="00460A16" w:rsidRPr="00DB7BED" w:rsidRDefault="00460A16" w:rsidP="00460A16">
      <w:pPr>
        <w:pStyle w:val="NormalHanging"/>
      </w:pPr>
      <w:r w:rsidRPr="00DB7BED">
        <w:lastRenderedPageBreak/>
        <w:t>–</w:t>
      </w:r>
      <w:r w:rsidRPr="00DB7BED">
        <w:tab/>
        <w:t>so zreteľom na prijatie smernice o boji proti praniu špinavých peňazí (AMLD)</w:t>
      </w:r>
      <w:r w:rsidRPr="00DB7BED">
        <w:rPr>
          <w:rStyle w:val="FootnoteReference"/>
        </w:rPr>
        <w:footnoteReference w:customMarkFollows="1" w:id="2"/>
        <w:t>2</w:t>
      </w:r>
      <w:r w:rsidRPr="00DB7BED">
        <w:t xml:space="preserve"> a nariadenia o boji proti praniu špinavých peňazí (AMLR)</w:t>
      </w:r>
      <w:r w:rsidRPr="00DB7BED">
        <w:rPr>
          <w:rStyle w:val="FootnoteReference"/>
        </w:rPr>
        <w:footnoteReference w:customMarkFollows="1" w:id="3"/>
        <w:t>3</w:t>
      </w:r>
      <w:r w:rsidRPr="00DB7BED">
        <w:t xml:space="preserve"> a na zriadenie Úradu pre boj proti praniu špinavých peňazí (</w:t>
      </w:r>
      <w:r w:rsidR="007C3B2C" w:rsidRPr="00DB7BED">
        <w:t>ďalej len „</w:t>
      </w:r>
      <w:r w:rsidRPr="00DB7BED">
        <w:t>AMLA</w:t>
      </w:r>
      <w:r w:rsidR="007C3B2C" w:rsidRPr="00DB7BED">
        <w:t>“</w:t>
      </w:r>
      <w:r w:rsidRPr="00DB7BED">
        <w:t>)</w:t>
      </w:r>
      <w:r w:rsidRPr="00DB7BED">
        <w:rPr>
          <w:rStyle w:val="FootnoteReference"/>
        </w:rPr>
        <w:footnoteReference w:customMarkFollows="1" w:id="4"/>
        <w:t>4</w:t>
      </w:r>
      <w:r w:rsidRPr="00DB7BED">
        <w:t>,</w:t>
      </w:r>
    </w:p>
    <w:p w14:paraId="039FAFD7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vykonávanie noriem Bazilej III, konkrétne na prijatie zmien smernice o kapitálových požiadavkách</w:t>
      </w:r>
      <w:r w:rsidRPr="00DB7BED">
        <w:rPr>
          <w:rStyle w:val="FootnoteReference"/>
        </w:rPr>
        <w:footnoteReference w:customMarkFollows="1" w:id="5"/>
        <w:t>5</w:t>
      </w:r>
      <w:r w:rsidRPr="00DB7BED">
        <w:t xml:space="preserve"> a nariadenia o kapitálových požiadavkách</w:t>
      </w:r>
      <w:r w:rsidRPr="00DB7BED">
        <w:rPr>
          <w:rStyle w:val="FootnoteReference"/>
        </w:rPr>
        <w:footnoteReference w:customMarkFollows="1" w:id="6"/>
        <w:t>6</w:t>
      </w:r>
      <w:r w:rsidRPr="00DB7BED">
        <w:t>,</w:t>
      </w:r>
    </w:p>
    <w:p w14:paraId="202985C7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prijatie delegovaného nariadenia Komisie (EÚ) 2024/2795 z 24. júla 2024, ktorým sa mení nariadenie Európskeho parlamentu a Rady (EÚ) č. 575/2013, pokiaľ ide o dátum uplatňovania požiadaviek na vlastné zdroje pre trhové riziko</w:t>
      </w:r>
      <w:r w:rsidRPr="00DB7BED">
        <w:rPr>
          <w:rStyle w:val="FootnoteReference"/>
        </w:rPr>
        <w:footnoteReference w:customMarkFollows="1" w:id="7"/>
        <w:t>7</w:t>
      </w:r>
      <w:r w:rsidRPr="00DB7BED">
        <w:t>,</w:t>
      </w:r>
    </w:p>
    <w:p w14:paraId="73FDDF62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svoju pozíciu v prvom čítaní z 24. apríla 2024 k návrhu nariadenia Európskeho parlamentu a Rady, ktorým sa mení nariadenie (EÚ) č. 806/2014, pokiaľ ide o opatrenia včasnej intervencie, podmienky pre riešenie krízových situácií a financovanie opatrení na riešenie krízových situácií</w:t>
      </w:r>
      <w:r w:rsidRPr="00DB7BED">
        <w:rPr>
          <w:rStyle w:val="FootnoteReference"/>
        </w:rPr>
        <w:footnoteReference w:customMarkFollows="1" w:id="8"/>
        <w:t>8</w:t>
      </w:r>
      <w:r w:rsidRPr="00DB7BED">
        <w:t>,</w:t>
      </w:r>
    </w:p>
    <w:p w14:paraId="6D6FA65D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svoju pozíciu v prvom čítaní z 24. apríla 2024 k návrhu smernice Európskeho parlamentu a Rady, ktorou sa mení smernica 2014/59/EÚ, pokiaľ ide o opatrenia včasnej intervencie, podmienky riešenia krízových situácií a financovanie opatrení na riešenie krízových situácií</w:t>
      </w:r>
      <w:r w:rsidRPr="00DB7BED">
        <w:rPr>
          <w:rStyle w:val="FootnoteReference"/>
        </w:rPr>
        <w:footnoteReference w:customMarkFollows="1" w:id="9"/>
        <w:t>9</w:t>
      </w:r>
      <w:r w:rsidRPr="00DB7BED">
        <w:t>,</w:t>
      </w:r>
    </w:p>
    <w:p w14:paraId="6F4E300C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svoju pozíciu v prvom čítaní z 24. apríla 2024 k návrhu smernice Európskeho parlamentu a Rady, ktorou sa mení smernica 2014/49/EÚ, pokiaľ ide o </w:t>
      </w:r>
      <w:r w:rsidRPr="00DB7BED">
        <w:lastRenderedPageBreak/>
        <w:t>rozsah ochrany vkladov, využívanie fondov systémov ochrany vkladov, cezhraničnú spoluprácu a transparentnosť</w:t>
      </w:r>
      <w:r w:rsidRPr="00DB7BED">
        <w:rPr>
          <w:rStyle w:val="FootnoteReference"/>
        </w:rPr>
        <w:footnoteReference w:customMarkFollows="1" w:id="10"/>
        <w:t>10</w:t>
      </w:r>
      <w:r w:rsidRPr="00DB7BED">
        <w:t>,</w:t>
      </w:r>
    </w:p>
    <w:p w14:paraId="25963CB7" w14:textId="150491D0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správu svojho Výboru pre hospodárske a menové veci z 23. apríla 2024 k návrhu nariadenia Európskeho parlamentu a Rady, ktorým sa mení nariadenie (EÚ) č. 806/2014 s cieľom vytvoriť európsky systém ochrany vkladov (</w:t>
      </w:r>
      <w:r w:rsidR="007C3B2C" w:rsidRPr="00DB7BED">
        <w:t>ďalej len „</w:t>
      </w:r>
      <w:r w:rsidRPr="00DB7BED">
        <w:t>EDIS</w:t>
      </w:r>
      <w:r w:rsidR="007C3B2C" w:rsidRPr="00DB7BED">
        <w:t>“</w:t>
      </w:r>
      <w:r w:rsidRPr="00DB7BED">
        <w:t>),</w:t>
      </w:r>
    </w:p>
    <w:p w14:paraId="0FA3F1CE" w14:textId="268AE01F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oznámenie Komisie s názvom Únia úspor a investícií – Stratégia na podporu bohatstva občanov a hospodárskej konkurencieschopnosti v EÚ (</w:t>
      </w:r>
      <w:r w:rsidR="00D64E00" w:rsidRPr="00DB7BED">
        <w:t>COM(2025)0124</w:t>
      </w:r>
      <w:r w:rsidRPr="00DB7BED">
        <w:t>),</w:t>
      </w:r>
    </w:p>
    <w:p w14:paraId="1F801D97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správu </w:t>
      </w:r>
      <w:proofErr w:type="spellStart"/>
      <w:r w:rsidRPr="00DB7BED">
        <w:t>Enrica</w:t>
      </w:r>
      <w:proofErr w:type="spellEnd"/>
      <w:r w:rsidRPr="00DB7BED">
        <w:t xml:space="preserve"> </w:t>
      </w:r>
      <w:proofErr w:type="spellStart"/>
      <w:r w:rsidRPr="00DB7BED">
        <w:t>Lettu</w:t>
      </w:r>
      <w:proofErr w:type="spellEnd"/>
      <w:r w:rsidRPr="00DB7BED">
        <w:t xml:space="preserve"> z 10. apríla 2024 s názvom Oveľa viac než len trh – rýchlosť, bezpečnosť, solidarita: posilnenie jednotného trhu s cieľom zabezpečiť udržateľnú budúcnosť a prosperitu pre všetkých občanov EÚ,</w:t>
      </w:r>
    </w:p>
    <w:p w14:paraId="10FBF4B6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správu Maria </w:t>
      </w:r>
      <w:proofErr w:type="spellStart"/>
      <w:r w:rsidRPr="00DB7BED">
        <w:t>Draghiho</w:t>
      </w:r>
      <w:proofErr w:type="spellEnd"/>
      <w:r w:rsidRPr="00DB7BED">
        <w:t xml:space="preserve"> z 9. septembra 2024 s názvom Budúcnosť európskej konkurencieschopnosti,</w:t>
      </w:r>
    </w:p>
    <w:p w14:paraId="2CE7AF34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vyhlásenie </w:t>
      </w:r>
      <w:proofErr w:type="spellStart"/>
      <w:r w:rsidRPr="00DB7BED">
        <w:t>Euroskupiny</w:t>
      </w:r>
      <w:proofErr w:type="spellEnd"/>
      <w:r w:rsidRPr="00DB7BED">
        <w:t xml:space="preserve"> z 11. marca 2024 o budúcnosti únie kapitálových trhov a na vyhlásenie </w:t>
      </w:r>
      <w:proofErr w:type="spellStart"/>
      <w:r w:rsidRPr="00DB7BED">
        <w:t>Euroskupiny</w:t>
      </w:r>
      <w:proofErr w:type="spellEnd"/>
      <w:r w:rsidRPr="00DB7BED">
        <w:t xml:space="preserve"> zo 16. júna 2022 o budúcnosti bankovej únie a následné opatrenia </w:t>
      </w:r>
      <w:proofErr w:type="spellStart"/>
      <w:r w:rsidRPr="00DB7BED">
        <w:t>Euroskupiny</w:t>
      </w:r>
      <w:proofErr w:type="spellEnd"/>
      <w:r w:rsidRPr="00DB7BED">
        <w:t xml:space="preserve"> z 28. apríla 2023,</w:t>
      </w:r>
    </w:p>
    <w:p w14:paraId="4F392380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publikácie Bazilejského výboru pre bankový dohľad s názvom </w:t>
      </w:r>
      <w:proofErr w:type="spellStart"/>
      <w:r w:rsidRPr="00DB7BED">
        <w:rPr>
          <w:i/>
        </w:rPr>
        <w:t>Disclosure</w:t>
      </w:r>
      <w:proofErr w:type="spellEnd"/>
      <w:r w:rsidRPr="00DB7BED">
        <w:rPr>
          <w:i/>
        </w:rPr>
        <w:t xml:space="preserve"> of </w:t>
      </w:r>
      <w:proofErr w:type="spellStart"/>
      <w:r w:rsidRPr="00DB7BED">
        <w:rPr>
          <w:i/>
        </w:rPr>
        <w:t>cryptoasset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exposures</w:t>
      </w:r>
      <w:proofErr w:type="spellEnd"/>
      <w:r w:rsidRPr="00DB7BED">
        <w:t xml:space="preserve"> (Zverejňovanie expozícií voči </w:t>
      </w:r>
      <w:proofErr w:type="spellStart"/>
      <w:r w:rsidRPr="00DB7BED">
        <w:t>kryptoaktívam</w:t>
      </w:r>
      <w:proofErr w:type="spellEnd"/>
      <w:r w:rsidRPr="00DB7BED">
        <w:t xml:space="preserve">) a </w:t>
      </w:r>
      <w:proofErr w:type="spellStart"/>
      <w:r w:rsidRPr="00DB7BED">
        <w:rPr>
          <w:i/>
        </w:rPr>
        <w:t>Cryptoasset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standard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amendments</w:t>
      </w:r>
      <w:proofErr w:type="spellEnd"/>
      <w:r w:rsidRPr="00DB7BED">
        <w:t xml:space="preserve"> (Zmeny štandardov pre </w:t>
      </w:r>
      <w:proofErr w:type="spellStart"/>
      <w:r w:rsidRPr="00DB7BED">
        <w:t>kryptoaktíva</w:t>
      </w:r>
      <w:proofErr w:type="spellEnd"/>
      <w:r w:rsidRPr="00DB7BED">
        <w:t>), ktoré boli uverejnené 17. júla 2024,</w:t>
      </w:r>
    </w:p>
    <w:p w14:paraId="5E13B586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základné zásady účinného bankového dohľadu Bazilejského výboru pre bankový dohľad uverejnené 25. apríla 2024,</w:t>
      </w:r>
    </w:p>
    <w:p w14:paraId="3527AF38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správu ECB o finančnej stabilite uverejnenú 17. novembra 2025,</w:t>
      </w:r>
    </w:p>
    <w:p w14:paraId="4E79D381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publikáciu Rady pre finančnú stabilitu z 9. novembra 2015 s názvom </w:t>
      </w:r>
      <w:proofErr w:type="spellStart"/>
      <w:r w:rsidRPr="00DB7BED">
        <w:rPr>
          <w:i/>
        </w:rPr>
        <w:t>Principles</w:t>
      </w:r>
      <w:proofErr w:type="spellEnd"/>
      <w:r w:rsidRPr="00DB7BED">
        <w:rPr>
          <w:i/>
        </w:rPr>
        <w:t xml:space="preserve"> on </w:t>
      </w:r>
      <w:proofErr w:type="spellStart"/>
      <w:r w:rsidRPr="00DB7BED">
        <w:rPr>
          <w:i/>
        </w:rPr>
        <w:t>Loss-absorbing</w:t>
      </w:r>
      <w:proofErr w:type="spellEnd"/>
      <w:r w:rsidRPr="00DB7BED">
        <w:rPr>
          <w:i/>
        </w:rPr>
        <w:t xml:space="preserve"> and </w:t>
      </w:r>
      <w:proofErr w:type="spellStart"/>
      <w:r w:rsidRPr="00DB7BED">
        <w:rPr>
          <w:i/>
        </w:rPr>
        <w:t>Recapitalisation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Capacity</w:t>
      </w:r>
      <w:proofErr w:type="spellEnd"/>
      <w:r w:rsidRPr="00DB7BED">
        <w:rPr>
          <w:i/>
        </w:rPr>
        <w:t xml:space="preserve"> of G-</w:t>
      </w:r>
      <w:proofErr w:type="spellStart"/>
      <w:r w:rsidRPr="00DB7BED">
        <w:rPr>
          <w:i/>
        </w:rPr>
        <w:t>SIBs</w:t>
      </w:r>
      <w:proofErr w:type="spellEnd"/>
      <w:r w:rsidRPr="00DB7BED">
        <w:t xml:space="preserve"> </w:t>
      </w:r>
      <w:r w:rsidRPr="00DB7BED">
        <w:rPr>
          <w:i/>
        </w:rPr>
        <w:t xml:space="preserve">in </w:t>
      </w:r>
      <w:proofErr w:type="spellStart"/>
      <w:r w:rsidRPr="00DB7BED">
        <w:rPr>
          <w:i/>
        </w:rPr>
        <w:t>Resolution</w:t>
      </w:r>
      <w:proofErr w:type="spellEnd"/>
      <w:r w:rsidRPr="00DB7BED">
        <w:t xml:space="preserve"> (Zásady týkajúce sa kapacity bánk G-SIB na absorpciu strát a </w:t>
      </w:r>
      <w:proofErr w:type="spellStart"/>
      <w:r w:rsidRPr="00DB7BED">
        <w:t>rekapitalizáciu</w:t>
      </w:r>
      <w:proofErr w:type="spellEnd"/>
      <w:r w:rsidRPr="00DB7BED">
        <w:t xml:space="preserve"> pri riešení krízových situácií),</w:t>
      </w:r>
    </w:p>
    <w:p w14:paraId="32B3E5BD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správu Rady pre finančnú stabilitu z 10. októbra 2023 s názvom Zlyhania bánk 2023 – predbežné poznatky získané na riešenie krízových situácií,</w:t>
      </w:r>
    </w:p>
    <w:p w14:paraId="3A815063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priority dohľadu jednotného mechanizmu dohľadu na roky 2025 – 2027,</w:t>
      </w:r>
    </w:p>
    <w:p w14:paraId="0DF5BFCF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polročnú správu SRB pre </w:t>
      </w:r>
      <w:proofErr w:type="spellStart"/>
      <w:r w:rsidRPr="00DB7BED">
        <w:t>Euroskupinu</w:t>
      </w:r>
      <w:proofErr w:type="spellEnd"/>
      <w:r w:rsidRPr="00DB7BED">
        <w:t xml:space="preserve"> z novembra 2025,</w:t>
      </w:r>
    </w:p>
    <w:p w14:paraId="27CC1382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správu Bazilejského výboru pre bankový dohľad z 10. júla 2025 s názvom </w:t>
      </w:r>
      <w:proofErr w:type="spellStart"/>
      <w:r w:rsidRPr="00DB7BED">
        <w:rPr>
          <w:i/>
        </w:rPr>
        <w:t>Banks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interconnections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with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non</w:t>
      </w:r>
      <w:proofErr w:type="spellEnd"/>
      <w:r w:rsidRPr="00DB7BED">
        <w:rPr>
          <w:i/>
        </w:rPr>
        <w:t xml:space="preserve">-bank </w:t>
      </w:r>
      <w:proofErr w:type="spellStart"/>
      <w:r w:rsidRPr="00DB7BED">
        <w:rPr>
          <w:i/>
        </w:rPr>
        <w:t>financial</w:t>
      </w:r>
      <w:proofErr w:type="spellEnd"/>
      <w:r w:rsidRPr="00DB7BED">
        <w:rPr>
          <w:i/>
        </w:rPr>
        <w:t xml:space="preserve"> </w:t>
      </w:r>
      <w:proofErr w:type="spellStart"/>
      <w:r w:rsidRPr="00DB7BED">
        <w:rPr>
          <w:i/>
        </w:rPr>
        <w:t>intermediaries</w:t>
      </w:r>
      <w:proofErr w:type="spellEnd"/>
      <w:r w:rsidRPr="00DB7BED">
        <w:t xml:space="preserve"> (Prepojenia bánk s nebankovými finančnými sprostredkovateľmi),</w:t>
      </w:r>
    </w:p>
    <w:p w14:paraId="5B153B9D" w14:textId="77777777" w:rsidR="00460A16" w:rsidRPr="00DB7BED" w:rsidRDefault="00460A16" w:rsidP="00460A16">
      <w:pPr>
        <w:pStyle w:val="NormalHanging"/>
      </w:pPr>
      <w:r w:rsidRPr="00DB7BED">
        <w:lastRenderedPageBreak/>
        <w:t>–</w:t>
      </w:r>
      <w:r w:rsidRPr="00DB7BED">
        <w:tab/>
        <w:t>so zreteľom na výsledok celoeurópskeho hodnotenia transparentnosti Európskeho orgánu pre bankovníctvo za rok 2025 z decembra 2025,</w:t>
      </w:r>
    </w:p>
    <w:p w14:paraId="589CEA9F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osobitnú správu Európskeho dvora audítorov z 12. mája 2023 č. 12/2023: Dohľad EÚ nad úverovým rizikom bánk – ECB zintenzívnila svoje úsilie, ale na zvýšenie istoty, že úverové riziko je riadne riadené a kryté, treba viac,</w:t>
      </w:r>
    </w:p>
    <w:p w14:paraId="16E1C7E1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vyhlásenia </w:t>
      </w:r>
      <w:proofErr w:type="spellStart"/>
      <w:r w:rsidRPr="00DB7BED">
        <w:t>Claudie</w:t>
      </w:r>
      <w:proofErr w:type="spellEnd"/>
      <w:r w:rsidRPr="00DB7BED">
        <w:t xml:space="preserve"> </w:t>
      </w:r>
      <w:proofErr w:type="spellStart"/>
      <w:r w:rsidRPr="00DB7BED">
        <w:t>Buchovej</w:t>
      </w:r>
      <w:proofErr w:type="spellEnd"/>
      <w:r w:rsidRPr="00DB7BED">
        <w:t>, predsedníčky Rady pre dohľad ECB, na vypočutiach vo Výbore pre hospodárske a menové veci Európskeho parlamentu 27. marca 2025, 15. júla 2025 a 5. novembra 2025,</w:t>
      </w:r>
    </w:p>
    <w:p w14:paraId="6EBDCEB7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 xml:space="preserve">so zreteľom na vyhlásenia </w:t>
      </w:r>
      <w:proofErr w:type="spellStart"/>
      <w:r w:rsidRPr="00DB7BED">
        <w:t>Dominiqua</w:t>
      </w:r>
      <w:proofErr w:type="spellEnd"/>
      <w:r w:rsidRPr="00DB7BED">
        <w:t xml:space="preserve"> </w:t>
      </w:r>
      <w:proofErr w:type="spellStart"/>
      <w:r w:rsidRPr="00DB7BED">
        <w:t>Laboureixa</w:t>
      </w:r>
      <w:proofErr w:type="spellEnd"/>
      <w:r w:rsidRPr="00DB7BED">
        <w:t>, predsedu SRB, na vypočutiach vo Výbore pre hospodárske a menové veci Európskeho parlamentu 3. marca 2025, 15. júla 2025 a 5. novembra 2025,</w:t>
      </w:r>
    </w:p>
    <w:p w14:paraId="02B0235E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správy Európskeho orgánu pre bankovníctvo o posúdení rizík z júna 2025,</w:t>
      </w:r>
    </w:p>
    <w:p w14:paraId="3A497B61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 svoje uznesenie zo 14. marca 2019 o rodovej rovnováhe pri navrhovaní kandidátov v oblasti hospodárskych a menových záležitostí EÚ</w:t>
      </w:r>
      <w:r w:rsidRPr="00DB7BED">
        <w:rPr>
          <w:rStyle w:val="FootnoteReference"/>
        </w:rPr>
        <w:footnoteReference w:customMarkFollows="1" w:id="11"/>
        <w:t>11</w:t>
      </w:r>
      <w:r w:rsidRPr="00DB7BED">
        <w:t>,</w:t>
      </w:r>
    </w:p>
    <w:p w14:paraId="300F14DA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svoje uznesenie z 25. marca 2021 o posilnení medzinárodnej úlohy eura</w:t>
      </w:r>
      <w:r w:rsidRPr="00DB7BED">
        <w:rPr>
          <w:rStyle w:val="FootnoteReference"/>
        </w:rPr>
        <w:footnoteReference w:customMarkFollows="1" w:id="12"/>
        <w:t>12</w:t>
      </w:r>
      <w:r w:rsidRPr="00DB7BED">
        <w:t>,</w:t>
      </w:r>
    </w:p>
    <w:p w14:paraId="4D9FCD28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článok 55 rokovacieho poriadku,</w:t>
      </w:r>
    </w:p>
    <w:p w14:paraId="068E48D5" w14:textId="77777777" w:rsidR="00460A16" w:rsidRPr="00DB7BED" w:rsidRDefault="00460A16" w:rsidP="00460A16">
      <w:pPr>
        <w:pStyle w:val="NormalHanging"/>
      </w:pPr>
      <w:r w:rsidRPr="00DB7BED">
        <w:t>–</w:t>
      </w:r>
      <w:r w:rsidRPr="00DB7BED">
        <w:tab/>
        <w:t>so zreteľom na správu Výboru pre hospodárske a menové veci (A10-0079/2026),</w:t>
      </w:r>
    </w:p>
    <w:p w14:paraId="1B8CC9EE" w14:textId="77777777" w:rsidR="00460A16" w:rsidRPr="00DB7BED" w:rsidRDefault="00460A16" w:rsidP="00460A16">
      <w:pPr>
        <w:pStyle w:val="NormalHanging"/>
      </w:pPr>
      <w:r w:rsidRPr="00DB7BED">
        <w:t>A.</w:t>
      </w:r>
      <w:r w:rsidRPr="00DB7BED">
        <w:tab/>
        <w:t>keďže cieľom bankovej únie je chrániť bankovú stabilitu, a tým aj finančný systém, zabrániť záchrane pomocou vonkajších zdrojov financovanej daňovníkmi, posilniť odolnosť, umožniť riadne riešenie krízových situácií, znížiť fragmentáciu trhu, zlepšiť ochranu vkladateľov a zvýšiť konkurencieschopnosť, cezhraničnú činnosť a prístup k financovaniu, čím sa znížia náklady pre klientov bánk; keďže bankové služby sú pre občanov a podniky dôležité; keďže bankové prostredie EÚ a jej rôzne bankové štruktúry sú rozmanité; keďže riziko súvisiace s bankami, ktoré sú „príliš veľké na vyhlásenie úpadku“, nebolo v plnej miere vyriešené;</w:t>
      </w:r>
    </w:p>
    <w:p w14:paraId="032B6BEF" w14:textId="77777777" w:rsidR="00460A16" w:rsidRPr="00DB7BED" w:rsidRDefault="00460A16" w:rsidP="00460A16">
      <w:pPr>
        <w:pStyle w:val="NormalHanging"/>
      </w:pPr>
      <w:r w:rsidRPr="00DB7BED">
        <w:t>B.</w:t>
      </w:r>
      <w:r w:rsidRPr="00DB7BED">
        <w:tab/>
        <w:t>keďže cieľom bankovej únie je zabezpečiť, aby boli banky spoľahlivé a schopné odolávať prípadným budúcim finančným krízam; keďže krízové situácie neživotaschopných bánk sa riešia bez použitia peňazí daňovníkov a s minimálnym vplyvom na reálnu ekonomiku a fragmentácia trhu sa znižuje prostredníctvom harmonizovaných pravidiel finančného sektora;</w:t>
      </w:r>
    </w:p>
    <w:p w14:paraId="33D85357" w14:textId="77777777" w:rsidR="00460A16" w:rsidRPr="00DB7BED" w:rsidRDefault="00460A16" w:rsidP="00460A16">
      <w:pPr>
        <w:pStyle w:val="NormalHanging"/>
      </w:pPr>
      <w:r w:rsidRPr="00DB7BED">
        <w:t>C.</w:t>
      </w:r>
      <w:r w:rsidRPr="00DB7BED">
        <w:tab/>
        <w:t>keďže silné a diverzifikované bankovníctvo je kľúčom k dosiahnutiu hospodárskeho rastu, financovaniu malých a stredných podnikov (MSP) a startupov a k zabezpečeniu prechodu na zelené a digitálne hospodárstvo;</w:t>
      </w:r>
    </w:p>
    <w:p w14:paraId="0D020E32" w14:textId="77777777" w:rsidR="00460A16" w:rsidRPr="00DB7BED" w:rsidRDefault="00460A16" w:rsidP="00460A16">
      <w:pPr>
        <w:pStyle w:val="NormalHanging"/>
      </w:pPr>
      <w:r w:rsidRPr="00DB7BED">
        <w:t>D.</w:t>
      </w:r>
      <w:r w:rsidRPr="00DB7BED">
        <w:tab/>
        <w:t xml:space="preserve">keďže banková únia pozostávajúca z jednotného mechanizmu dohľadu (JMD) a jednotného mechanizmu riešenia krízových situácií (SRM) zosúlaďuje dohľad s </w:t>
      </w:r>
      <w:r w:rsidRPr="00DB7BED">
        <w:lastRenderedPageBreak/>
        <w:t>krízovým riadením a zabezpečuje vysokú úroveň ochrany vkladov na základe spoločných európskych minimálnych noriem, ale bez EDIS zostáva neúplná;</w:t>
      </w:r>
    </w:p>
    <w:p w14:paraId="22E759A0" w14:textId="77777777" w:rsidR="00460A16" w:rsidRPr="00DB7BED" w:rsidRDefault="00460A16" w:rsidP="00460A16">
      <w:pPr>
        <w:pStyle w:val="NormalHanging"/>
      </w:pPr>
      <w:r w:rsidRPr="00DB7BED">
        <w:t>E.</w:t>
      </w:r>
      <w:r w:rsidRPr="00DB7BED">
        <w:tab/>
        <w:t xml:space="preserve">keďže dokončená banková únia by bola pozitívnym vývojom pre občanov a hospodárstvo EÚ, pretože by poskytla základ pre stabilnejší bankový systém, zníženie systémového rizika, posilnenie hospodárskej súťaže, lepší výber pre spotrebiteľov, väčšie možnosti cezhraničného bankovníctva a prístupu k </w:t>
      </w:r>
      <w:proofErr w:type="spellStart"/>
      <w:r w:rsidRPr="00DB7BED">
        <w:t>retailovým</w:t>
      </w:r>
      <w:proofErr w:type="spellEnd"/>
      <w:r w:rsidRPr="00DB7BED">
        <w:t xml:space="preserve"> finančným službám, väčšie hospodárske investície, lepší prístup domácností a podnikov k financovaniu a zníženie nákladov pre klientov bánk;</w:t>
      </w:r>
    </w:p>
    <w:p w14:paraId="20661137" w14:textId="77777777" w:rsidR="00460A16" w:rsidRPr="00DB7BED" w:rsidRDefault="00460A16" w:rsidP="00460A16">
      <w:pPr>
        <w:pStyle w:val="NormalHanging"/>
      </w:pPr>
      <w:r w:rsidRPr="00DB7BED">
        <w:t>F.</w:t>
      </w:r>
      <w:r w:rsidRPr="00DB7BED">
        <w:tab/>
        <w:t>keďže nebankoví finanční sprostredkovatelia („tieňové banky“) zostávajú mimo štruktúry bankovej únie, v dôsledku čoho je bankový sektor EÚ zraniteľný voči rizikám;</w:t>
      </w:r>
    </w:p>
    <w:p w14:paraId="06AF2667" w14:textId="77777777" w:rsidR="00460A16" w:rsidRPr="00DB7BED" w:rsidRDefault="00460A16" w:rsidP="00460A16">
      <w:pPr>
        <w:pStyle w:val="NormalHanging"/>
      </w:pPr>
      <w:r w:rsidRPr="00DB7BED">
        <w:t>G.</w:t>
      </w:r>
      <w:r w:rsidRPr="00DB7BED">
        <w:tab/>
        <w:t>keďže finančná stabilita je predpokladom účinnej menovej politiky a odolného finančného systému; keďže EÚ sa už dohodla na vykonávaní rámca Bazilej III a mala by uplatňovať štandardy Bazilej III a zároveň zohľadňovať konkurencieschopnosť bankového sektora EÚ, ako aj medzinárodný vývoj;</w:t>
      </w:r>
    </w:p>
    <w:p w14:paraId="0860F279" w14:textId="77777777" w:rsidR="00460A16" w:rsidRPr="00DB7BED" w:rsidRDefault="00460A16" w:rsidP="00460A16">
      <w:pPr>
        <w:pStyle w:val="NormalHanging"/>
      </w:pPr>
      <w:r w:rsidRPr="00DB7BED">
        <w:t>H.</w:t>
      </w:r>
      <w:r w:rsidRPr="00DB7BED">
        <w:tab/>
        <w:t>keďže ruská agresia voči Ukrajine a jej hospodárske a sociálne dôsledky majú a budú aj naďalej mať priamy a nepriamy vplyv na bankový sektor EÚ; keďže banky EÚ zohrávajú kľúčovú úlohu pri zabezpečovaní pokračujúceho vykonávania a dodržiavania sankcií, ktoré uvalila EÚ voči Rusku v reakcii na inváziu;</w:t>
      </w:r>
    </w:p>
    <w:p w14:paraId="0A42B027" w14:textId="77777777" w:rsidR="00460A16" w:rsidRPr="00DB7BED" w:rsidRDefault="00460A16" w:rsidP="00460A16">
      <w:pPr>
        <w:pStyle w:val="NormalHanging"/>
      </w:pPr>
      <w:r w:rsidRPr="00DB7BED">
        <w:t>I.</w:t>
      </w:r>
      <w:r w:rsidRPr="00DB7BED">
        <w:tab/>
        <w:t>keďže jedným z kľúčových cieľov bankovej únie je, aby daňovníci neznášali náklady na nápravné opatrenia v prípade zlyhania banky;</w:t>
      </w:r>
    </w:p>
    <w:p w14:paraId="3B6C7161" w14:textId="77777777" w:rsidR="00460A16" w:rsidRPr="00DB7BED" w:rsidRDefault="00460A16" w:rsidP="00460A16">
      <w:pPr>
        <w:pStyle w:val="NormalHanging"/>
      </w:pPr>
      <w:r w:rsidRPr="00DB7BED">
        <w:t>J.</w:t>
      </w:r>
      <w:r w:rsidRPr="00DB7BED">
        <w:tab/>
        <w:t xml:space="preserve">keďže zmena klímy, zhoršovanie životného prostredia a prechod na </w:t>
      </w:r>
      <w:proofErr w:type="spellStart"/>
      <w:r w:rsidRPr="00DB7BED">
        <w:t>nízkouhlíkové</w:t>
      </w:r>
      <w:proofErr w:type="spellEnd"/>
      <w:r w:rsidRPr="00DB7BED">
        <w:t xml:space="preserve"> hospodárstvo môžu predstavovať riziká pre finančnú stabilitu a sú faktormi, ktoré možno zohľadniť pri posudzovaní rizík pre banky;</w:t>
      </w:r>
    </w:p>
    <w:p w14:paraId="4A466C55" w14:textId="77777777" w:rsidR="00460A16" w:rsidRPr="00DB7BED" w:rsidRDefault="00460A16" w:rsidP="00460A16">
      <w:pPr>
        <w:pStyle w:val="NormalHanging"/>
      </w:pPr>
      <w:r w:rsidRPr="00DB7BED">
        <w:t>K.</w:t>
      </w:r>
      <w:r w:rsidRPr="00DB7BED">
        <w:tab/>
        <w:t>keďže digitálne euro by zvýšilo efektívnosť platieb EÚ, odolnosť, finančné začlenenie, inovácie, dôveru verejnosti a medzinárodnú úlohu eura;</w:t>
      </w:r>
    </w:p>
    <w:p w14:paraId="0AB6C768" w14:textId="77777777" w:rsidR="00460A16" w:rsidRPr="00DB7BED" w:rsidRDefault="00460A16" w:rsidP="00460A16">
      <w:pPr>
        <w:pStyle w:val="NormalHanging"/>
      </w:pPr>
      <w:r w:rsidRPr="00DB7BED">
        <w:t>L.</w:t>
      </w:r>
      <w:r w:rsidRPr="00DB7BED">
        <w:tab/>
        <w:t>keďže banky EÚ vykazujú od roku 2022 rekordné zisky vďaka oneskorenému prenosu politík sprísňovania menovej politiky; keďže viaceré členské štáty zaviedli dočasné bankové odvody s cieľom zabezpečiť spravodlivý príspevok a zároveň zachovať stabilitu a sociálnu súdržnosť;</w:t>
      </w:r>
    </w:p>
    <w:p w14:paraId="210CA20C" w14:textId="77777777" w:rsidR="00460A16" w:rsidRPr="00DB7BED" w:rsidRDefault="00460A16" w:rsidP="00460A16">
      <w:pPr>
        <w:pStyle w:val="NormalHanging"/>
      </w:pPr>
      <w:r w:rsidRPr="00DB7BED">
        <w:t>M.</w:t>
      </w:r>
      <w:r w:rsidRPr="00DB7BED">
        <w:tab/>
        <w:t>keďže Komisia sa vo svojom oznámení s názvom Únia úspor a investícií z marca 2025 zaväzuje prijať „rozhodné kroky v záujme ďalšieho rozvoja bankovej únie vrátane určenia smerovania v súvislosti s európskym systémom ochrany vkladov“, ale odvtedy stále nepredložila žiadny návrh týkajúci sa dobudovania bankovej únie;</w:t>
      </w:r>
    </w:p>
    <w:p w14:paraId="7CB161D9" w14:textId="77777777" w:rsidR="00460A16" w:rsidRPr="00DB7BED" w:rsidRDefault="00460A16" w:rsidP="00460A16">
      <w:pPr>
        <w:pStyle w:val="NormalHanging"/>
      </w:pPr>
      <w:r w:rsidRPr="00DB7BED">
        <w:t>N.</w:t>
      </w:r>
      <w:r w:rsidRPr="00DB7BED">
        <w:tab/>
        <w:t>keďže banky sú základným pilierom nášho hospodárstva a bankový sektor patrí medzi strategicky najdôležitejšie odvetvia; keďže stabilita, odolnosť a konkurencieschopnosť majú zásadný význam pre zabezpečenie toho, aby sa finančný systém mohol prispôsobiť globálnym výzvam, podporovať inovácie a účinne uspokojovať potreby podnikov a občanov;</w:t>
      </w:r>
    </w:p>
    <w:p w14:paraId="3C03CA94" w14:textId="77777777" w:rsidR="00460A16" w:rsidRPr="00DB7BED" w:rsidRDefault="00460A16" w:rsidP="00460A16">
      <w:pPr>
        <w:pStyle w:val="NormalHanging"/>
      </w:pPr>
      <w:r w:rsidRPr="00DB7BED">
        <w:t>O.</w:t>
      </w:r>
      <w:r w:rsidRPr="00DB7BED">
        <w:tab/>
        <w:t>keďže tokeny elektronických peňazí sa čoraz viac používajú a sú čoraz užšie prepojené s bankami v rámci bankovej únie;</w:t>
      </w:r>
    </w:p>
    <w:p w14:paraId="787F5645" w14:textId="77777777" w:rsidR="00460A16" w:rsidRPr="00DB7BED" w:rsidRDefault="00460A16" w:rsidP="00460A16">
      <w:pPr>
        <w:pStyle w:val="Normal12a"/>
      </w:pPr>
      <w:r w:rsidRPr="00DB7BED">
        <w:rPr>
          <w:b/>
          <w:i/>
        </w:rPr>
        <w:lastRenderedPageBreak/>
        <w:t xml:space="preserve">Všeobecné aspekty </w:t>
      </w:r>
    </w:p>
    <w:p w14:paraId="481D9259" w14:textId="77777777" w:rsidR="00460A16" w:rsidRPr="00DB7BED" w:rsidRDefault="00460A16" w:rsidP="00460A16">
      <w:pPr>
        <w:pStyle w:val="NormalHanging12a"/>
      </w:pPr>
      <w:r w:rsidRPr="00DB7BED">
        <w:t>1.</w:t>
      </w:r>
      <w:r w:rsidRPr="00DB7BED">
        <w:tab/>
        <w:t xml:space="preserve">víta pokrok dosiahnutý v súvislosti s jednotným mechanizmom dohľadu a jednotným mechanizmom riešenia krízových situácií za posledné desaťročie; vyzýva na úplné a rýchle dobudovanie bankovej únie vrátane pokračujúcej práce na vytvorení jej tretieho piliera, systému EDIS, a opatrení na prehĺbenie integrácie trhu a uľahčenie účinného obehu kapitálu a likvidity v rámci bankových skupín; zdôrazňuje, že banková únia musí podporovať </w:t>
      </w:r>
      <w:proofErr w:type="spellStart"/>
      <w:r w:rsidRPr="00DB7BED">
        <w:t>inkluzívnejší</w:t>
      </w:r>
      <w:proofErr w:type="spellEnd"/>
      <w:r w:rsidRPr="00DB7BED">
        <w:t>, konkurencieschopnejší a udržateľnejší finančný systém v súlade so sociálnou súdržnosťou a dvojakou transformáciou;</w:t>
      </w:r>
    </w:p>
    <w:p w14:paraId="31842EC8" w14:textId="77777777" w:rsidR="00460A16" w:rsidRPr="00DB7BED" w:rsidRDefault="00460A16" w:rsidP="00460A16">
      <w:pPr>
        <w:pStyle w:val="NormalHanging12a"/>
      </w:pPr>
      <w:r w:rsidRPr="00DB7BED">
        <w:t>2.</w:t>
      </w:r>
      <w:r w:rsidRPr="00DB7BED">
        <w:tab/>
        <w:t>vyzýva Komisiu, aby ako prioritu riešila dobudovanie bankovej únie a únie úspor a investícií; zdôrazňuje ich význam pre občanov, MSP a reálnu ekonomiku tým, že podporujú odolnosť, udržateľnú prosperitu, kvalitné pracovné miesta a finančnú stabilitu; zdôrazňuje, že integrovanejšia banková únia by podporila rast a konkurencieschopnosť európskych bánk; zdôrazňuje potrebu silného a spoľahlivého rámca, ktorý bude založený na jasných pravidlách a povinnostiach a zabráni masovému výberu vkladov z bánk, zvýši finančnú stabilitu a konkurencieschopnosť a posilní bankový sektor EÚ; zdôrazňuje, že dobudovanie únie kapitálových trhov spolu s rozvojom bankovej únie pomôže vytvoriť lepšie podmienky na financovanie európskeho hospodárstva tak pre domácnosti, ako aj pre spoločnosti, ktoré sú stále vo veľkej miere závislé od bankových úverov, s cieľom podporiť investície a vytváranie pracovných miest, a zároveň prispieť k odolnosti európskeho hospodárstva;</w:t>
      </w:r>
    </w:p>
    <w:p w14:paraId="37038F51" w14:textId="77777777" w:rsidR="00460A16" w:rsidRPr="00DB7BED" w:rsidRDefault="00460A16" w:rsidP="00460A16">
      <w:pPr>
        <w:pStyle w:val="NormalHanging12a"/>
      </w:pPr>
      <w:r w:rsidRPr="00DB7BED">
        <w:t>3.</w:t>
      </w:r>
      <w:r w:rsidRPr="00DB7BED">
        <w:tab/>
        <w:t>zdôrazňuje, že úrokové sadzby ponúkané domácnostiam a MSP v členských štátoch sú veľmi rozdielne; nabáda Komisiu, aby zvážila opatrenia na zabezpečenie lepšieho prístupu k financovaniu pre všetkých občanov a podniky, najmä v prípade MSP, ktoré potrebujú veľmi potrebný kapitál za spravodlivé a konkurencieschopné sadzby;</w:t>
      </w:r>
    </w:p>
    <w:p w14:paraId="1E9DD60B" w14:textId="77C0444D" w:rsidR="00460A16" w:rsidRPr="00DB7BED" w:rsidRDefault="00460A16" w:rsidP="00460A16">
      <w:pPr>
        <w:pStyle w:val="NormalHanging12a"/>
      </w:pPr>
      <w:r w:rsidRPr="00DB7BED">
        <w:t>4.</w:t>
      </w:r>
      <w:r w:rsidRPr="00DB7BED">
        <w:tab/>
        <w:t xml:space="preserve">zdôrazňuje úlohu bankového sektora pri financovaní dvojakej transformácie; zdôrazňuje úsilie o zjednodušenie rámca EÚ pre udržateľné financovanie s cieľom zabezpečiť súdržnosť, znížiť duplicitu a zosúladiť povinnosti v rámci pravidiel v oblasti bankovníctva, zverejňovania informácií a riadenia rizík; upozorňuje na odporúčanie Európskeho orgánu pre poisťovníctvo a dôchodkové poistenie zamestnancov stanoviť vyššie kapitálové požiadavky na uviaznuté aktíva; </w:t>
      </w:r>
    </w:p>
    <w:p w14:paraId="28291FA4" w14:textId="77777777" w:rsidR="00460A16" w:rsidRPr="00DB7BED" w:rsidRDefault="00460A16" w:rsidP="00460A16">
      <w:pPr>
        <w:pStyle w:val="NormalHanging12a"/>
      </w:pPr>
      <w:r w:rsidRPr="00DB7BED">
        <w:t>5.</w:t>
      </w:r>
      <w:r w:rsidRPr="00DB7BED">
        <w:tab/>
        <w:t xml:space="preserve">vyjadruje poľutovanie nad pretrvávajúcimi prekážkami cezhraničných </w:t>
      </w:r>
      <w:proofErr w:type="spellStart"/>
      <w:r w:rsidRPr="00DB7BED">
        <w:t>retailových</w:t>
      </w:r>
      <w:proofErr w:type="spellEnd"/>
      <w:r w:rsidRPr="00DB7BED">
        <w:t xml:space="preserve"> bankových služieb; zdôrazňuje potenciál integrovanej bankovej únie zlepšiť hospodársku súťaž a výber pre spotrebiteľov v oblasti </w:t>
      </w:r>
      <w:proofErr w:type="spellStart"/>
      <w:r w:rsidRPr="00DB7BED">
        <w:t>retailového</w:t>
      </w:r>
      <w:proofErr w:type="spellEnd"/>
      <w:r w:rsidRPr="00DB7BED">
        <w:t xml:space="preserve"> bankovníctva, a to aj prostredníctvom lepších možností poskytovania cezhraničných </w:t>
      </w:r>
      <w:proofErr w:type="spellStart"/>
      <w:r w:rsidRPr="00DB7BED">
        <w:t>retailových</w:t>
      </w:r>
      <w:proofErr w:type="spellEnd"/>
      <w:r w:rsidRPr="00DB7BED">
        <w:t xml:space="preserve"> bankových služieb;</w:t>
      </w:r>
    </w:p>
    <w:p w14:paraId="4CAFA088" w14:textId="053EEB06" w:rsidR="00460A16" w:rsidRPr="00DB7BED" w:rsidRDefault="00460A16" w:rsidP="00460A16">
      <w:pPr>
        <w:pStyle w:val="NormalHanging12a"/>
      </w:pPr>
      <w:r w:rsidRPr="00DB7BED">
        <w:t>6.</w:t>
      </w:r>
      <w:r w:rsidRPr="00DB7BED">
        <w:tab/>
        <w:t xml:space="preserve">berie na vedomie pokrok dosiahnutý v rokovaniach o digitálnom eure, ktoré sa uskutočnili v online aj </w:t>
      </w:r>
      <w:proofErr w:type="spellStart"/>
      <w:r w:rsidRPr="00DB7BED">
        <w:t>offline</w:t>
      </w:r>
      <w:proofErr w:type="spellEnd"/>
      <w:r w:rsidRPr="00DB7BED">
        <w:t xml:space="preserve"> podobe; víta potenciál digitálneho eura dopĺňať a zachovať hotovosť a zároveň posilniť finančnú suverenitu a autonómiu EÚ a prispieť k finančnej inklúzii; víta finalizáciu všeobecného smerovania Rady týkajúceho sa digitálneho eura v decembri 2025 a považuje za nevyhnutné, aby </w:t>
      </w:r>
      <w:r w:rsidR="00B50A5D" w:rsidRPr="00DB7BED">
        <w:t>Európsky p</w:t>
      </w:r>
      <w:r w:rsidRPr="00DB7BED">
        <w:t>arlament čo najskôr sfinalizoval svoju vlastnú pozíciu;</w:t>
      </w:r>
    </w:p>
    <w:p w14:paraId="08AE65F7" w14:textId="59CAE8FF" w:rsidR="00460A16" w:rsidRPr="00DB7BED" w:rsidRDefault="00460A16" w:rsidP="00460A16">
      <w:pPr>
        <w:pStyle w:val="NormalHanging12a"/>
      </w:pPr>
      <w:r w:rsidRPr="00DB7BED">
        <w:t>7.</w:t>
      </w:r>
      <w:r w:rsidRPr="00DB7BED">
        <w:tab/>
        <w:t xml:space="preserve">považuje pokrok v oblasti rodovej vyváženosti vo finančných inštitúciách, najmä v manažmente, za obmedzený; zdôrazňuje, že rôznorodé vedenie a lepší prístup podnikov </w:t>
      </w:r>
      <w:r w:rsidRPr="00DB7BED">
        <w:lastRenderedPageBreak/>
        <w:t>pod vedením žien k financovaniu</w:t>
      </w:r>
      <w:r w:rsidRPr="00DB7BED">
        <w:rPr>
          <w:rStyle w:val="FootnoteReference"/>
        </w:rPr>
        <w:footnoteReference w:customMarkFollows="1" w:id="13"/>
        <w:t>13</w:t>
      </w:r>
      <w:r w:rsidRPr="00DB7BED">
        <w:t xml:space="preserve"> posilňujú správu vecí verejných, inovácie a hospodársku výkonnosť; vyzýva finančné inštitúcie, zainteresované strany, Komisiu a členské štáty, aby prijali účinné stratégie rozmanitosti, monitorovali rodové rozdiely a začlenili rodovú rovnosť do rámcov dohľadu a investičných rámcov s cieľom zabezpečiť inkluzívny prístup ku kapitálu v celej EÚ; pripomína postoj </w:t>
      </w:r>
      <w:r w:rsidR="00B50A5D" w:rsidRPr="00DB7BED">
        <w:t>Európskeho p</w:t>
      </w:r>
      <w:r w:rsidRPr="00DB7BED">
        <w:t>arlamentu, ktorým je podporovať a uprednostňovať rodovo vyvážené užšie zoznamy pre budúcich kandidátov; zdôrazňuje význam zabezpečenia rodovej rovnováhy na všetkých úrovniach riadenia v inštitúciách a orgánoch EÚ, ktoré sú zodpovedné za bankovú úniu;</w:t>
      </w:r>
    </w:p>
    <w:p w14:paraId="258A5F11" w14:textId="77777777" w:rsidR="00460A16" w:rsidRPr="00DB7BED" w:rsidRDefault="00460A16" w:rsidP="00460A16">
      <w:pPr>
        <w:pStyle w:val="NormalHanging12a"/>
      </w:pPr>
      <w:r w:rsidRPr="00DB7BED">
        <w:t>8.</w:t>
      </w:r>
      <w:r w:rsidRPr="00DB7BED">
        <w:tab/>
        <w:t>berie na vedomie, že po zvýšení úrokových sadzieb ECB sa ziskovosť a odolnosť bánk v EÚ výrazne zlepšila</w:t>
      </w:r>
      <w:r w:rsidRPr="00DB7BED">
        <w:rPr>
          <w:rStyle w:val="FootnoteReference"/>
        </w:rPr>
        <w:footnoteReference w:customMarkFollows="1" w:id="14"/>
        <w:t>14</w:t>
      </w:r>
      <w:r w:rsidRPr="00DB7BED">
        <w:t xml:space="preserve"> a v roku 2025 zostala vysoká; zdôrazňuje, že táto ziskovosť a odolnosť môže podporiť nevyhnutné investície do hospodárstva EÚ a financovanie domácností a spoločností, najmä MSP a startupov, ako aj mladých odborníkov; podčiarkuje dôležitú úlohu, ktorú zohrávajú banky pri podpore MSP a miestnych ekonomík, a vyzýva Komisiu, aby zabezpečila, že každá regulácia zostane citlivá na riziko; zdôrazňuje, že úverové inštitúcie prijímajúce štátnu pomoc musia fungovať v rámci obozretných parametrov týkajúcich sa dividend, spätného odkupovania akcií a variabilných zložiek odmeňovania;</w:t>
      </w:r>
    </w:p>
    <w:p w14:paraId="486DDAB4" w14:textId="77777777" w:rsidR="00460A16" w:rsidRPr="00DB7BED" w:rsidRDefault="00460A16" w:rsidP="00460A16">
      <w:pPr>
        <w:pStyle w:val="NormalHanging12a"/>
      </w:pPr>
      <w:r w:rsidRPr="00DB7BED">
        <w:t>9.</w:t>
      </w:r>
      <w:r w:rsidRPr="00DB7BED">
        <w:tab/>
        <w:t xml:space="preserve">zdôrazňuje, že riadne fungovanie a dôveryhodnosť bankovej únie závisí aj od úplného dodržiavania a účinného presadzovania právnych predpisov EÚ v oblasti ochrany spotrebiteľa v bankovom sektore; zdôrazňuje, že úverové inštitúcie sa musia zdržať používania nespravodlivých zmluvných podmienok a obchodných praktík, najmä pri hypotekárnych a </w:t>
      </w:r>
      <w:proofErr w:type="spellStart"/>
      <w:r w:rsidRPr="00DB7BED">
        <w:t>retailových</w:t>
      </w:r>
      <w:proofErr w:type="spellEnd"/>
      <w:r w:rsidRPr="00DB7BED">
        <w:t xml:space="preserve"> úveroch; zdôrazňuje, že spotrebiteľom vrátane dlžníkov sa musí poskytnúť účinná ochrana, právna istota a prístup k účinnej náprave; v tejto súvislosti vyzýva členské štáty a príslušné orgány, aby zabezpečili spoľahlivý dohľad a opatrenia na presadzovanie práva v prípadoch porušenia; ďalej zdôrazňuje, že je dôležité zabezpečiť primeranú ochranu hlavných obydlí, najmä v prípade zraniteľných domácností, s prihliadnutím na veľkosť obydlia a na to, či dlžníci už splatili podstatnú časť svojho úveru, napríklad 50 % počiatočného úveru;</w:t>
      </w:r>
    </w:p>
    <w:p w14:paraId="396C08D4" w14:textId="77777777" w:rsidR="00460A16" w:rsidRPr="00DB7BED" w:rsidRDefault="00460A16" w:rsidP="00460A16">
      <w:pPr>
        <w:pStyle w:val="NormalHanging12a"/>
      </w:pPr>
      <w:r w:rsidRPr="00DB7BED">
        <w:t>10.</w:t>
      </w:r>
      <w:r w:rsidRPr="00DB7BED">
        <w:tab/>
        <w:t xml:space="preserve">víta úlohu Úradu pre boj proti praniu špinavých peňazí a financovaniu terorizmu (AMLA) pri posilňovaní boja EÚ proti praniu špinavých peňazí a financovaniu terorizmu; vyzýva na jeho dôsledné vykonávanie, posilnenú spoluprácu, výmenu informácií a koordinované presadzovanie v celej EÚ; zdôrazňuje potrebu účinnej spolupráce medzi úradom AMLA a európskymi orgánmi dohľadu a </w:t>
      </w:r>
      <w:proofErr w:type="spellStart"/>
      <w:r w:rsidRPr="00DB7BED">
        <w:t>prudenciálnymi</w:t>
      </w:r>
      <w:proofErr w:type="spellEnd"/>
      <w:r w:rsidRPr="00DB7BED">
        <w:t xml:space="preserve"> orgánmi; zdôrazňuje, že je potrebné, aby úrad AMLA pri svojej práci v oblasti dohľadu a regulácie dodržiaval zásadu proporcionality a koordinácie;</w:t>
      </w:r>
    </w:p>
    <w:p w14:paraId="009B73E7" w14:textId="77777777" w:rsidR="00460A16" w:rsidRPr="00DB7BED" w:rsidRDefault="00460A16" w:rsidP="00460A16">
      <w:pPr>
        <w:pStyle w:val="NormalHanging12a"/>
      </w:pPr>
      <w:r w:rsidRPr="00DB7BED">
        <w:t>11.</w:t>
      </w:r>
      <w:r w:rsidRPr="00DB7BED">
        <w:tab/>
        <w:t xml:space="preserve">zdôrazňuje, že pre dohľad a stabilitu má zásadný význam spoľahlivé, primerané, konzistentné a včasné finančné výkazníctvo; zdôrazňuje dôležitosť právnej istoty, predvídateľnosti a stability pre bankový sektor a to, že zjednodušenie nesmie oslabiť </w:t>
      </w:r>
      <w:proofErr w:type="spellStart"/>
      <w:r w:rsidRPr="00DB7BED">
        <w:t>prudenciálne</w:t>
      </w:r>
      <w:proofErr w:type="spellEnd"/>
      <w:r w:rsidRPr="00DB7BED">
        <w:t xml:space="preserve"> štandardy, štandardy odolnosti, ochrany spotrebiteľa ani štandardy stability; zdôrazňuje potrebu ďalších opatrení na podporu digitalizácie a zjednodušenia pri zachovaní týchto štandardov; vyzýva na vyvážený a integrovanejší prístup vrátane </w:t>
      </w:r>
      <w:r w:rsidRPr="00DB7BED">
        <w:lastRenderedPageBreak/>
        <w:t>centralizovaného dátového centra založeného na štandardizovaných vymedzeniach pojmov, spoločnom údajovom slovníku a spoločnom úložisku žiadostí, aby sa obmedzila zbytočná zložitosť medzi orgánmi, znížila duplicita a zlepšila kvalita údajov a zároveň zachovala spoľahlivosť rámca bankovej únie;</w:t>
      </w:r>
    </w:p>
    <w:p w14:paraId="66BA11F3" w14:textId="77777777" w:rsidR="00460A16" w:rsidRPr="00DB7BED" w:rsidRDefault="00460A16" w:rsidP="00460A16">
      <w:pPr>
        <w:pStyle w:val="NormalHanging12a"/>
      </w:pPr>
      <w:r w:rsidRPr="00DB7BED">
        <w:t>12.</w:t>
      </w:r>
      <w:r w:rsidRPr="00DB7BED">
        <w:tab/>
        <w:t>uznáva inštitucionálny a regulačný pokrok, ktorým sa posilnila odolnosť bánk eurozóny; konštatuje, že stále pretrvávajú značné prekážky, ktoré bránia uvoľneniu plného potenciálu jednotného trhu EÚ s finančnými službami; vyzýva Komisiu, členské štáty a orgány EÚ, aby zosúladili ambície s konkrétnymi krokmi na dokončenie únie úspor a investícií a jednotného trhu, čím sa podporí zjednodušenie a konkurencieschopnosť; vyzýva Komisiu, aby vo svojej správe o konkurencieschopnosti bankového sektora EÚ za rok 2026 navrhla zmysluplné opatrenia zamerané na zvýšenie konkurencieschopnosti bánk EÚ a zároveň na ochranu zásadnej úlohy bánk pri financovaní investícií potrebných na realizáciu zelenej a digitálnej transformácie Únie;</w:t>
      </w:r>
    </w:p>
    <w:p w14:paraId="0B4F777D" w14:textId="77777777" w:rsidR="00460A16" w:rsidRPr="00DB7BED" w:rsidRDefault="00460A16" w:rsidP="00460A16">
      <w:pPr>
        <w:pStyle w:val="NormalHanging12a"/>
      </w:pPr>
      <w:r w:rsidRPr="00DB7BED">
        <w:t>13.</w:t>
      </w:r>
      <w:r w:rsidRPr="00DB7BED">
        <w:tab/>
        <w:t>zdôrazňuje, že vzhľadom na pretrvávajúcu geopolitickú neistotu, potenciálne nadhodnotené akciové trhy a nedávne prípady otrasov v Spojených štátoch amerických po netransparentnom poskytovaní úverov v nebankovom sektore (súkromné úvery) by si orgány dohľadu mali zachovať výhľad do budúcnosti a dostatočne monitorovať riziká a že banky by si mali zachovať primerané kapitálové vankúše a mali by byť prevádzkovo odolné; v tejto súvislosti zdôrazňuje potrebu zlepšiť dohľad a odolnosť nebankových finančných sprostredkovateľov; zdôrazňuje, že obozretný dohľad v súčasnosti môže chrániť daňovníkov, vkladateľov a reálnu ekonomiku pred stratami zajtrajška;</w:t>
      </w:r>
    </w:p>
    <w:p w14:paraId="02A7BE0C" w14:textId="77777777" w:rsidR="00460A16" w:rsidRPr="00DB7BED" w:rsidRDefault="00460A16" w:rsidP="00460A16">
      <w:pPr>
        <w:pStyle w:val="Normal12a"/>
      </w:pPr>
      <w:r w:rsidRPr="00DB7BED">
        <w:rPr>
          <w:b/>
          <w:i/>
        </w:rPr>
        <w:t xml:space="preserve">Dohľad </w:t>
      </w:r>
    </w:p>
    <w:p w14:paraId="78327858" w14:textId="77777777" w:rsidR="00460A16" w:rsidRPr="00DB7BED" w:rsidRDefault="00460A16" w:rsidP="00460A16">
      <w:pPr>
        <w:pStyle w:val="NormalHanging12a"/>
      </w:pPr>
      <w:r w:rsidRPr="00DB7BED">
        <w:t>14.</w:t>
      </w:r>
      <w:r w:rsidRPr="00DB7BED">
        <w:tab/>
        <w:t xml:space="preserve">konštatuje, že súhrnný podiel vlastného kapitálu </w:t>
      </w:r>
      <w:proofErr w:type="spellStart"/>
      <w:r w:rsidRPr="00DB7BED">
        <w:t>Tier</w:t>
      </w:r>
      <w:proofErr w:type="spellEnd"/>
      <w:r w:rsidRPr="00DB7BED">
        <w:t xml:space="preserve"> 1 (CET1) bánk JMD dosiahol v 2. štvrťroku 2025 úroveň 16,12 %, pričom návratnosť vlastného kapitálu (ROE) dosiahla 10,11 %, zatiaľ čo podiel nesplácaných úverov sa znížil na 2,22 % a úvery vo fáze 2 sú na úrovni 9,59 %</w:t>
      </w:r>
      <w:r w:rsidRPr="00DB7BED">
        <w:rPr>
          <w:rStyle w:val="FootnoteReference"/>
        </w:rPr>
        <w:footnoteReference w:customMarkFollows="1" w:id="15"/>
        <w:t>15</w:t>
      </w:r>
      <w:r w:rsidRPr="00DB7BED">
        <w:t>; zdôrazňuje, že treba monitorovať úverové riziko a zároveň zachovať dostatočný kapitál a likviditu pre odolnosť bankového sektora; zdôrazňuje, že tomuto pokroku v oblasti opatrení na zníženie rizika nezodpovedá primeraný pokrok v oblasti rozdelenia rizika;</w:t>
      </w:r>
    </w:p>
    <w:p w14:paraId="433FCBB2" w14:textId="77777777" w:rsidR="00460A16" w:rsidRPr="00DB7BED" w:rsidRDefault="00460A16" w:rsidP="00460A16">
      <w:pPr>
        <w:pStyle w:val="NormalHanging12a"/>
      </w:pPr>
      <w:r w:rsidRPr="00DB7BED">
        <w:t>15.</w:t>
      </w:r>
      <w:r w:rsidRPr="00DB7BED">
        <w:tab/>
        <w:t>zdôrazňuje nepriaznivé makroekonomické podmienky a geopolitické nepriaznivé vplyvy, ktoré by mohli viesť k zhoršeniu kvality aktív;</w:t>
      </w:r>
    </w:p>
    <w:p w14:paraId="017642A9" w14:textId="77777777" w:rsidR="00460A16" w:rsidRPr="00DB7BED" w:rsidRDefault="00460A16" w:rsidP="00460A16">
      <w:pPr>
        <w:pStyle w:val="NormalHanging12a"/>
      </w:pPr>
      <w:r w:rsidRPr="00DB7BED">
        <w:t>16.</w:t>
      </w:r>
      <w:r w:rsidRPr="00DB7BED">
        <w:tab/>
        <w:t xml:space="preserve">konštatuje, že banky sú čoraz viac vystavené nebankovým finančným sprostredkovateľom, čo vytvára potenciálne riziká od likvidity až po expozíciu voči protistrane, a vyzýva na komplexný európsky dohľad nad sektorom nebankových finančných sprostredkovateľov; zdôrazňuje, že medzinárodné orgány a orgány EÚ opakovane zdôraznili riziká vyplývajúce z nebankového sektora, najmä z dôvodu jeho zvýšenej prepojenosti s tradičným bankovým sektorom; podporuje </w:t>
      </w:r>
      <w:proofErr w:type="spellStart"/>
      <w:r w:rsidRPr="00DB7BED">
        <w:t>celosystémové</w:t>
      </w:r>
      <w:proofErr w:type="spellEnd"/>
      <w:r w:rsidRPr="00DB7BED">
        <w:t xml:space="preserve"> stresové testy na posúdenie odolnosti základného trhu; naliehavo vyzýva Komisiu, aby preskúmala nedostatky v súbore nástrojov dohľadu vrátane rizík likvidity a </w:t>
      </w:r>
      <w:r w:rsidRPr="00DB7BED">
        <w:lastRenderedPageBreak/>
        <w:t>systémových rizík a aby v prípade potreby navrhla opatrenia na ochranu finančnej stability;</w:t>
      </w:r>
    </w:p>
    <w:p w14:paraId="30E7FC73" w14:textId="77777777" w:rsidR="00460A16" w:rsidRPr="00DB7BED" w:rsidRDefault="00460A16" w:rsidP="00460A16">
      <w:pPr>
        <w:pStyle w:val="NormalHanging12a"/>
      </w:pPr>
      <w:r w:rsidRPr="00DB7BED">
        <w:t>17.</w:t>
      </w:r>
      <w:r w:rsidRPr="00DB7BED">
        <w:tab/>
        <w:t>víta dokončenie a vykonávanie rámca Bazilej III, ktorý posilní odolnosť v EÚ; konštatuje, že iné jurisdikcie realizovali menej ambiciózny program vykonávania; zdôrazňuje pretrvávajúci nedostatok jasnosti, pokiaľ ide o vykonávanie noriem Bazilej III v niektorých iných jurisdikciách; pripomína, že jednotný mechanizmus dohľadu niekoľkokrát zopakoval, že zavedením zásadného preskúmania obchodnej knihy by sa posilnila odolnosť bánk EÚ a neoslabila by sa ich konkurencieschopnosť; vyzýva Komisiu, aby preskúmala rozhodnutia o rovnocennosti s jurisdikciami, ktoré tieto normy neuplatňujú;</w:t>
      </w:r>
    </w:p>
    <w:p w14:paraId="4ECCA450" w14:textId="77777777" w:rsidR="00460A16" w:rsidRPr="00DB7BED" w:rsidRDefault="00460A16" w:rsidP="00460A16">
      <w:pPr>
        <w:pStyle w:val="NormalHanging12a"/>
      </w:pPr>
      <w:r w:rsidRPr="00DB7BED">
        <w:t>18.</w:t>
      </w:r>
      <w:r w:rsidRPr="00DB7BED">
        <w:tab/>
        <w:t>berie na vedomie publikáciu ECB</w:t>
      </w:r>
      <w:r w:rsidRPr="00DB7BED">
        <w:rPr>
          <w:rStyle w:val="FootnoteReference"/>
        </w:rPr>
        <w:footnoteReference w:customMarkFollows="1" w:id="16"/>
        <w:t>16</w:t>
      </w:r>
      <w:r w:rsidRPr="00DB7BED">
        <w:t>, v ktorej sa uvádza, že vysoké kapitálové požiadavky neobmedzujú konkurencieschopnosť bánk, ale skôr zabezpečujú ich odolnosť a schopnosť financovať hospodárstvo počas celého cyklu;</w:t>
      </w:r>
    </w:p>
    <w:p w14:paraId="1BC882EB" w14:textId="77777777" w:rsidR="00460A16" w:rsidRPr="00DB7BED" w:rsidRDefault="00460A16" w:rsidP="00460A16">
      <w:pPr>
        <w:pStyle w:val="NormalHanging12a"/>
      </w:pPr>
      <w:r w:rsidRPr="00DB7BED">
        <w:t>19.</w:t>
      </w:r>
      <w:r w:rsidRPr="00DB7BED">
        <w:tab/>
        <w:t>vyjadruje poľutovanie nad rastúcim počtom zatvorených bankových pobočiek, čo ovplyvňuje zraniteľné a okrajové komunity; pripomína právo občanov na prístup k základným finančným službám; zdôrazňuje úlohu menších bánk v prístupe domácností a malých podnikov k službám; zdôrazňuje, že rozmanitosť bankových obchodných modelov zvyšuje odolnosť finančného systému; uznáva význam digitalizácie a umelej inteligencie pri posilňovaní účinnosti bankového sektora; so znepokojením však konštatuje, že v súvislosti s umelou inteligenciou došlo k stratám pracovných miest; vyzýva úverové inštitúcie, aby zaviedli politiky rekvalifikácie a zabezpečili ľudský dohľad v automatizovaných rozhodnutiach; zdôrazňuje potrebu zabezpečiť kvalitu pracovných miest, spravodlivé podmienky a spravodlivý prístup k bankovým službám;</w:t>
      </w:r>
    </w:p>
    <w:p w14:paraId="7653381A" w14:textId="77777777" w:rsidR="00460A16" w:rsidRPr="00DB7BED" w:rsidRDefault="00460A16" w:rsidP="00460A16">
      <w:pPr>
        <w:pStyle w:val="NormalHanging12a"/>
      </w:pPr>
      <w:r w:rsidRPr="00DB7BED">
        <w:t>20.</w:t>
      </w:r>
      <w:r w:rsidRPr="00DB7BED">
        <w:tab/>
        <w:t xml:space="preserve">uznáva osobitné riziká, ktoré predstavujú </w:t>
      </w:r>
      <w:proofErr w:type="spellStart"/>
      <w:r w:rsidRPr="00DB7BED">
        <w:t>kryptoaktíva</w:t>
      </w:r>
      <w:proofErr w:type="spellEnd"/>
      <w:r w:rsidRPr="00DB7BED">
        <w:t xml:space="preserve">, a zároveň uznáva príležitosti, ktoré ponúkajú, ako sú </w:t>
      </w:r>
      <w:proofErr w:type="spellStart"/>
      <w:r w:rsidRPr="00DB7BED">
        <w:t>stablecoiny</w:t>
      </w:r>
      <w:proofErr w:type="spellEnd"/>
      <w:r w:rsidRPr="00DB7BED">
        <w:t xml:space="preserve"> denominované v eurách; požaduje dôsledný dohľad priaznivý pre inovácie s cieľom zabezpečiť, aby inovácie slúžili verejnosti; vyzýva orgány EÚ a vnútroštátne orgány, aby monitorovali expozície, riešili riziká, bojovali proti špekulatívnemu správaniu a finančnej trestnej činnosti a chránili spotrebiteľov; zdôrazňuje význam globálnych noriem v tejto oblasti;</w:t>
      </w:r>
    </w:p>
    <w:p w14:paraId="719C2944" w14:textId="77777777" w:rsidR="00460A16" w:rsidRPr="00DB7BED" w:rsidRDefault="00460A16" w:rsidP="00460A16">
      <w:pPr>
        <w:pStyle w:val="NormalHanging12a"/>
      </w:pPr>
      <w:r w:rsidRPr="00DB7BED">
        <w:t>21.</w:t>
      </w:r>
      <w:r w:rsidRPr="00DB7BED">
        <w:tab/>
        <w:t>vyzýva Komisiu, EBA a príslušné vnútroštátne orgány v rámci bankovej únie, aby zabezpečili prísne, konzistentné a verné dôsledné a presadzovanie nariadenia o trhoch s kryptoaktívami</w:t>
      </w:r>
      <w:r w:rsidRPr="00DB7BED">
        <w:rPr>
          <w:rStyle w:val="FootnoteReference"/>
        </w:rPr>
        <w:footnoteReference w:customMarkFollows="1" w:id="17"/>
        <w:t>17</w:t>
      </w:r>
      <w:r w:rsidRPr="00DB7BED">
        <w:t xml:space="preserve"> ako nevyhnutného doplnku k rámcu Únie pre finančnú stabilitu založeného na bankách;</w:t>
      </w:r>
    </w:p>
    <w:p w14:paraId="0EE7FE3B" w14:textId="77777777" w:rsidR="00460A16" w:rsidRPr="00DB7BED" w:rsidRDefault="00460A16" w:rsidP="00460A16">
      <w:pPr>
        <w:pStyle w:val="NormalHanging12a"/>
      </w:pPr>
      <w:r w:rsidRPr="00DB7BED">
        <w:t>22.</w:t>
      </w:r>
      <w:r w:rsidRPr="00DB7BED">
        <w:tab/>
        <w:t xml:space="preserve">berie na vedomie neistotu vyplývajúcu zo </w:t>
      </w:r>
      <w:proofErr w:type="spellStart"/>
      <w:r w:rsidRPr="00DB7BED">
        <w:t>stablecoinov</w:t>
      </w:r>
      <w:proofErr w:type="spellEnd"/>
      <w:r w:rsidRPr="00DB7BED">
        <w:t xml:space="preserve"> s viacnásobnou emisiou z tretích krajín pre banky EÚ; zdôrazňuje potenciálnu regulačnú arbitráž medzi jurisdikciami, ktorá by mohla viesť k hromadným výberom vkladov v bankách EÚ a mať účinky presahovania;</w:t>
      </w:r>
    </w:p>
    <w:p w14:paraId="7510DFE4" w14:textId="77777777" w:rsidR="00460A16" w:rsidRPr="00DB7BED" w:rsidRDefault="00460A16" w:rsidP="00460A16">
      <w:pPr>
        <w:pStyle w:val="Normal12a"/>
      </w:pPr>
      <w:r w:rsidRPr="00DB7BED">
        <w:rPr>
          <w:b/>
          <w:i/>
        </w:rPr>
        <w:lastRenderedPageBreak/>
        <w:t xml:space="preserve">Riešenie krízových situácií </w:t>
      </w:r>
    </w:p>
    <w:p w14:paraId="236A3274" w14:textId="77777777" w:rsidR="00460A16" w:rsidRPr="00DB7BED" w:rsidRDefault="00460A16" w:rsidP="00460A16">
      <w:pPr>
        <w:pStyle w:val="NormalHanging12a"/>
      </w:pPr>
      <w:r w:rsidRPr="00DB7BED">
        <w:t>23.</w:t>
      </w:r>
      <w:r w:rsidRPr="00DB7BED">
        <w:tab/>
        <w:t>vyzdvihuje reformu krízového riadenia a ochrany vkladov (CMDI), ktorá zabezpečila súdržné krízové riadenie a ochranu vkladov, posilnenie stability, ochranu úspor a daňovníkov a zaistila lepšie využívanie verejných finančných prostriedkov na riešenie krízových situácií vo verejnom záujme v rámci jasného regulačného rámca; zdôrazňuje, že je potrebné, aby menšie a stredné banky boli flexibilné a aby príslušné orgány mali k dispozícii účinné nástroje, údaje a mechanizmy rozhodovania s cieľom zabezpečiť odolnú a sociálne zodpovednú bankovú úniu a umožniť im účinne reagovať na zlyhania bánk a poskytovať potrebné záruky, podporené regulačným rámcom, ktorý podporuje rozvoj bánk a prispieva k odolnej a finančne stabilnej bankovej únii;</w:t>
      </w:r>
    </w:p>
    <w:p w14:paraId="3C1E5319" w14:textId="585951BB" w:rsidR="00460A16" w:rsidRPr="00DB7BED" w:rsidRDefault="00460A16" w:rsidP="00460A16">
      <w:pPr>
        <w:pStyle w:val="NormalHanging12a"/>
      </w:pPr>
      <w:r w:rsidRPr="00DB7BED">
        <w:t>24.</w:t>
      </w:r>
      <w:r w:rsidRPr="00DB7BED">
        <w:tab/>
        <w:t xml:space="preserve">víta predbežnú dohodu, ktorú 19. novembra 2025 dosiahol </w:t>
      </w:r>
      <w:r w:rsidR="00B50A5D" w:rsidRPr="00DB7BED">
        <w:t>Európsky p</w:t>
      </w:r>
      <w:r w:rsidRPr="00DB7BED">
        <w:t xml:space="preserve">arlament s Radou o smernici, ktorou sa harmonizujú určité aspekty </w:t>
      </w:r>
      <w:proofErr w:type="spellStart"/>
      <w:r w:rsidRPr="00DB7BED">
        <w:t>insolvenčného</w:t>
      </w:r>
      <w:proofErr w:type="spellEnd"/>
      <w:r w:rsidRPr="00DB7BED">
        <w:t xml:space="preserve"> práva, keďže ďalšie zosúladenie konkurzného práva a postupov reštrukturalizácie by mohlo podporiť dobudovanie bankovej únie;</w:t>
      </w:r>
    </w:p>
    <w:p w14:paraId="7266C071" w14:textId="77777777" w:rsidR="00460A16" w:rsidRPr="00DB7BED" w:rsidRDefault="00460A16" w:rsidP="00460A16">
      <w:pPr>
        <w:pStyle w:val="NormalHanging12a"/>
      </w:pPr>
      <w:r w:rsidRPr="00DB7BED">
        <w:t>25.</w:t>
      </w:r>
      <w:r w:rsidRPr="00DB7BED">
        <w:tab/>
        <w:t xml:space="preserve">zdôrazňuje, že v prípade zlyhania bánk by akcionári, veritelia alebo mechanizmy financované odvetvím mali niesť zodpovednosť ako prví a verejné finančné prostriedky by sa mali použiť len ako posledná možnosť, pretože je nutné zabrániť spoliehaniu sa na použitie peňazí daňovníkov na riešenie krízových situácií bánk, v súlade s fiškálnou zodpovednosťou, sociálnou spravodlivosťou a trhovou disciplínou; zdôrazňuje potrebu nepretržitého a účinného dohľadu nad dodržiavaním </w:t>
      </w:r>
      <w:proofErr w:type="spellStart"/>
      <w:r w:rsidRPr="00DB7BED">
        <w:t>prudenciálnych</w:t>
      </w:r>
      <w:proofErr w:type="spellEnd"/>
      <w:r w:rsidRPr="00DB7BED">
        <w:t xml:space="preserve"> pravidiel a pravidiel riešenia krízových situácií, ktoré zabezpečujú dôveryhodnosť a účinné vykonávanie nástrojov v prípade zlyhania bánk;</w:t>
      </w:r>
    </w:p>
    <w:p w14:paraId="6AF1B180" w14:textId="77777777" w:rsidR="00460A16" w:rsidRPr="00DB7BED" w:rsidRDefault="00460A16" w:rsidP="00460A16">
      <w:pPr>
        <w:pStyle w:val="NormalHanging12a"/>
      </w:pPr>
      <w:r w:rsidRPr="00DB7BED">
        <w:t>26.</w:t>
      </w:r>
      <w:r w:rsidRPr="00DB7BED">
        <w:tab/>
        <w:t>pripomína, že dostatočná minimálna požiadavka na vlastné zdroje a oprávnené záväzky (MREL) je kľúčová pre dôveryhodný rámec riešenia krízových situácií a na zabezpečenie toho, aby orgány mali dostatočnú flexibilitu na uplatnenie vhodných stratégií riešenia krízových situácií v krízovej situácii;</w:t>
      </w:r>
    </w:p>
    <w:p w14:paraId="55335E7B" w14:textId="77777777" w:rsidR="00460A16" w:rsidRPr="00DB7BED" w:rsidRDefault="00460A16" w:rsidP="00460A16">
      <w:pPr>
        <w:pStyle w:val="NormalHanging12a"/>
      </w:pPr>
      <w:r w:rsidRPr="00DB7BED">
        <w:t>27.</w:t>
      </w:r>
      <w:r w:rsidRPr="00DB7BED">
        <w:tab/>
        <w:t>pripomína, že banky musia počas riešenia krízových situácií pokračovať v poskytovaní základných služieb; zdôrazňuje potrebu jasného a predvídateľného rámca, ktorý chráni vkladateľov a podporuje menších klientov a podniky, a to najmä vrátane MSP;</w:t>
      </w:r>
    </w:p>
    <w:p w14:paraId="2EBC6C93" w14:textId="77777777" w:rsidR="00460A16" w:rsidRPr="00DB7BED" w:rsidRDefault="00460A16" w:rsidP="00460A16">
      <w:pPr>
        <w:pStyle w:val="NormalHanging12a"/>
      </w:pPr>
      <w:r w:rsidRPr="00DB7BED">
        <w:t>28.</w:t>
      </w:r>
      <w:r w:rsidRPr="00DB7BED">
        <w:tab/>
        <w:t xml:space="preserve">víta jednotný fond na riešenie krízových situácií ako plne </w:t>
      </w:r>
      <w:proofErr w:type="spellStart"/>
      <w:r w:rsidRPr="00DB7BED">
        <w:t>mutualizovanú</w:t>
      </w:r>
      <w:proofErr w:type="spellEnd"/>
      <w:r w:rsidRPr="00DB7BED">
        <w:t xml:space="preserve"> záchrannú sieť financovanú odvetvím; opakuje výzvu na úplnú ratifikáciu dohody, ktorou sa mení Zmluva, ktorou sa zriaďuje Európsky mechanizmus pre stabilitu, s cieľom posilniť dôveryhodnosť, riešiteľnosť krízových situácií a odolnosť eurozóny; zdôrazňuje cieľ ochrany daňovníkov v prípade riešenia krízových situácií a pripomína, že nad rámec dohodnutého spoločného zabezpečovacieho mechanizmu by sa pre zlyhávajúce banky nemali použiť žiadne dodatočné zdroje daňovníkov;</w:t>
      </w:r>
    </w:p>
    <w:p w14:paraId="0D9E1FB8" w14:textId="77777777" w:rsidR="00460A16" w:rsidRPr="00DB7BED" w:rsidRDefault="00460A16" w:rsidP="00460A16">
      <w:pPr>
        <w:pStyle w:val="NormalHanging12a"/>
      </w:pPr>
      <w:r w:rsidRPr="00DB7BED">
        <w:t>29.</w:t>
      </w:r>
      <w:r w:rsidRPr="00DB7BED">
        <w:tab/>
        <w:t>pripomína, že politika nulovej rizikovej váhy pri verejnom dlhu mohla predstavovať problém, ktorý by bolo potrebné riešiť v súlade s medzinárodnými štandardmi;</w:t>
      </w:r>
    </w:p>
    <w:p w14:paraId="063380EE" w14:textId="77777777" w:rsidR="00460A16" w:rsidRPr="00DB7BED" w:rsidRDefault="00460A16" w:rsidP="00460A16">
      <w:pPr>
        <w:pStyle w:val="Normal12a"/>
      </w:pPr>
      <w:r w:rsidRPr="00DB7BED">
        <w:rPr>
          <w:b/>
          <w:i/>
        </w:rPr>
        <w:t xml:space="preserve">Ochrana vkladov </w:t>
      </w:r>
    </w:p>
    <w:p w14:paraId="00E5EEF3" w14:textId="75A15DA1" w:rsidR="00460A16" w:rsidRPr="00DB7BED" w:rsidRDefault="00460A16" w:rsidP="00460A16">
      <w:pPr>
        <w:pStyle w:val="NormalHanging12a"/>
      </w:pPr>
      <w:r w:rsidRPr="00DB7BED">
        <w:t>30.</w:t>
      </w:r>
      <w:r w:rsidRPr="00DB7BED">
        <w:tab/>
        <w:t xml:space="preserve">opätovne potvrdzuje svoje pevné odhodlanie ďalej rozvíjať systém EDIS ako tretí pilier bankovej únie; pripomína, že návrh systému EDIS bol predložený v roku 2015; zdôrazňuje, že spoločný systém ochrany vkladov je nevyhnutný na zabezpečenie </w:t>
      </w:r>
      <w:r w:rsidRPr="00DB7BED">
        <w:lastRenderedPageBreak/>
        <w:t>rovnakej ochrany vkladateľov v celej Únii, na ďalšie posilnenie finančnej stability a na rozhodné obmedzenie zostávajúcich väzieb medzi bankami a štátmi; zdôrazňuje, že príspevky do systému EDIS by mali zohľadňovať rizikový profil každého zúčastneného sektora; zdôrazňuje tiež dôležitosť zabezpečenia úplného uplatňovania súčasných pravidiel, čím sa bankám EÚ umožní efektívne financovať podniky v celej EÚ a zvýšiť konkurencieschopnosť;</w:t>
      </w:r>
    </w:p>
    <w:p w14:paraId="100C9481" w14:textId="77777777" w:rsidR="00460A16" w:rsidRPr="00DB7BED" w:rsidRDefault="00460A16" w:rsidP="00460A16">
      <w:pPr>
        <w:pStyle w:val="NormalHanging12a"/>
      </w:pPr>
      <w:r w:rsidRPr="00DB7BED">
        <w:t>31.</w:t>
      </w:r>
      <w:r w:rsidRPr="00DB7BED">
        <w:tab/>
        <w:t xml:space="preserve">víta prijatie balíka rámca krízového riadenia a ochrany vkladov (CMDI) ako pozitívny krok, ktorý posilňuje vnútroštátne systémy ochrany vkladov, posilňuje dôveru v bankový sektor a zlepšuje prevádzkové a právne podmienky na postupný a dôveryhodný prechod na spoločnú ochranu EÚ pre vkladateľov a daňovníkov; pripomína stanovisko Výboru pre hospodárske a menové veci Európskeho parlamentu z roku 2024 k zriadeniu systému EDIS; dôrazne vyzýva Radu, aby pokročila v rokovaniach; vyzýva nového predsedu </w:t>
      </w:r>
      <w:proofErr w:type="spellStart"/>
      <w:r w:rsidRPr="00DB7BED">
        <w:t>Euroskupiny</w:t>
      </w:r>
      <w:proofErr w:type="spellEnd"/>
      <w:r w:rsidRPr="00DB7BED">
        <w:t>, aby čo najskôr obnovil rokovania na túto tému;</w:t>
      </w:r>
    </w:p>
    <w:p w14:paraId="4DA9E37E" w14:textId="77777777" w:rsidR="00460A16" w:rsidRPr="00DB7BED" w:rsidRDefault="00460A16" w:rsidP="00460A16">
      <w:pPr>
        <w:pStyle w:val="NormalCenter12a"/>
      </w:pPr>
      <w:r w:rsidRPr="00DB7BED">
        <w:t>°</w:t>
      </w:r>
    </w:p>
    <w:p w14:paraId="09893AD2" w14:textId="77777777" w:rsidR="00460A16" w:rsidRPr="00DB7BED" w:rsidRDefault="00460A16" w:rsidP="00460A16">
      <w:pPr>
        <w:pStyle w:val="NormalCenter12a"/>
      </w:pPr>
      <w:r w:rsidRPr="00DB7BED">
        <w:t>°</w:t>
      </w:r>
      <w:r w:rsidRPr="00DB7BED">
        <w:tab/>
        <w:t>°</w:t>
      </w:r>
    </w:p>
    <w:p w14:paraId="70A24495" w14:textId="653F5E8E" w:rsidR="008550D3" w:rsidRPr="00DB7BED" w:rsidRDefault="00460A16" w:rsidP="008550D3">
      <w:pPr>
        <w:pStyle w:val="NormalHanging12a"/>
      </w:pPr>
      <w:r w:rsidRPr="00DB7BED">
        <w:t>32.</w:t>
      </w:r>
      <w:r w:rsidRPr="00DB7BED">
        <w:tab/>
        <w:t>poveruje svoju predsedníčku, aby postúpila toto uznesenie Rade, Komisii, Európskej centrálnej banke, Jednotnej rade pre riešenie krízových situácií a Európskemu orgánu pre bankovníctvo.</w:t>
      </w:r>
    </w:p>
    <w:p w14:paraId="201ABE07" w14:textId="659F19E5" w:rsidR="00E365E1" w:rsidRPr="00DB7BED" w:rsidRDefault="00E365E1" w:rsidP="000108AB"/>
    <w:sectPr w:rsidR="00E365E1" w:rsidRPr="00DB7BED" w:rsidSect="008550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FE735" w14:textId="77777777" w:rsidR="000108AB" w:rsidRPr="008550D3" w:rsidRDefault="000108AB">
      <w:r w:rsidRPr="008550D3">
        <w:separator/>
      </w:r>
    </w:p>
  </w:endnote>
  <w:endnote w:type="continuationSeparator" w:id="0">
    <w:p w14:paraId="43CAFB58" w14:textId="77777777" w:rsidR="000108AB" w:rsidRPr="008550D3" w:rsidRDefault="000108AB">
      <w:r w:rsidRPr="008550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61BE" w14:textId="77777777" w:rsidR="00064002" w:rsidRPr="008550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3520" w14:textId="77777777" w:rsidR="00064002" w:rsidRPr="008550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B7EC" w14:textId="77777777" w:rsidR="00064002" w:rsidRPr="008550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89A7" w14:textId="77777777" w:rsidR="000108AB" w:rsidRPr="008550D3" w:rsidRDefault="000108AB">
      <w:r w:rsidRPr="008550D3">
        <w:separator/>
      </w:r>
    </w:p>
  </w:footnote>
  <w:footnote w:type="continuationSeparator" w:id="0">
    <w:p w14:paraId="3A74FCCA" w14:textId="77777777" w:rsidR="000108AB" w:rsidRPr="008550D3" w:rsidRDefault="000108AB">
      <w:r w:rsidRPr="008550D3">
        <w:continuationSeparator/>
      </w:r>
    </w:p>
  </w:footnote>
  <w:footnote w:id="1">
    <w:p w14:paraId="291463E4" w14:textId="51BF0709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Prijaté texty, P10_TA(2025)0105.</w:t>
      </w:r>
    </w:p>
  </w:footnote>
  <w:footnote w:id="2">
    <w:p w14:paraId="0E48F2C1" w14:textId="792FC99C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2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 xml:space="preserve">Smernica Európskeho parlamentu a Rady (EÚ) 2024/1640 z 31. mája 2024 o mechanizmoch, ktoré majú členské štáty zaviesť na predchádzanie využívaniu finančného systému na účely prania špinavých peňazí alebo financovania terorizmu, ktorou sa mení smernica (EÚ) 2019/1937 a mení a zrušuje smernica (EÚ) 2015/849 (Ú. v. EÚ L, 2024/1640, 19.6.2024, ELI: </w:t>
      </w:r>
      <w:hyperlink r:id="rId1" w:tgtFrame="http://data.europa.eu/eli/dir/2024/1640/oj" w:history="1">
        <w:r w:rsidRPr="008550D3">
          <w:rPr>
            <w:rStyle w:val="Hyperlink"/>
            <w:sz w:val="24"/>
            <w:lang w:val="sk-SK"/>
          </w:rPr>
          <w:t>http://data.europa.eu/eli/dir/2024/1640/oj</w:t>
        </w:r>
      </w:hyperlink>
      <w:r w:rsidRPr="008550D3">
        <w:rPr>
          <w:sz w:val="24"/>
          <w:lang w:val="sk-SK"/>
        </w:rPr>
        <w:t>).</w:t>
      </w:r>
    </w:p>
  </w:footnote>
  <w:footnote w:id="3">
    <w:p w14:paraId="1F95902F" w14:textId="4083EBA9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3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Nariadenie Európskeho parlamentu a Rady (EÚ) 2024/1624 z 31. mája 2024 o predchádzaní využívaniu finančného systému na účely prania špinavých peňazí alebo financovania terorizmu (Ú. v. </w:t>
      </w:r>
      <w:r w:rsidRPr="008550D3">
        <w:rPr>
          <w:sz w:val="24"/>
          <w:lang w:val="sk-SK"/>
        </w:rPr>
        <w:t xml:space="preserve">EÚ L, 2024/1624, 19.6.2024, ELI: </w:t>
      </w:r>
      <w:hyperlink r:id="rId2" w:tgtFrame="http://data.europa.eu/eli/reg/2024/1624/oj" w:history="1">
        <w:r w:rsidRPr="008550D3">
          <w:rPr>
            <w:rStyle w:val="Hyperlink"/>
            <w:sz w:val="24"/>
            <w:lang w:val="sk-SK"/>
          </w:rPr>
          <w:t>http://data.europa.eu/eli/reg/2024/1624/oj</w:t>
        </w:r>
      </w:hyperlink>
      <w:r w:rsidRPr="008550D3">
        <w:rPr>
          <w:sz w:val="24"/>
          <w:lang w:val="sk-SK"/>
        </w:rPr>
        <w:t>).</w:t>
      </w:r>
    </w:p>
  </w:footnote>
  <w:footnote w:id="4">
    <w:p w14:paraId="47C92C25" w14:textId="02199DF7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4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Nariadenie Európskeho parlamentu a Rady (EÚ) 2024/1620 z 31. mája 2024, ktorým sa zriaďuje Úrad pre boj proti praniu špinavých peňazí a financovaniu terorizmu a ktorým sa menia nariadenia (EÚ) č. 1093/2010, (EÚ) č. 1094/2010 a (EÚ) č. 1095/2010 (Ú. v. </w:t>
      </w:r>
      <w:r w:rsidRPr="008550D3">
        <w:rPr>
          <w:sz w:val="24"/>
          <w:lang w:val="sk-SK"/>
        </w:rPr>
        <w:t xml:space="preserve">EÚ L, 2024/1620, 19.6.2024, ELI: </w:t>
      </w:r>
      <w:hyperlink r:id="rId3" w:tgtFrame="http://data.europa.eu/eli/reg/2024/1620/oj" w:history="1">
        <w:r w:rsidRPr="008550D3">
          <w:rPr>
            <w:rStyle w:val="Hyperlink"/>
            <w:sz w:val="24"/>
            <w:lang w:val="sk-SK"/>
          </w:rPr>
          <w:t>http://data.europa.eu/eli/reg/2024/1620/oj</w:t>
        </w:r>
      </w:hyperlink>
      <w:r w:rsidRPr="008550D3">
        <w:rPr>
          <w:sz w:val="24"/>
          <w:lang w:val="sk-SK"/>
        </w:rPr>
        <w:t>).</w:t>
      </w:r>
    </w:p>
  </w:footnote>
  <w:footnote w:id="5">
    <w:p w14:paraId="0BAF75D0" w14:textId="11560BC8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5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Smernica Európskeho parlamentu a Rady (EÚ) 2024/1619 z 31. mája 2024, ktorou sa mení smernica 2013/36/EÚ, pokiaľ ide o právomoci v oblasti dohľadu, sankcie, pobočky z tretích krajín a environmentálne a sociálne riziká a riziká v oblasti správy a riadenia (Ú. v. </w:t>
      </w:r>
      <w:r w:rsidRPr="008550D3">
        <w:rPr>
          <w:sz w:val="24"/>
          <w:lang w:val="sk-SK"/>
        </w:rPr>
        <w:t xml:space="preserve">EÚ L, 2024/1619, 19.6.2024, ELI: </w:t>
      </w:r>
      <w:hyperlink r:id="rId4" w:tgtFrame="http://data.europa.eu/eli/dir/2024/1619/oj" w:history="1">
        <w:r w:rsidRPr="008550D3">
          <w:rPr>
            <w:rStyle w:val="Hyperlink"/>
            <w:sz w:val="24"/>
            <w:lang w:val="sk-SK"/>
          </w:rPr>
          <w:t>http://data.europa.eu/eli/dir/2024/1619/oj</w:t>
        </w:r>
      </w:hyperlink>
      <w:r w:rsidRPr="008550D3">
        <w:rPr>
          <w:sz w:val="24"/>
          <w:lang w:val="sk-SK"/>
        </w:rPr>
        <w:t>).</w:t>
      </w:r>
    </w:p>
  </w:footnote>
  <w:footnote w:id="6">
    <w:p w14:paraId="65477564" w14:textId="67A9A715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6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Nariadenie Európskeho parlamentu a Rady (EÚ) 2024/1623 z 31. mája 2024, ktorým sa mení nariadenie (EÚ) č. 575/2013, pokiaľ ide o požiadavky na kreditné riziko, riziko úpravy ocenenia pohľadávky, operačné riziko, trhové riziko a spodnú hranicu pre výstupné hodnoty (Ú. v. </w:t>
      </w:r>
      <w:r w:rsidRPr="008550D3">
        <w:rPr>
          <w:sz w:val="24"/>
          <w:lang w:val="sk-SK"/>
        </w:rPr>
        <w:t>EÚ L</w:t>
      </w:r>
      <w:r w:rsidR="00EB4CDA">
        <w:rPr>
          <w:sz w:val="24"/>
          <w:lang w:val="sk-SK"/>
        </w:rPr>
        <w:t>,</w:t>
      </w:r>
      <w:r w:rsidRPr="008550D3">
        <w:rPr>
          <w:sz w:val="24"/>
          <w:lang w:val="sk-SK"/>
        </w:rPr>
        <w:t xml:space="preserve"> 2024/1623, 19.6.2024, ELI: </w:t>
      </w:r>
      <w:hyperlink r:id="rId5" w:tgtFrame="http://data.europa.eu/eli/reg/2024/1623/oj" w:history="1">
        <w:r w:rsidRPr="008550D3">
          <w:rPr>
            <w:rStyle w:val="Hyperlink"/>
            <w:sz w:val="24"/>
            <w:lang w:val="sk-SK"/>
          </w:rPr>
          <w:t>http://data.europa.eu/eli/reg/2024/1623/oj</w:t>
        </w:r>
      </w:hyperlink>
      <w:r w:rsidRPr="008550D3">
        <w:rPr>
          <w:sz w:val="24"/>
          <w:lang w:val="sk-SK"/>
        </w:rPr>
        <w:t>).</w:t>
      </w:r>
    </w:p>
  </w:footnote>
  <w:footnote w:id="7">
    <w:p w14:paraId="016F6C73" w14:textId="3108C893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7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Ú. v. </w:t>
      </w:r>
      <w:r w:rsidRPr="008550D3">
        <w:rPr>
          <w:sz w:val="24"/>
          <w:lang w:val="sk-SK"/>
        </w:rPr>
        <w:t xml:space="preserve">EÚ L, 2024/2795, 31.10.2024, ELI: </w:t>
      </w:r>
      <w:hyperlink r:id="rId6" w:tgtFrame="http://data.europa.eu/eli/reg_del/2024/2795/oj" w:history="1">
        <w:r w:rsidRPr="008550D3">
          <w:rPr>
            <w:rStyle w:val="Hyperlink"/>
            <w:sz w:val="24"/>
            <w:lang w:val="sk-SK"/>
          </w:rPr>
          <w:t>http://data.europa.eu/eli/reg_del/2024/2795/oj</w:t>
        </w:r>
      </w:hyperlink>
      <w:r w:rsidRPr="008550D3">
        <w:rPr>
          <w:sz w:val="24"/>
          <w:lang w:val="sk-SK"/>
        </w:rPr>
        <w:t>.</w:t>
      </w:r>
    </w:p>
  </w:footnote>
  <w:footnote w:id="8">
    <w:p w14:paraId="2AA03991" w14:textId="56397244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8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 xml:space="preserve">Ú. v. </w:t>
      </w:r>
      <w:r w:rsidRPr="008550D3">
        <w:rPr>
          <w:sz w:val="24"/>
          <w:lang w:val="sk-SK"/>
        </w:rPr>
        <w:t xml:space="preserve">EÚ C, C/2025/3752, 17.9.2025, ELI: </w:t>
      </w:r>
      <w:hyperlink r:id="rId7" w:tgtFrame="http://data.europa.eu/eli/C/2025/3752/oj" w:history="1">
        <w:r w:rsidRPr="008550D3">
          <w:rPr>
            <w:rStyle w:val="Hyperlink"/>
            <w:sz w:val="24"/>
            <w:lang w:val="sk-SK"/>
          </w:rPr>
          <w:t>http://data.europa.eu/eli/C/2025/3752/oj</w:t>
        </w:r>
      </w:hyperlink>
      <w:r w:rsidRPr="008550D3">
        <w:rPr>
          <w:sz w:val="24"/>
          <w:lang w:val="sk-SK"/>
        </w:rPr>
        <w:t>.</w:t>
      </w:r>
    </w:p>
  </w:footnote>
  <w:footnote w:id="9">
    <w:p w14:paraId="5FCD3595" w14:textId="0937FF0D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9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 xml:space="preserve">Ú. v. </w:t>
      </w:r>
      <w:r w:rsidRPr="008550D3">
        <w:rPr>
          <w:sz w:val="24"/>
          <w:lang w:val="sk-SK"/>
        </w:rPr>
        <w:t xml:space="preserve">EÚ C, C/2025/3753, 17.9.2025, ELI: </w:t>
      </w:r>
      <w:hyperlink r:id="rId8" w:tgtFrame="http://data.europa.eu/eli/C/2025/3753/oj" w:history="1">
        <w:r w:rsidRPr="008550D3">
          <w:rPr>
            <w:rStyle w:val="Hyperlink"/>
            <w:sz w:val="24"/>
            <w:lang w:val="sk-SK"/>
          </w:rPr>
          <w:t>http://data.europa.eu/eli/C/2025/3753/oj</w:t>
        </w:r>
      </w:hyperlink>
      <w:r w:rsidRPr="008550D3">
        <w:rPr>
          <w:sz w:val="24"/>
          <w:lang w:val="sk-SK"/>
        </w:rPr>
        <w:t>.</w:t>
      </w:r>
    </w:p>
  </w:footnote>
  <w:footnote w:id="10">
    <w:p w14:paraId="5E8D8C87" w14:textId="6FD50BC0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10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 xml:space="preserve">Ú. v. </w:t>
      </w:r>
      <w:r w:rsidRPr="008550D3">
        <w:rPr>
          <w:sz w:val="24"/>
          <w:lang w:val="sk-SK"/>
        </w:rPr>
        <w:t xml:space="preserve">EÚ C, C/2025/3754, 17.9.2025, ELI: </w:t>
      </w:r>
      <w:hyperlink r:id="rId9" w:tgtFrame="http://data.europa.eu/eli/C/2025/3754/oj" w:history="1">
        <w:r w:rsidRPr="008550D3">
          <w:rPr>
            <w:rStyle w:val="Hyperlink"/>
            <w:sz w:val="24"/>
            <w:lang w:val="sk-SK"/>
          </w:rPr>
          <w:t>http://data.europa.eu/eli/C/2025/3754/oj</w:t>
        </w:r>
      </w:hyperlink>
      <w:r w:rsidRPr="008550D3">
        <w:rPr>
          <w:sz w:val="24"/>
          <w:lang w:val="sk-SK"/>
        </w:rPr>
        <w:t>.</w:t>
      </w:r>
    </w:p>
  </w:footnote>
  <w:footnote w:id="11">
    <w:p w14:paraId="7754EEB5" w14:textId="777F67B7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11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Ú. v. EÚ C 23, 21.1.2021, s. 105.</w:t>
      </w:r>
    </w:p>
  </w:footnote>
  <w:footnote w:id="12">
    <w:p w14:paraId="10568387" w14:textId="31702316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12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Ú. v. EÚ C 494, 8.12.2021, s. 118.</w:t>
      </w:r>
    </w:p>
  </w:footnote>
  <w:footnote w:id="13">
    <w:p w14:paraId="62008990" w14:textId="0D1A2CAD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13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 xml:space="preserve">Európsky inštitút pre rodovú rovnosť, </w:t>
      </w:r>
      <w:proofErr w:type="spellStart"/>
      <w:r w:rsidRPr="008550D3">
        <w:rPr>
          <w:i/>
          <w:sz w:val="24"/>
          <w:lang w:val="sk-SK"/>
        </w:rPr>
        <w:t>Gender</w:t>
      </w:r>
      <w:proofErr w:type="spellEnd"/>
      <w:r w:rsidRPr="008550D3">
        <w:rPr>
          <w:i/>
          <w:sz w:val="24"/>
          <w:lang w:val="sk-SK"/>
        </w:rPr>
        <w:t xml:space="preserve"> in </w:t>
      </w:r>
      <w:proofErr w:type="spellStart"/>
      <w:r w:rsidRPr="008550D3">
        <w:rPr>
          <w:i/>
          <w:sz w:val="24"/>
          <w:lang w:val="sk-SK"/>
        </w:rPr>
        <w:t>entrepreneurship</w:t>
      </w:r>
      <w:proofErr w:type="spellEnd"/>
      <w:r w:rsidRPr="008550D3">
        <w:rPr>
          <w:sz w:val="24"/>
          <w:lang w:val="sk-SK"/>
        </w:rPr>
        <w:t xml:space="preserve"> (Rod v podnikaní), 2017, s. 5 – 6.</w:t>
      </w:r>
    </w:p>
  </w:footnote>
  <w:footnote w:id="14">
    <w:p w14:paraId="49AA4A01" w14:textId="23E42E16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14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proofErr w:type="spellStart"/>
      <w:r w:rsidRPr="008550D3">
        <w:rPr>
          <w:sz w:val="24"/>
          <w:lang w:val="sk-SK"/>
        </w:rPr>
        <w:t>Maneely</w:t>
      </w:r>
      <w:proofErr w:type="spellEnd"/>
      <w:r w:rsidRPr="008550D3">
        <w:rPr>
          <w:sz w:val="24"/>
          <w:lang w:val="sk-SK"/>
        </w:rPr>
        <w:t>, M./</w:t>
      </w:r>
      <w:proofErr w:type="spellStart"/>
      <w:r w:rsidRPr="008550D3">
        <w:rPr>
          <w:sz w:val="24"/>
          <w:lang w:val="sk-SK"/>
        </w:rPr>
        <w:t>Ratnovski</w:t>
      </w:r>
      <w:proofErr w:type="spellEnd"/>
      <w:r w:rsidRPr="008550D3">
        <w:rPr>
          <w:sz w:val="24"/>
          <w:lang w:val="sk-SK"/>
        </w:rPr>
        <w:t xml:space="preserve">, L., </w:t>
      </w:r>
      <w:r w:rsidRPr="008550D3">
        <w:rPr>
          <w:i/>
          <w:sz w:val="24"/>
          <w:lang w:val="sk-SK"/>
        </w:rPr>
        <w:t xml:space="preserve">Bank </w:t>
      </w:r>
      <w:proofErr w:type="spellStart"/>
      <w:r w:rsidRPr="008550D3">
        <w:rPr>
          <w:i/>
          <w:sz w:val="24"/>
          <w:lang w:val="sk-SK"/>
        </w:rPr>
        <w:t>Profits</w:t>
      </w:r>
      <w:proofErr w:type="spellEnd"/>
      <w:r w:rsidRPr="008550D3">
        <w:rPr>
          <w:i/>
          <w:sz w:val="24"/>
          <w:lang w:val="sk-SK"/>
        </w:rPr>
        <w:t xml:space="preserve"> and Bank </w:t>
      </w:r>
      <w:proofErr w:type="spellStart"/>
      <w:r w:rsidRPr="008550D3">
        <w:rPr>
          <w:i/>
          <w:sz w:val="24"/>
          <w:lang w:val="sk-SK"/>
        </w:rPr>
        <w:t>Taxes</w:t>
      </w:r>
      <w:proofErr w:type="spellEnd"/>
      <w:r w:rsidRPr="008550D3">
        <w:rPr>
          <w:i/>
          <w:sz w:val="24"/>
          <w:lang w:val="sk-SK"/>
        </w:rPr>
        <w:t xml:space="preserve"> in </w:t>
      </w:r>
      <w:proofErr w:type="spellStart"/>
      <w:r w:rsidRPr="008550D3">
        <w:rPr>
          <w:i/>
          <w:sz w:val="24"/>
          <w:lang w:val="sk-SK"/>
        </w:rPr>
        <w:t>the</w:t>
      </w:r>
      <w:proofErr w:type="spellEnd"/>
      <w:r w:rsidRPr="008550D3">
        <w:rPr>
          <w:i/>
          <w:sz w:val="24"/>
          <w:lang w:val="sk-SK"/>
        </w:rPr>
        <w:t xml:space="preserve"> EU</w:t>
      </w:r>
      <w:r w:rsidRPr="008550D3">
        <w:rPr>
          <w:sz w:val="24"/>
          <w:lang w:val="sk-SK"/>
        </w:rPr>
        <w:t xml:space="preserve"> (Zisky a zdanenie bánk v EÚ), MMF, júl 2024.</w:t>
      </w:r>
    </w:p>
  </w:footnote>
  <w:footnote w:id="15">
    <w:p w14:paraId="24E5E966" w14:textId="471180D1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15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 xml:space="preserve">ECB, </w:t>
      </w:r>
      <w:proofErr w:type="spellStart"/>
      <w:r w:rsidRPr="008550D3">
        <w:rPr>
          <w:i/>
          <w:sz w:val="24"/>
          <w:lang w:val="sk-SK"/>
        </w:rPr>
        <w:t>Supervisory</w:t>
      </w:r>
      <w:proofErr w:type="spellEnd"/>
      <w:r w:rsidRPr="008550D3">
        <w:rPr>
          <w:i/>
          <w:sz w:val="24"/>
          <w:lang w:val="sk-SK"/>
        </w:rPr>
        <w:t xml:space="preserve"> Banking </w:t>
      </w:r>
      <w:proofErr w:type="spellStart"/>
      <w:r w:rsidRPr="008550D3">
        <w:rPr>
          <w:i/>
          <w:sz w:val="24"/>
          <w:lang w:val="sk-SK"/>
        </w:rPr>
        <w:t>Statistics</w:t>
      </w:r>
      <w:proofErr w:type="spellEnd"/>
      <w:r w:rsidRPr="008550D3">
        <w:rPr>
          <w:i/>
          <w:sz w:val="24"/>
          <w:lang w:val="sk-SK"/>
        </w:rPr>
        <w:t xml:space="preserve"> – </w:t>
      </w:r>
      <w:proofErr w:type="spellStart"/>
      <w:r w:rsidRPr="008550D3">
        <w:rPr>
          <w:i/>
          <w:sz w:val="24"/>
          <w:lang w:val="sk-SK"/>
        </w:rPr>
        <w:t>Second</w:t>
      </w:r>
      <w:proofErr w:type="spellEnd"/>
      <w:r w:rsidRPr="008550D3">
        <w:rPr>
          <w:i/>
          <w:sz w:val="24"/>
          <w:lang w:val="sk-SK"/>
        </w:rPr>
        <w:t xml:space="preserve"> </w:t>
      </w:r>
      <w:proofErr w:type="spellStart"/>
      <w:r w:rsidRPr="008550D3">
        <w:rPr>
          <w:i/>
          <w:sz w:val="24"/>
          <w:lang w:val="sk-SK"/>
        </w:rPr>
        <w:t>quarter</w:t>
      </w:r>
      <w:proofErr w:type="spellEnd"/>
      <w:r w:rsidRPr="008550D3">
        <w:rPr>
          <w:i/>
          <w:sz w:val="24"/>
          <w:lang w:val="sk-SK"/>
        </w:rPr>
        <w:t xml:space="preserve"> 2025</w:t>
      </w:r>
      <w:r w:rsidRPr="008550D3">
        <w:rPr>
          <w:sz w:val="24"/>
          <w:lang w:val="sk-SK"/>
        </w:rPr>
        <w:t xml:space="preserve"> (Štatistika bankového dohľadu – druhý štvrťrok 2025)</w:t>
      </w:r>
    </w:p>
  </w:footnote>
  <w:footnote w:id="16">
    <w:p w14:paraId="2337AA26" w14:textId="3FC71C08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16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proofErr w:type="spellStart"/>
      <w:r w:rsidRPr="008550D3">
        <w:rPr>
          <w:sz w:val="24"/>
          <w:lang w:val="sk-SK"/>
        </w:rPr>
        <w:t>Behn</w:t>
      </w:r>
      <w:proofErr w:type="spellEnd"/>
      <w:r w:rsidRPr="008550D3">
        <w:rPr>
          <w:sz w:val="24"/>
          <w:lang w:val="sk-SK"/>
        </w:rPr>
        <w:t xml:space="preserve">, M. &amp; </w:t>
      </w:r>
      <w:proofErr w:type="spellStart"/>
      <w:r w:rsidRPr="008550D3">
        <w:rPr>
          <w:sz w:val="24"/>
          <w:lang w:val="sk-SK"/>
        </w:rPr>
        <w:t>Reghezza</w:t>
      </w:r>
      <w:proofErr w:type="spellEnd"/>
      <w:r w:rsidRPr="008550D3">
        <w:rPr>
          <w:sz w:val="24"/>
          <w:lang w:val="sk-SK"/>
        </w:rPr>
        <w:t xml:space="preserve">, A., </w:t>
      </w:r>
      <w:proofErr w:type="spellStart"/>
      <w:r w:rsidRPr="008550D3">
        <w:rPr>
          <w:i/>
          <w:sz w:val="24"/>
          <w:lang w:val="sk-SK"/>
        </w:rPr>
        <w:t>Capital</w:t>
      </w:r>
      <w:proofErr w:type="spellEnd"/>
      <w:r w:rsidRPr="008550D3">
        <w:rPr>
          <w:i/>
          <w:sz w:val="24"/>
          <w:lang w:val="sk-SK"/>
        </w:rPr>
        <w:t xml:space="preserve"> </w:t>
      </w:r>
      <w:proofErr w:type="spellStart"/>
      <w:r w:rsidRPr="008550D3">
        <w:rPr>
          <w:i/>
          <w:sz w:val="24"/>
          <w:lang w:val="sk-SK"/>
        </w:rPr>
        <w:t>requirements</w:t>
      </w:r>
      <w:proofErr w:type="spellEnd"/>
      <w:r w:rsidRPr="008550D3">
        <w:rPr>
          <w:sz w:val="24"/>
          <w:lang w:val="sk-SK"/>
        </w:rPr>
        <w:t xml:space="preserve">: </w:t>
      </w:r>
      <w:r w:rsidRPr="008550D3">
        <w:rPr>
          <w:i/>
          <w:sz w:val="24"/>
          <w:lang w:val="sk-SK"/>
        </w:rPr>
        <w:t xml:space="preserve">a </w:t>
      </w:r>
      <w:proofErr w:type="spellStart"/>
      <w:r w:rsidRPr="008550D3">
        <w:rPr>
          <w:i/>
          <w:sz w:val="24"/>
          <w:lang w:val="sk-SK"/>
        </w:rPr>
        <w:t>pillar</w:t>
      </w:r>
      <w:proofErr w:type="spellEnd"/>
      <w:r w:rsidRPr="008550D3">
        <w:rPr>
          <w:i/>
          <w:sz w:val="24"/>
          <w:lang w:val="sk-SK"/>
        </w:rPr>
        <w:t xml:space="preserve"> or a </w:t>
      </w:r>
      <w:proofErr w:type="spellStart"/>
      <w:r w:rsidRPr="008550D3">
        <w:rPr>
          <w:i/>
          <w:sz w:val="24"/>
          <w:lang w:val="sk-SK"/>
        </w:rPr>
        <w:t>burden</w:t>
      </w:r>
      <w:proofErr w:type="spellEnd"/>
      <w:r w:rsidRPr="008550D3">
        <w:rPr>
          <w:i/>
          <w:sz w:val="24"/>
          <w:lang w:val="sk-SK"/>
        </w:rPr>
        <w:t xml:space="preserve"> </w:t>
      </w:r>
      <w:proofErr w:type="spellStart"/>
      <w:r w:rsidRPr="008550D3">
        <w:rPr>
          <w:i/>
          <w:sz w:val="24"/>
          <w:lang w:val="sk-SK"/>
        </w:rPr>
        <w:t>for</w:t>
      </w:r>
      <w:proofErr w:type="spellEnd"/>
      <w:r w:rsidRPr="008550D3">
        <w:rPr>
          <w:i/>
          <w:sz w:val="24"/>
          <w:lang w:val="sk-SK"/>
        </w:rPr>
        <w:t xml:space="preserve"> bank </w:t>
      </w:r>
      <w:proofErr w:type="spellStart"/>
      <w:r w:rsidRPr="008550D3">
        <w:rPr>
          <w:i/>
          <w:sz w:val="24"/>
          <w:lang w:val="sk-SK"/>
        </w:rPr>
        <w:t>competitiveness</w:t>
      </w:r>
      <w:proofErr w:type="spellEnd"/>
      <w:r w:rsidRPr="008550D3">
        <w:rPr>
          <w:i/>
          <w:sz w:val="24"/>
          <w:lang w:val="sk-SK"/>
        </w:rPr>
        <w:t>?</w:t>
      </w:r>
      <w:r w:rsidRPr="008550D3">
        <w:rPr>
          <w:sz w:val="24"/>
          <w:lang w:val="sk-SK"/>
        </w:rPr>
        <w:t xml:space="preserve"> (Kapitálové požiadavky: pilier alebo záťaž pre konkurencieschopnosť bánk?), </w:t>
      </w:r>
      <w:r w:rsidRPr="008550D3">
        <w:rPr>
          <w:i/>
          <w:sz w:val="24"/>
          <w:lang w:val="sk-SK"/>
        </w:rPr>
        <w:t xml:space="preserve">ECB </w:t>
      </w:r>
      <w:proofErr w:type="spellStart"/>
      <w:r w:rsidRPr="008550D3">
        <w:rPr>
          <w:i/>
          <w:sz w:val="24"/>
          <w:lang w:val="sk-SK"/>
        </w:rPr>
        <w:t>Occasional</w:t>
      </w:r>
      <w:proofErr w:type="spellEnd"/>
      <w:r w:rsidRPr="008550D3">
        <w:rPr>
          <w:i/>
          <w:sz w:val="24"/>
          <w:lang w:val="sk-SK"/>
        </w:rPr>
        <w:t xml:space="preserve"> </w:t>
      </w:r>
      <w:proofErr w:type="spellStart"/>
      <w:r w:rsidRPr="008550D3">
        <w:rPr>
          <w:i/>
          <w:sz w:val="24"/>
          <w:lang w:val="sk-SK"/>
        </w:rPr>
        <w:t>Paper</w:t>
      </w:r>
      <w:proofErr w:type="spellEnd"/>
      <w:r w:rsidRPr="008550D3">
        <w:rPr>
          <w:i/>
          <w:sz w:val="24"/>
          <w:lang w:val="sk-SK"/>
        </w:rPr>
        <w:t xml:space="preserve"> </w:t>
      </w:r>
      <w:proofErr w:type="spellStart"/>
      <w:r w:rsidRPr="008550D3">
        <w:rPr>
          <w:i/>
          <w:sz w:val="24"/>
          <w:lang w:val="sk-SK"/>
        </w:rPr>
        <w:t>Series</w:t>
      </w:r>
      <w:proofErr w:type="spellEnd"/>
      <w:r w:rsidRPr="008550D3">
        <w:rPr>
          <w:sz w:val="24"/>
          <w:lang w:val="sk-SK"/>
        </w:rPr>
        <w:t>, č. 376, Frankfurt 2025.</w:t>
      </w:r>
    </w:p>
  </w:footnote>
  <w:footnote w:id="17">
    <w:p w14:paraId="29874135" w14:textId="7C8B435D" w:rsidR="00460A16" w:rsidRPr="008550D3" w:rsidRDefault="00460A16" w:rsidP="008550D3">
      <w:pPr>
        <w:pStyle w:val="FootnoteText"/>
        <w:ind w:left="567" w:hanging="567"/>
        <w:rPr>
          <w:sz w:val="24"/>
          <w:lang w:val="sk-SK"/>
        </w:rPr>
      </w:pPr>
      <w:r w:rsidRPr="008550D3">
        <w:rPr>
          <w:sz w:val="24"/>
          <w:vertAlign w:val="superscript"/>
          <w:lang w:val="sk-SK"/>
        </w:rPr>
        <w:t>17</w:t>
      </w:r>
      <w:r w:rsidR="008550D3" w:rsidRPr="008550D3">
        <w:rPr>
          <w:sz w:val="24"/>
          <w:vertAlign w:val="superscript"/>
          <w:lang w:val="sk-SK"/>
        </w:rPr>
        <w:t xml:space="preserve"> </w:t>
      </w:r>
      <w:r w:rsidR="008550D3" w:rsidRPr="008550D3">
        <w:rPr>
          <w:sz w:val="24"/>
          <w:vertAlign w:val="superscript"/>
          <w:lang w:val="sk-SK"/>
        </w:rPr>
        <w:tab/>
      </w:r>
      <w:r w:rsidRPr="008550D3">
        <w:rPr>
          <w:sz w:val="24"/>
          <w:lang w:val="sk-SK"/>
        </w:rPr>
        <w:t>Nariadenie Európskeho parlamentu a Rady (EÚ) 2023/1114 z 31. mája 2023 o trhoch s </w:t>
      </w:r>
      <w:proofErr w:type="spellStart"/>
      <w:r w:rsidRPr="008550D3">
        <w:rPr>
          <w:sz w:val="24"/>
          <w:lang w:val="sk-SK"/>
        </w:rPr>
        <w:t>kryptoaktívami</w:t>
      </w:r>
      <w:proofErr w:type="spellEnd"/>
      <w:r w:rsidRPr="008550D3">
        <w:rPr>
          <w:sz w:val="24"/>
          <w:lang w:val="sk-SK"/>
        </w:rPr>
        <w:t xml:space="preserve"> a o zmene nariadení (EÚ) č. 1093/2010 a (EÚ) č. 1095/2010 a smerníc 2013/36/EÚ a (EÚ) 2019/1937 (Ú. v. EÚ L 150, 9.6.2023, s. </w:t>
      </w:r>
      <w:r w:rsidRPr="008550D3">
        <w:rPr>
          <w:sz w:val="24"/>
          <w:lang w:val="sk-SK"/>
        </w:rPr>
        <w:t xml:space="preserve">40, ELI: </w:t>
      </w:r>
      <w:hyperlink r:id="rId10" w:tgtFrame="http://data.europa.eu/eli/reg/2023/1114/oj" w:history="1">
        <w:r w:rsidRPr="008550D3">
          <w:rPr>
            <w:rStyle w:val="Hyperlink"/>
            <w:sz w:val="24"/>
            <w:lang w:val="sk-SK"/>
          </w:rPr>
          <w:t>http://data.europa.eu/eli/reg/2023/1114/oj</w:t>
        </w:r>
      </w:hyperlink>
      <w:r w:rsidRPr="008550D3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11A2E" w14:textId="77777777" w:rsidR="00064002" w:rsidRPr="008550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3015" w14:textId="77777777" w:rsidR="00064002" w:rsidRPr="008550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C70F8" w14:textId="77777777" w:rsidR="00064002" w:rsidRPr="008550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151959">
    <w:abstractNumId w:val="9"/>
  </w:num>
  <w:num w:numId="2" w16cid:durableId="1945377760">
    <w:abstractNumId w:val="9"/>
  </w:num>
  <w:num w:numId="3" w16cid:durableId="695468939">
    <w:abstractNumId w:val="7"/>
  </w:num>
  <w:num w:numId="4" w16cid:durableId="823468971">
    <w:abstractNumId w:val="7"/>
  </w:num>
  <w:num w:numId="5" w16cid:durableId="702291951">
    <w:abstractNumId w:val="6"/>
  </w:num>
  <w:num w:numId="6" w16cid:durableId="252977433">
    <w:abstractNumId w:val="6"/>
  </w:num>
  <w:num w:numId="7" w16cid:durableId="1355378686">
    <w:abstractNumId w:val="5"/>
  </w:num>
  <w:num w:numId="8" w16cid:durableId="259290557">
    <w:abstractNumId w:val="5"/>
  </w:num>
  <w:num w:numId="9" w16cid:durableId="1131050944">
    <w:abstractNumId w:val="4"/>
  </w:num>
  <w:num w:numId="10" w16cid:durableId="1998872831">
    <w:abstractNumId w:val="4"/>
  </w:num>
  <w:num w:numId="11" w16cid:durableId="2098165999">
    <w:abstractNumId w:val="8"/>
  </w:num>
  <w:num w:numId="12" w16cid:durableId="1560625407">
    <w:abstractNumId w:val="8"/>
  </w:num>
  <w:num w:numId="13" w16cid:durableId="888758592">
    <w:abstractNumId w:val="3"/>
  </w:num>
  <w:num w:numId="14" w16cid:durableId="1227108632">
    <w:abstractNumId w:val="3"/>
  </w:num>
  <w:num w:numId="15" w16cid:durableId="411703673">
    <w:abstractNumId w:val="2"/>
  </w:num>
  <w:num w:numId="16" w16cid:durableId="1035732693">
    <w:abstractNumId w:val="2"/>
  </w:num>
  <w:num w:numId="17" w16cid:durableId="1164399576">
    <w:abstractNumId w:val="1"/>
  </w:num>
  <w:num w:numId="18" w16cid:durableId="890731753">
    <w:abstractNumId w:val="1"/>
  </w:num>
  <w:num w:numId="19" w16cid:durableId="771170869">
    <w:abstractNumId w:val="0"/>
  </w:num>
  <w:num w:numId="20" w16cid:durableId="1516307829">
    <w:abstractNumId w:val="0"/>
  </w:num>
  <w:num w:numId="21" w16cid:durableId="1358238416">
    <w:abstractNumId w:val="9"/>
  </w:num>
  <w:num w:numId="22" w16cid:durableId="828592759">
    <w:abstractNumId w:val="7"/>
  </w:num>
  <w:num w:numId="23" w16cid:durableId="496461466">
    <w:abstractNumId w:val="6"/>
  </w:num>
  <w:num w:numId="24" w16cid:durableId="1792557535">
    <w:abstractNumId w:val="5"/>
  </w:num>
  <w:num w:numId="25" w16cid:durableId="1272400030">
    <w:abstractNumId w:val="4"/>
  </w:num>
  <w:num w:numId="26" w16cid:durableId="366370869">
    <w:abstractNumId w:val="8"/>
  </w:num>
  <w:num w:numId="27" w16cid:durableId="787435482">
    <w:abstractNumId w:val="3"/>
  </w:num>
  <w:num w:numId="28" w16cid:durableId="1510674894">
    <w:abstractNumId w:val="2"/>
  </w:num>
  <w:num w:numId="29" w16cid:durableId="1313678441">
    <w:abstractNumId w:val="1"/>
  </w:num>
  <w:num w:numId="30" w16cid:durableId="1249533715">
    <w:abstractNumId w:val="0"/>
  </w:num>
  <w:num w:numId="31" w16cid:durableId="1011882531">
    <w:abstractNumId w:val="9"/>
  </w:num>
  <w:num w:numId="32" w16cid:durableId="1534421695">
    <w:abstractNumId w:val="7"/>
  </w:num>
  <w:num w:numId="33" w16cid:durableId="1014187820">
    <w:abstractNumId w:val="6"/>
  </w:num>
  <w:num w:numId="34" w16cid:durableId="285090001">
    <w:abstractNumId w:val="5"/>
  </w:num>
  <w:num w:numId="35" w16cid:durableId="1862818092">
    <w:abstractNumId w:val="4"/>
  </w:num>
  <w:num w:numId="36" w16cid:durableId="1002123731">
    <w:abstractNumId w:val="8"/>
  </w:num>
  <w:num w:numId="37" w16cid:durableId="1894001572">
    <w:abstractNumId w:val="3"/>
  </w:num>
  <w:num w:numId="38" w16cid:durableId="1633948501">
    <w:abstractNumId w:val="2"/>
  </w:num>
  <w:num w:numId="39" w16cid:durableId="1670937172">
    <w:abstractNumId w:val="1"/>
  </w:num>
  <w:num w:numId="40" w16cid:durableId="985745977">
    <w:abstractNumId w:val="0"/>
  </w:num>
  <w:num w:numId="41" w16cid:durableId="954798209">
    <w:abstractNumId w:val="10"/>
  </w:num>
  <w:num w:numId="42" w16cid:durableId="1406880980">
    <w:abstractNumId w:val="10"/>
  </w:num>
  <w:num w:numId="43" w16cid:durableId="1136994747">
    <w:abstractNumId w:val="10"/>
  </w:num>
  <w:num w:numId="44" w16cid:durableId="17461431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9/2026"/>
    <w:docVar w:name="dvlangue" w:val="SK"/>
    <w:docVar w:name="dvnumam" w:val="0"/>
    <w:docVar w:name="dvpe" w:val="779.660"/>
    <w:docVar w:name="dvrapporteur" w:val="Spravodajkyňa: "/>
    <w:docVar w:name="dvtitre" w:val="Uznesenie Európskeho parlamentu z/zo xx. xxx 2026 o bankovej únii – výročná správa za rok 2025(2025/2136(INI))"/>
  </w:docVars>
  <w:rsids>
    <w:rsidRoot w:val="000108AB"/>
    <w:rsid w:val="00002272"/>
    <w:rsid w:val="000108A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47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A1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B2C"/>
    <w:rsid w:val="007D1690"/>
    <w:rsid w:val="007E22AD"/>
    <w:rsid w:val="00817416"/>
    <w:rsid w:val="00842779"/>
    <w:rsid w:val="00851595"/>
    <w:rsid w:val="008550D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39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CF0"/>
    <w:rsid w:val="00B50A5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10F"/>
    <w:rsid w:val="00CF071A"/>
    <w:rsid w:val="00D058B8"/>
    <w:rsid w:val="00D56C11"/>
    <w:rsid w:val="00D64E00"/>
    <w:rsid w:val="00D834A0"/>
    <w:rsid w:val="00D872DF"/>
    <w:rsid w:val="00D91E21"/>
    <w:rsid w:val="00DA7FCD"/>
    <w:rsid w:val="00DB7BED"/>
    <w:rsid w:val="00DC4150"/>
    <w:rsid w:val="00E365E1"/>
    <w:rsid w:val="00E820A4"/>
    <w:rsid w:val="00EB006A"/>
    <w:rsid w:val="00EB4772"/>
    <w:rsid w:val="00EB4CDA"/>
    <w:rsid w:val="00ED169E"/>
    <w:rsid w:val="00ED4235"/>
    <w:rsid w:val="00F04346"/>
    <w:rsid w:val="00F075DC"/>
    <w:rsid w:val="00F149E9"/>
    <w:rsid w:val="00F226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20A5F"/>
  <w15:chartTrackingRefBased/>
  <w15:docId w15:val="{054FC7E5-2DCC-47C2-98CD-9EB43078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60A1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460A1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60A1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60A1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60A1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60A16"/>
    <w:rPr>
      <w:color w:val="0000FF"/>
      <w:u w:val="single"/>
    </w:rPr>
  </w:style>
  <w:style w:type="paragraph" w:styleId="Revision">
    <w:name w:val="Revision"/>
    <w:hidden/>
    <w:uiPriority w:val="99"/>
    <w:semiHidden/>
    <w:rsid w:val="007C3B2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3753/oj" TargetMode="External"/><Relationship Id="rId3" Type="http://schemas.openxmlformats.org/officeDocument/2006/relationships/hyperlink" Target="http://data.europa.eu/eli/reg/2024/1620/oj" TargetMode="External"/><Relationship Id="rId7" Type="http://schemas.openxmlformats.org/officeDocument/2006/relationships/hyperlink" Target="http://data.europa.eu/eli/C/2025/3752/oj" TargetMode="External"/><Relationship Id="rId2" Type="http://schemas.openxmlformats.org/officeDocument/2006/relationships/hyperlink" Target="http://data.europa.eu/eli/reg/2024/1624/oj" TargetMode="External"/><Relationship Id="rId1" Type="http://schemas.openxmlformats.org/officeDocument/2006/relationships/hyperlink" Target="http://data.europa.eu/eli/dir/2024/1640/oj" TargetMode="External"/><Relationship Id="rId6" Type="http://schemas.openxmlformats.org/officeDocument/2006/relationships/hyperlink" Target="http://data.europa.eu/eli/reg_del/2024/2795/oj" TargetMode="External"/><Relationship Id="rId5" Type="http://schemas.openxmlformats.org/officeDocument/2006/relationships/hyperlink" Target="http://data.europa.eu/eli/reg/2024/1623/oj" TargetMode="External"/><Relationship Id="rId10" Type="http://schemas.openxmlformats.org/officeDocument/2006/relationships/hyperlink" Target="http://data.europa.eu/eli/reg/2023/1114/oj" TargetMode="External"/><Relationship Id="rId4" Type="http://schemas.openxmlformats.org/officeDocument/2006/relationships/hyperlink" Target="http://data.europa.eu/eli/dir/2024/1619/oj" TargetMode="External"/><Relationship Id="rId9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3682</Words>
  <Characters>23370</Characters>
  <Application>Microsoft Office Word</Application>
  <DocSecurity>0</DocSecurity>
  <Lines>194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2026-06-05T09:22:00Z</dcterms:created>
  <dcterms:modified xsi:type="dcterms:W3CDTF">2026-06-05T09:22:00Z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A10-0079/2026</vt:lpwstr>
  </property>
  <property fmtid="{D5CDD505-2E9C-101B-9397-08002B2CF9AE}" pid="4" name="&lt;Type&gt;">
    <vt:lpwstr>RR</vt:lpwstr>
  </property>
</Properties>
</file>