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5D57" w14:paraId="5A54CCFB" w14:textId="77777777" w:rsidTr="0010095E">
        <w:trPr>
          <w:trHeight w:hRule="exact" w:val="1418"/>
        </w:trPr>
        <w:tc>
          <w:tcPr>
            <w:tcW w:w="6804" w:type="dxa"/>
            <w:shd w:val="clear" w:color="auto" w:fill="auto"/>
            <w:vAlign w:val="center"/>
          </w:tcPr>
          <w:p w14:paraId="46545662" w14:textId="6AAF9BB1" w:rsidR="00751A4A" w:rsidRPr="00AB5D57" w:rsidRDefault="00CE3BEC" w:rsidP="0010095E">
            <w:pPr>
              <w:pStyle w:val="EPName"/>
            </w:pPr>
            <w:r w:rsidRPr="00AB5D57">
              <w:t>Европейски</w:t>
            </w:r>
            <w:r w:rsidR="005F3092" w:rsidRPr="00AB5D57">
              <w:t xml:space="preserve"> парламент</w:t>
            </w:r>
          </w:p>
          <w:p w14:paraId="2C82BB87" w14:textId="598F291C" w:rsidR="00751A4A" w:rsidRPr="00AB5D57" w:rsidRDefault="005F1B17" w:rsidP="005F1B17">
            <w:pPr>
              <w:pStyle w:val="EPTerm"/>
              <w:rPr>
                <w:rStyle w:val="HideTWBExt"/>
                <w:noProof w:val="0"/>
                <w:vanish w:val="0"/>
                <w:color w:val="auto"/>
              </w:rPr>
            </w:pPr>
            <w:r w:rsidRPr="00AB5D57">
              <w:t>2024</w:t>
            </w:r>
            <w:r w:rsidR="00CE3BEC">
              <w:rPr>
                <w:lang w:val="en-GB"/>
              </w:rPr>
              <w:t> – </w:t>
            </w:r>
            <w:r w:rsidR="00817416" w:rsidRPr="00AB5D57">
              <w:t>202</w:t>
            </w:r>
            <w:r w:rsidRPr="00AB5D57">
              <w:t>9</w:t>
            </w:r>
          </w:p>
        </w:tc>
        <w:tc>
          <w:tcPr>
            <w:tcW w:w="2268" w:type="dxa"/>
            <w:shd w:val="clear" w:color="auto" w:fill="auto"/>
          </w:tcPr>
          <w:p w14:paraId="2E610049" w14:textId="77777777" w:rsidR="00751A4A" w:rsidRPr="00AB5D57" w:rsidRDefault="00187494" w:rsidP="0010095E">
            <w:pPr>
              <w:pStyle w:val="EPLogo"/>
            </w:pPr>
            <w:r w:rsidRPr="00AB5D57">
              <w:rPr>
                <w:noProof/>
                <w:lang w:eastAsia="ja-JP"/>
              </w:rPr>
              <w:drawing>
                <wp:inline distT="0" distB="0" distL="0" distR="0" wp14:anchorId="1CEA5C7C" wp14:editId="65EAD4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489892" w14:textId="77777777" w:rsidR="00D058B8" w:rsidRPr="00AB5D57" w:rsidRDefault="00D058B8" w:rsidP="004C5D52">
      <w:pPr>
        <w:pStyle w:val="LineTop"/>
      </w:pPr>
    </w:p>
    <w:p w14:paraId="3611D548" w14:textId="1FE207CA" w:rsidR="00680577" w:rsidRPr="00AB5D57" w:rsidRDefault="005F3092" w:rsidP="00680577">
      <w:pPr>
        <w:pStyle w:val="EPBodyTA1"/>
      </w:pPr>
      <w:r w:rsidRPr="00AB5D57">
        <w:t>ПРИЕТИ ТЕКСТОВЕ</w:t>
      </w:r>
    </w:p>
    <w:p w14:paraId="6530067F" w14:textId="77777777" w:rsidR="00D058B8" w:rsidRPr="00AB5D57" w:rsidRDefault="00D058B8" w:rsidP="00D058B8">
      <w:pPr>
        <w:pStyle w:val="LineBottom"/>
      </w:pPr>
    </w:p>
    <w:p w14:paraId="67CDDC80" w14:textId="2120EB46" w:rsidR="005F3092" w:rsidRPr="00AB5D57" w:rsidRDefault="005F3092" w:rsidP="005F3092">
      <w:pPr>
        <w:pStyle w:val="ATHeading1"/>
      </w:pPr>
      <w:bookmarkStart w:id="0" w:name="TANumber"/>
      <w:r w:rsidRPr="00AB5D57">
        <w:t>P10_TA(2026)0</w:t>
      </w:r>
      <w:r w:rsidR="00AD54BD">
        <w:t>16</w:t>
      </w:r>
      <w:r w:rsidRPr="00AB5D57">
        <w:t>0</w:t>
      </w:r>
      <w:bookmarkEnd w:id="0"/>
    </w:p>
    <w:p w14:paraId="52452263" w14:textId="77777777" w:rsidR="005F3092" w:rsidRPr="00AB5D57" w:rsidRDefault="005F3092" w:rsidP="005F3092">
      <w:pPr>
        <w:pStyle w:val="ATHeading2"/>
      </w:pPr>
      <w:bookmarkStart w:id="1" w:name="title"/>
      <w:r w:rsidRPr="00AB5D57">
        <w:t>Прилагане на Акта за цифровите пазари</w:t>
      </w:r>
      <w:bookmarkEnd w:id="1"/>
    </w:p>
    <w:p w14:paraId="24267BAC" w14:textId="77777777" w:rsidR="005F3092" w:rsidRPr="00AB5D57" w:rsidRDefault="005F3092" w:rsidP="005F3092">
      <w:pPr>
        <w:rPr>
          <w:i/>
          <w:vanish/>
        </w:rPr>
      </w:pPr>
      <w:r w:rsidRPr="00AB5D57">
        <w:rPr>
          <w:i/>
        </w:rPr>
        <w:fldChar w:fldCharType="begin"/>
      </w:r>
      <w:r w:rsidRPr="00AB5D57">
        <w:rPr>
          <w:i/>
        </w:rPr>
        <w:instrText xml:space="preserve"> TC"(</w:instrText>
      </w:r>
      <w:bookmarkStart w:id="2" w:name="DocNumber"/>
      <w:r w:rsidRPr="00AB5D57">
        <w:rPr>
          <w:i/>
        </w:rPr>
        <w:instrText>B10-0190/2026</w:instrText>
      </w:r>
      <w:bookmarkEnd w:id="2"/>
      <w:r w:rsidRPr="00AB5D57">
        <w:rPr>
          <w:i/>
        </w:rPr>
        <w:instrText xml:space="preserve">)"\l3 \n&gt; \* MERGEFORMAT </w:instrText>
      </w:r>
      <w:r w:rsidRPr="00AB5D57">
        <w:rPr>
          <w:i/>
        </w:rPr>
        <w:fldChar w:fldCharType="end"/>
      </w:r>
    </w:p>
    <w:p w14:paraId="0A9C7119" w14:textId="77777777" w:rsidR="005F3092" w:rsidRPr="00AB5D57" w:rsidRDefault="005F3092" w:rsidP="005F3092">
      <w:pPr>
        <w:rPr>
          <w:vanish/>
        </w:rPr>
      </w:pPr>
      <w:bookmarkStart w:id="3" w:name="PE"/>
      <w:r w:rsidRPr="00AB5D57">
        <w:rPr>
          <w:vanish/>
        </w:rPr>
        <w:t>PE785.295</w:t>
      </w:r>
      <w:bookmarkEnd w:id="3"/>
    </w:p>
    <w:p w14:paraId="081304A9" w14:textId="6312DFC6" w:rsidR="005F3092" w:rsidRPr="00AB5D57" w:rsidRDefault="005F3092" w:rsidP="005F3092">
      <w:pPr>
        <w:pStyle w:val="ATHeading3"/>
      </w:pPr>
      <w:bookmarkStart w:id="4" w:name="Sujet"/>
      <w:r w:rsidRPr="00AB5D57">
        <w:t xml:space="preserve">Резолюция на Европейския парламент от </w:t>
      </w:r>
      <w:r w:rsidR="00CE3BEC" w:rsidRPr="002B22E3">
        <w:rPr>
          <w:lang w:val="ru-RU"/>
        </w:rPr>
        <w:t xml:space="preserve">30 </w:t>
      </w:r>
      <w:r w:rsidR="00CE3BEC">
        <w:t>април</w:t>
      </w:r>
      <w:r w:rsidRPr="00AB5D57">
        <w:t xml:space="preserve"> 2026 г. относно прилагането на Акта за цифровите пазари</w:t>
      </w:r>
      <w:bookmarkEnd w:id="4"/>
      <w:r w:rsidRPr="00AB5D57">
        <w:t xml:space="preserve"> </w:t>
      </w:r>
      <w:bookmarkStart w:id="5" w:name="References"/>
      <w:r w:rsidRPr="00AB5D57">
        <w:t>(2026/2596(RSP))</w:t>
      </w:r>
      <w:bookmarkEnd w:id="5"/>
    </w:p>
    <w:p w14:paraId="708868DD" w14:textId="77777777" w:rsidR="00623325" w:rsidRPr="00AB5D57" w:rsidRDefault="00623325" w:rsidP="00623325">
      <w:pPr>
        <w:pStyle w:val="EPComma"/>
      </w:pPr>
      <w:bookmarkStart w:id="6" w:name="TextBodyBegin"/>
      <w:bookmarkEnd w:id="6"/>
      <w:r w:rsidRPr="00AB5D57">
        <w:rPr>
          <w:i/>
        </w:rPr>
        <w:t>Европейският парламент</w:t>
      </w:r>
      <w:r w:rsidRPr="00AB5D57">
        <w:t>,</w:t>
      </w:r>
    </w:p>
    <w:p w14:paraId="3C2BE8D0" w14:textId="77777777" w:rsidR="00623325" w:rsidRPr="00AB5D57" w:rsidRDefault="00623325" w:rsidP="00623325">
      <w:pPr>
        <w:pStyle w:val="NormalHanging12a"/>
      </w:pPr>
      <w:r w:rsidRPr="00AB5D57">
        <w:t>–</w:t>
      </w:r>
      <w:r w:rsidRPr="00AB5D57">
        <w:tab/>
        <w:t>като взе предвид Регламент (EС) 2022/1925 на Европейския парламент и на Съвета от 14 септември 2022 г. за достъпни и справедливи пазари в цифровия сектор и за изменение на директиви (EС) 2019/1937 и (ЕС) 2020/1828 (Акт за цифровите пазари)</w:t>
      </w:r>
      <w:r w:rsidRPr="00AB5D57">
        <w:rPr>
          <w:rStyle w:val="FootnoteReference"/>
        </w:rPr>
        <w:footnoteReference w:id="1"/>
      </w:r>
      <w:r w:rsidRPr="00AB5D57">
        <w:t>, и по-специално член 53 от него,</w:t>
      </w:r>
    </w:p>
    <w:p w14:paraId="7B8F3738" w14:textId="7A929264" w:rsidR="00623325" w:rsidRPr="00AB5D57" w:rsidRDefault="00623325" w:rsidP="00623325">
      <w:pPr>
        <w:pStyle w:val="NormalHanging12a"/>
      </w:pPr>
      <w:r w:rsidRPr="00AB5D57">
        <w:t>–</w:t>
      </w:r>
      <w:r w:rsidRPr="00AB5D57">
        <w:tab/>
        <w:t xml:space="preserve">като взе предвид въпроса до Комисията относно гарантирането на изпълнението на Акта за цифровите </w:t>
      </w:r>
      <w:r w:rsidRPr="00DC3604">
        <w:t>пазари (O-0000</w:t>
      </w:r>
      <w:r w:rsidR="00CE3BEC" w:rsidRPr="00DC3604">
        <w:t>16/2026</w:t>
      </w:r>
      <w:r w:rsidRPr="00DC3604">
        <w:t xml:space="preserve"> — B10</w:t>
      </w:r>
      <w:r w:rsidRPr="00DC3604">
        <w:noBreakHyphen/>
        <w:t>00</w:t>
      </w:r>
      <w:r w:rsidR="00CE3BEC" w:rsidRPr="00DC3604">
        <w:t>10</w:t>
      </w:r>
      <w:r w:rsidRPr="00DC3604">
        <w:t>/2026),</w:t>
      </w:r>
    </w:p>
    <w:p w14:paraId="4046605F" w14:textId="77777777" w:rsidR="00623325" w:rsidRPr="00AB5D57" w:rsidRDefault="00623325" w:rsidP="00623325">
      <w:pPr>
        <w:pStyle w:val="NormalHanging12a"/>
        <w:rPr>
          <w:rFonts w:eastAsia="Aptos"/>
          <w:kern w:val="2"/>
          <w:szCs w:val="24"/>
          <w14:ligatures w14:val="standardContextual"/>
        </w:rPr>
      </w:pPr>
      <w:r w:rsidRPr="00AB5D57">
        <w:t>–</w:t>
      </w:r>
      <w:r w:rsidRPr="00AB5D57">
        <w:tab/>
        <w:t xml:space="preserve">като взе предвид решенията на Комисията от 6 септември 2023 г., приети съгласно член 3 от Регламент (ЕС) 2022/1925, с които </w:t>
      </w:r>
      <w:proofErr w:type="spellStart"/>
      <w:r w:rsidRPr="00AB5D57">
        <w:t>Alphabet</w:t>
      </w:r>
      <w:proofErr w:type="spellEnd"/>
      <w:r w:rsidRPr="00AB5D57">
        <w:rPr>
          <w:rFonts w:eastAsia="MS Mincho"/>
          <w:vertAlign w:val="superscript"/>
          <w:lang w:eastAsia="en-US"/>
        </w:rPr>
        <w:footnoteReference w:id="2"/>
      </w:r>
      <w:r w:rsidRPr="00AB5D57">
        <w:t xml:space="preserve">, </w:t>
      </w:r>
      <w:proofErr w:type="spellStart"/>
      <w:r w:rsidRPr="00AB5D57">
        <w:t>Amazon</w:t>
      </w:r>
      <w:proofErr w:type="spellEnd"/>
      <w:r w:rsidRPr="00AB5D57">
        <w:rPr>
          <w:rFonts w:eastAsia="MS Mincho"/>
          <w:vertAlign w:val="superscript"/>
          <w:lang w:eastAsia="en-US"/>
        </w:rPr>
        <w:footnoteReference w:id="3"/>
      </w:r>
      <w:r w:rsidRPr="00AB5D57">
        <w:t>, Apple</w:t>
      </w:r>
      <w:r w:rsidRPr="00AB5D57">
        <w:rPr>
          <w:rFonts w:eastAsia="MS Mincho"/>
          <w:vertAlign w:val="superscript"/>
          <w:lang w:eastAsia="en-US"/>
        </w:rPr>
        <w:footnoteReference w:id="4"/>
      </w:r>
      <w:r w:rsidRPr="00AB5D57">
        <w:t xml:space="preserve">, </w:t>
      </w:r>
      <w:proofErr w:type="spellStart"/>
      <w:r w:rsidRPr="00AB5D57">
        <w:t>ByteDance</w:t>
      </w:r>
      <w:proofErr w:type="spellEnd"/>
      <w:r w:rsidRPr="00AB5D57">
        <w:rPr>
          <w:rFonts w:eastAsia="MS Mincho"/>
          <w:vertAlign w:val="superscript"/>
          <w:lang w:eastAsia="en-US"/>
        </w:rPr>
        <w:footnoteReference w:id="5"/>
      </w:r>
      <w:r w:rsidRPr="00AB5D57">
        <w:t xml:space="preserve">, </w:t>
      </w:r>
      <w:proofErr w:type="spellStart"/>
      <w:r w:rsidRPr="00AB5D57">
        <w:t>Meta</w:t>
      </w:r>
      <w:proofErr w:type="spellEnd"/>
      <w:r w:rsidRPr="00AB5D57">
        <w:rPr>
          <w:rFonts w:eastAsia="MS Mincho"/>
          <w:vertAlign w:val="superscript"/>
          <w:lang w:eastAsia="en-US"/>
        </w:rPr>
        <w:footnoteReference w:id="6"/>
      </w:r>
      <w:r w:rsidRPr="00AB5D57">
        <w:t xml:space="preserve"> и Microsoft</w:t>
      </w:r>
      <w:r w:rsidRPr="00AB5D57">
        <w:rPr>
          <w:rFonts w:eastAsia="MS Mincho"/>
          <w:vertAlign w:val="superscript"/>
          <w:lang w:eastAsia="en-US"/>
        </w:rPr>
        <w:footnoteReference w:id="7"/>
      </w:r>
      <w:r w:rsidRPr="00AB5D57">
        <w:t xml:space="preserve"> се определят като контролиращи достъпа предприятия по отношение на редица основни платформени услуги,</w:t>
      </w:r>
    </w:p>
    <w:p w14:paraId="66EBEE42" w14:textId="77777777" w:rsidR="00623325" w:rsidRPr="00AB5D57" w:rsidRDefault="00623325" w:rsidP="00623325">
      <w:pPr>
        <w:pStyle w:val="NormalHanging12a"/>
        <w:rPr>
          <w:rFonts w:eastAsia="Aptos"/>
          <w:kern w:val="2"/>
          <w:szCs w:val="24"/>
          <w14:ligatures w14:val="standardContextual"/>
        </w:rPr>
      </w:pPr>
      <w:r w:rsidRPr="00AB5D57">
        <w:t>–</w:t>
      </w:r>
      <w:r w:rsidRPr="00AB5D57">
        <w:tab/>
        <w:t>като взе предвид решението на Комисията от 29 април 2024 г.</w:t>
      </w:r>
      <w:r w:rsidRPr="00AB5D57">
        <w:rPr>
          <w:rFonts w:eastAsia="MS Mincho"/>
          <w:szCs w:val="24"/>
          <w:vertAlign w:val="superscript"/>
          <w:lang w:eastAsia="en-US"/>
        </w:rPr>
        <w:footnoteReference w:id="8"/>
      </w:r>
      <w:r w:rsidRPr="00AB5D57">
        <w:t xml:space="preserve">, прието съгласно член 3 от Регламент (ЕС) 2022/1925, с което операционната система </w:t>
      </w:r>
      <w:proofErr w:type="spellStart"/>
      <w:r w:rsidRPr="00AB5D57">
        <w:t>iPadOS</w:t>
      </w:r>
      <w:proofErr w:type="spellEnd"/>
      <w:r w:rsidRPr="00AB5D57">
        <w:t xml:space="preserve"> на Apple се определя като основна платформена услуга,</w:t>
      </w:r>
    </w:p>
    <w:p w14:paraId="04203A57" w14:textId="77777777" w:rsidR="00623325" w:rsidRPr="00AB5D57" w:rsidRDefault="00623325" w:rsidP="00623325">
      <w:pPr>
        <w:pStyle w:val="NormalHanging12a"/>
        <w:rPr>
          <w:rFonts w:eastAsia="Aptos"/>
          <w:kern w:val="2"/>
          <w:szCs w:val="24"/>
          <w14:ligatures w14:val="standardContextual"/>
        </w:rPr>
      </w:pPr>
      <w:r w:rsidRPr="00AB5D57">
        <w:t>–</w:t>
      </w:r>
      <w:r w:rsidRPr="00AB5D57">
        <w:tab/>
        <w:t>като взе предвид решението на Комисията от 13 май 2024 г.</w:t>
      </w:r>
      <w:r w:rsidRPr="00AB5D57">
        <w:rPr>
          <w:rFonts w:eastAsia="MS Mincho"/>
          <w:szCs w:val="24"/>
          <w:vertAlign w:val="superscript"/>
          <w:lang w:eastAsia="en-US"/>
        </w:rPr>
        <w:footnoteReference w:id="9"/>
      </w:r>
      <w:r w:rsidRPr="00AB5D57">
        <w:t>, прието съгласно член 3 от Регламент (ЕС) 2022/1925, с което Booking.com се определя като контролиращо достъпа предприятие по отношение на неговите посреднически онлайн услуги,</w:t>
      </w:r>
    </w:p>
    <w:p w14:paraId="636ABF58" w14:textId="77777777" w:rsidR="00623325" w:rsidRPr="00AB5D57" w:rsidRDefault="00623325" w:rsidP="00623325">
      <w:pPr>
        <w:pStyle w:val="NormalHanging12a"/>
        <w:rPr>
          <w:rFonts w:eastAsia="Aptos"/>
          <w:kern w:val="2"/>
          <w:szCs w:val="24"/>
          <w14:ligatures w14:val="standardContextual"/>
        </w:rPr>
      </w:pPr>
      <w:r w:rsidRPr="00AB5D57">
        <w:t>–</w:t>
      </w:r>
      <w:r w:rsidRPr="00AB5D57">
        <w:tab/>
        <w:t>като взе предвид решението на Комисията от 23 април 2025 г.</w:t>
      </w:r>
      <w:r w:rsidRPr="00AB5D57">
        <w:rPr>
          <w:rFonts w:eastAsia="MS Mincho"/>
          <w:szCs w:val="24"/>
          <w:vertAlign w:val="superscript"/>
          <w:lang w:eastAsia="en-US"/>
        </w:rPr>
        <w:footnoteReference w:id="10"/>
      </w:r>
      <w:r w:rsidRPr="00AB5D57">
        <w:t xml:space="preserve">, прието съгласно </w:t>
      </w:r>
      <w:r w:rsidRPr="00AB5D57">
        <w:lastRenderedPageBreak/>
        <w:t xml:space="preserve">член 29, параграф 1, буква а), член 30, параграф 1, буква а) и член 31, параграф 1, буква з) от Регламент (ЕС) 2022/1925, с което се оттегля определянето на </w:t>
      </w:r>
      <w:proofErr w:type="spellStart"/>
      <w:r w:rsidRPr="00AB5D57">
        <w:t>Facebook</w:t>
      </w:r>
      <w:proofErr w:type="spellEnd"/>
      <w:r w:rsidRPr="00AB5D57">
        <w:t xml:space="preserve"> Marketplace на </w:t>
      </w:r>
      <w:proofErr w:type="spellStart"/>
      <w:r w:rsidRPr="00AB5D57">
        <w:t>Meta</w:t>
      </w:r>
      <w:proofErr w:type="spellEnd"/>
      <w:r w:rsidRPr="00AB5D57">
        <w:t xml:space="preserve"> като основна платформена услуга,</w:t>
      </w:r>
    </w:p>
    <w:p w14:paraId="113B8576" w14:textId="77777777" w:rsidR="00623325" w:rsidRPr="00AB5D57" w:rsidRDefault="00623325" w:rsidP="00623325">
      <w:pPr>
        <w:pStyle w:val="NormalHanging12a"/>
        <w:rPr>
          <w:rFonts w:eastAsia="Aptos"/>
          <w:kern w:val="2"/>
          <w:szCs w:val="24"/>
          <w14:ligatures w14:val="standardContextual"/>
        </w:rPr>
      </w:pPr>
      <w:r w:rsidRPr="00AB5D57">
        <w:t>–</w:t>
      </w:r>
      <w:r w:rsidRPr="00AB5D57">
        <w:tab/>
        <w:t>като взе предвид Регламент за изпълнение (ЕС) 2023/814 на Комисията от 14 април 2023 г. относно подробните условия за воденето от Комисията на някои производства в съответствие с Регламент (ЕС) 2022/1925 на Европейския парламент и на Съвета</w:t>
      </w:r>
      <w:r w:rsidRPr="00AB5D57">
        <w:rPr>
          <w:rFonts w:eastAsia="MS Mincho"/>
          <w:szCs w:val="24"/>
          <w:vertAlign w:val="superscript"/>
          <w:lang w:eastAsia="en-US"/>
        </w:rPr>
        <w:footnoteReference w:id="11"/>
      </w:r>
      <w:r w:rsidRPr="00AB5D57">
        <w:t>,</w:t>
      </w:r>
    </w:p>
    <w:p w14:paraId="2EC0E46E" w14:textId="77777777" w:rsidR="00623325" w:rsidRPr="00AB5D57" w:rsidRDefault="00623325" w:rsidP="00623325">
      <w:pPr>
        <w:pStyle w:val="NormalHanging12a"/>
      </w:pPr>
      <w:r w:rsidRPr="00AB5D57">
        <w:t>–</w:t>
      </w:r>
      <w:r w:rsidRPr="00AB5D57">
        <w:tab/>
        <w:t>като взе предвид член 142, параграф 5 и член 136, параграф 2 от своя Правилник за дейността,</w:t>
      </w:r>
    </w:p>
    <w:p w14:paraId="3908265B" w14:textId="77777777" w:rsidR="00623325" w:rsidRPr="00AB5D57" w:rsidRDefault="00623325" w:rsidP="00623325">
      <w:pPr>
        <w:pStyle w:val="NormalHanging12a"/>
      </w:pPr>
      <w:r w:rsidRPr="00AB5D57">
        <w:t>А.</w:t>
      </w:r>
      <w:r w:rsidRPr="00AB5D57">
        <w:tab/>
        <w:t xml:space="preserve">като има предвид, че Актът за цифровите пазари установява хармонизирана </w:t>
      </w:r>
      <w:proofErr w:type="spellStart"/>
      <w:r w:rsidRPr="00AB5D57">
        <w:rPr>
          <w:i/>
          <w:iCs/>
        </w:rPr>
        <w:t>ex</w:t>
      </w:r>
      <w:proofErr w:type="spellEnd"/>
      <w:r w:rsidRPr="00AB5D57">
        <w:rPr>
          <w:i/>
          <w:iCs/>
        </w:rPr>
        <w:t> </w:t>
      </w:r>
      <w:proofErr w:type="spellStart"/>
      <w:r w:rsidRPr="00AB5D57">
        <w:rPr>
          <w:i/>
          <w:iCs/>
        </w:rPr>
        <w:t>ante</w:t>
      </w:r>
      <w:proofErr w:type="spellEnd"/>
      <w:r w:rsidRPr="00AB5D57">
        <w:t xml:space="preserve"> нормативна уредба, за да се гарантират справедливи, отворени и достъпни цифрови пазари в целия ЕС, да се предотвратят нелоялни практики на контролиращите достъпа предприятия, да се запазят целостта и правилното функциониране на единния пазар, да се гарантира ефективно и недискриминационно прилагане на задълженията по отношение на всички предприятия, които са определени като контролиращи достъпа, да се премахнат пречките пред навлизането на пазара и да се насърчават трансграничните цифрови услуги, иновациите, изборът за потребителите и лоялната конкуренция в целия ЕС;</w:t>
      </w:r>
    </w:p>
    <w:p w14:paraId="08B43519" w14:textId="77777777" w:rsidR="00623325" w:rsidRPr="00AB5D57" w:rsidRDefault="00623325" w:rsidP="00623325">
      <w:pPr>
        <w:pStyle w:val="NormalHanging12a"/>
      </w:pPr>
      <w:r w:rsidRPr="00AB5D57">
        <w:t>Б.</w:t>
      </w:r>
      <w:r w:rsidRPr="00AB5D57">
        <w:tab/>
        <w:t>като има предвид, че Актът за цифровите пазари има за цел да осигури реални ползи за цифровите пазари, като гарантира, че бизнес ползвателите и крайните ползватели могат действително да упражняват правата си съгласно регламента и че практиките на контролиращите достъпа предприятия вече не създават структурни пречки за навлизане на единния пазар или за способността за растеж или иновации на единния пазар, както и да предотврати поставянето на потребителите в положение на зависимост, която възпира потребителите да преминат към друга услуга;</w:t>
      </w:r>
    </w:p>
    <w:p w14:paraId="0465B0DD" w14:textId="77777777" w:rsidR="00623325" w:rsidRPr="00AB5D57" w:rsidRDefault="00623325" w:rsidP="00623325">
      <w:pPr>
        <w:pStyle w:val="NormalHanging12a"/>
      </w:pPr>
      <w:r w:rsidRPr="00AB5D57">
        <w:t>В.</w:t>
      </w:r>
      <w:r w:rsidRPr="00AB5D57">
        <w:tab/>
        <w:t>като има предвид, че Парламентът упражнява демократичен контрол върху прилагането и гарантирането на изпълнението и на Акта за цифровите пазари, по-специално чрез своята комисия по вътрешния пазар и защита на потребителите (IMCO);</w:t>
      </w:r>
    </w:p>
    <w:p w14:paraId="4C3ECB47" w14:textId="77777777" w:rsidR="00623325" w:rsidRPr="00AB5D57" w:rsidRDefault="00623325" w:rsidP="00623325">
      <w:pPr>
        <w:pStyle w:val="NormalHanging12a"/>
      </w:pPr>
      <w:r w:rsidRPr="00AB5D57">
        <w:t>Г.</w:t>
      </w:r>
      <w:r w:rsidRPr="00AB5D57">
        <w:tab/>
        <w:t>като има предвид, че началният етап на прилагане на Акта за цифровите пазари потвърждава неговото значение като ключов инструмент за подобряване на отворения характер и справедливостта на пазара, конкуренцията и избора за потребителите в ЕС, и подчертава, че всички предприятия, извършващи дейност в ЕС, независимо от своя размер или произход, трябва изцяло да зачитат и спазват правото на ЕС;</w:t>
      </w:r>
    </w:p>
    <w:p w14:paraId="20093717" w14:textId="77777777" w:rsidR="00623325" w:rsidRPr="00AB5D57" w:rsidRDefault="00623325" w:rsidP="00623325">
      <w:pPr>
        <w:pStyle w:val="NormalHanging12a"/>
      </w:pPr>
      <w:r w:rsidRPr="00AB5D57">
        <w:t>Д.</w:t>
      </w:r>
      <w:r w:rsidRPr="00AB5D57">
        <w:tab/>
        <w:t xml:space="preserve">като има предвид, че прилагането на Законодателния акт за цифровите пазари е все още на ранен етап и е свързано с предизвикателства по отношение на навременното и ефективно гарантиране на изпълнението, капацитета за мониторинг и практическата ефективност на някои решения за постигане на съответствие, по-специално с оглед на сложността на основните технологии, </w:t>
      </w:r>
      <w:r w:rsidRPr="00AB5D57">
        <w:lastRenderedPageBreak/>
        <w:t>проектирането на потребителския интерфейс и архитектурата за избор;</w:t>
      </w:r>
    </w:p>
    <w:p w14:paraId="1C932E19" w14:textId="77777777" w:rsidR="00623325" w:rsidRPr="00AB5D57" w:rsidRDefault="00623325" w:rsidP="00623325">
      <w:pPr>
        <w:pStyle w:val="NormalHanging12a"/>
      </w:pPr>
      <w:r w:rsidRPr="00AB5D57">
        <w:t>Е.</w:t>
      </w:r>
      <w:r w:rsidRPr="00AB5D57">
        <w:tab/>
        <w:t>като има предвид, че по-малките предприятия, включително стартиращите и иновативните разрастващи се предприятия, продължават да се сблъскват с бариери и несправедливи пречки на цифровите пазари, включително дискриминационни практики и ограничения, наложени от контролиращи достъпа предприятия, които могат да възпрепятстват иновациите, да ограничат конкуренцията и да намалят възможностите за растеж и в крайна сметка да ограничат избора за потребителите;</w:t>
      </w:r>
    </w:p>
    <w:p w14:paraId="555C2629" w14:textId="77777777" w:rsidR="00623325" w:rsidRPr="00AB5D57" w:rsidRDefault="00623325" w:rsidP="00623325">
      <w:pPr>
        <w:pStyle w:val="NormalHanging12a"/>
      </w:pPr>
      <w:r w:rsidRPr="00AB5D57">
        <w:t>Ж.</w:t>
      </w:r>
      <w:r w:rsidRPr="00AB5D57">
        <w:tab/>
        <w:t>като има предвид, че информационната асиметрия между контролиращите достъпа предприятия и регулаторните органи, както и ограничената прозрачност по отношение на мерките за спазване, пораждат риск да отслабят ефективния надзор, отчетността и доверието в прилагането на Акта за цифровите пазари;</w:t>
      </w:r>
    </w:p>
    <w:p w14:paraId="4B30CBC2" w14:textId="77777777" w:rsidR="00623325" w:rsidRPr="00AB5D57" w:rsidRDefault="00623325" w:rsidP="00623325">
      <w:pPr>
        <w:pStyle w:val="NormalHanging12a"/>
      </w:pPr>
      <w:r w:rsidRPr="00AB5D57">
        <w:t>З.</w:t>
      </w:r>
      <w:r w:rsidRPr="00AB5D57">
        <w:tab/>
        <w:t>като има предвид, че оперативната съвместимост, достъпът до данни, преносимостта на данните и предотвратяването на отдаването на предимство на собствените продукти и услуги представляват основни елементи на Акта за цифровите пазари и налагат устойчиво и стриктно гарантиране на изпълнението, включително когато вредата за конкуренцията произтича от настройките по подразбиране, техническата интеграция или въздействието върху екосистемите;</w:t>
      </w:r>
    </w:p>
    <w:p w14:paraId="2A05BBA7" w14:textId="77777777" w:rsidR="00623325" w:rsidRPr="00AB5D57" w:rsidRDefault="00623325" w:rsidP="00623325">
      <w:pPr>
        <w:pStyle w:val="NormalHanging12a"/>
      </w:pPr>
      <w:r w:rsidRPr="00AB5D57">
        <w:t>И.</w:t>
      </w:r>
      <w:r w:rsidRPr="00AB5D57">
        <w:tab/>
        <w:t>като има предвид, че няколко задължения съгласно Акта за цифровите пазари се основават на активен избор на потребителите, включително отказ за даване на съгласие, деинсталиране на предварително инсталирани приложения, промяна на настройките по подразбиране и пренос на данни, което превръща осведомеността на потребителите и проектирането на интерфейса в основни фактори за ефективността на регламента;</w:t>
      </w:r>
    </w:p>
    <w:p w14:paraId="38FCB7E8" w14:textId="77777777" w:rsidR="00623325" w:rsidRPr="00AB5D57" w:rsidRDefault="00623325" w:rsidP="00623325">
      <w:pPr>
        <w:pStyle w:val="NormalHanging12a"/>
      </w:pPr>
      <w:r w:rsidRPr="00AB5D57">
        <w:t>Й.</w:t>
      </w:r>
      <w:r w:rsidRPr="00AB5D57">
        <w:tab/>
        <w:t>като има предвид, че след влизането в сила на Акта за цифровите пазари се наблюдават осезаеми резултати при създаването на справедливи, отворени и конкурентни цифрови пазари, тъй като на потребителите вече се предлагат подобрени и по-неутрални екрани за избор, когато избират браузъри и приложения по подразбиране, включително когато извършват настройките на устройствата и чрез системните настройки, и те са в състояние да определят услугите на трети страни като услуги по подразбиране в категории, които преди това са били ограничени до предварително инсталирани услуги;</w:t>
      </w:r>
    </w:p>
    <w:p w14:paraId="522808A3" w14:textId="77777777" w:rsidR="00623325" w:rsidRPr="00AB5D57" w:rsidRDefault="00623325" w:rsidP="00623325">
      <w:pPr>
        <w:pStyle w:val="NormalHanging12a"/>
      </w:pPr>
      <w:r w:rsidRPr="00AB5D57">
        <w:t>К.</w:t>
      </w:r>
      <w:r w:rsidRPr="00AB5D57">
        <w:tab/>
        <w:t>като има предвид, че повишените изисквания за оперативна съвместимост също така разширяват избора за потребителите, като позволяват на по-широк набор от свързани и преносими устройства и услуги да функционират с основните платформени услуги, като по този начин намаляват зависимостта от предварително инсталирани екосистеми и допринасят за по-голяма достъпност и автономност на потребителите;</w:t>
      </w:r>
    </w:p>
    <w:p w14:paraId="64E02862" w14:textId="77777777" w:rsidR="00623325" w:rsidRPr="00AB5D57" w:rsidRDefault="00623325" w:rsidP="00623325">
      <w:pPr>
        <w:pStyle w:val="NormalHanging12a"/>
      </w:pPr>
      <w:r w:rsidRPr="00AB5D57">
        <w:t>Л.</w:t>
      </w:r>
      <w:r w:rsidRPr="00AB5D57">
        <w:tab/>
        <w:t>като има предвид, че успехът на Акта за цифровите пазари следва да се оценява не само въз основа на формалното спазване, но и въз основа на въпроса дали неговите цели се постигат на практика и се възприемат като легитимни от крайните ползватели, бизнес ползвателите и широката общественост;</w:t>
      </w:r>
    </w:p>
    <w:p w14:paraId="067A2946" w14:textId="77777777" w:rsidR="00623325" w:rsidRPr="00AB5D57" w:rsidRDefault="00623325" w:rsidP="00623325">
      <w:pPr>
        <w:pStyle w:val="NormalHanging12a"/>
      </w:pPr>
      <w:r w:rsidRPr="00AB5D57">
        <w:t>М.</w:t>
      </w:r>
      <w:r w:rsidRPr="00AB5D57">
        <w:tab/>
        <w:t xml:space="preserve">като има предвид, че Актът за цифровите пазари предвижда набор от инструменти за гарантиране на изпълнението, включително регулаторен диалог, пазарни </w:t>
      </w:r>
      <w:r w:rsidRPr="00AB5D57">
        <w:lastRenderedPageBreak/>
        <w:t>разследвания и производства за установяване на неспазване, с цел да се откриват нарушенията, да се предприемат мерки за справяне с тях и да се налагат глоби; като има предвид, че ефективните и пропорционални глоби са от съществено значение, за да се осигури възпиращ ефект и да се гарантира ефективността на Акта за цифровите пазари; като има предвид, че технологичното развитие, включително основаните на изкуствен интелект (ИИ) функционални възможности и услугите в облак, пораждат нови предизвикателства за достъпността и справедливостта, по отношение на които трябва да бъдат предприети мерки чрез своевременно, единно и последователно прилагане на разпоредбите на Акта за цифровите пазари;</w:t>
      </w:r>
    </w:p>
    <w:p w14:paraId="178E049A" w14:textId="77777777" w:rsidR="00623325" w:rsidRPr="00AB5D57" w:rsidRDefault="00623325" w:rsidP="00623325">
      <w:pPr>
        <w:pStyle w:val="NormalHanging12a"/>
      </w:pPr>
      <w:r w:rsidRPr="00AB5D57">
        <w:t>Н.</w:t>
      </w:r>
      <w:r w:rsidRPr="00AB5D57">
        <w:tab/>
        <w:t>като има предвид, че бързото развитие на системи с генеративен ИИ и основани на ИИ виртуални помощници значително променят конкурентната динамика, пазарните структури, веригите за създаване на стойност и достъпа на ползвателите до цифрови услуги в целия Съюз, което може да има последици за достъпността и справедливостта в рамките на цифровите пазари;</w:t>
      </w:r>
    </w:p>
    <w:p w14:paraId="3E5334D4" w14:textId="77777777" w:rsidR="00623325" w:rsidRPr="00AB5D57" w:rsidRDefault="00623325" w:rsidP="00623325">
      <w:pPr>
        <w:pStyle w:val="NormalHanging12a"/>
      </w:pPr>
      <w:r w:rsidRPr="00AB5D57">
        <w:t>О.</w:t>
      </w:r>
      <w:r w:rsidRPr="00AB5D57">
        <w:tab/>
        <w:t>като има предвид, че Актът за цифровите пазари съдържа няколко разпоредби, които са от значение, за да се попречи на контролиращите достъпа предприятия да ограничават способността на нововъзникващите разработчици на ИИ да се конкурират и да създават иновации, включително задължения, свързани със справедливото и недискриминационно класиране, прозрачността на рекламните услуги и достъпа до данни;</w:t>
      </w:r>
    </w:p>
    <w:p w14:paraId="191E7B4A" w14:textId="77777777" w:rsidR="00623325" w:rsidRPr="00AB5D57" w:rsidRDefault="00623325" w:rsidP="00623325">
      <w:pPr>
        <w:pStyle w:val="NormalHanging12a"/>
      </w:pPr>
      <w:r w:rsidRPr="00AB5D57">
        <w:t>П.</w:t>
      </w:r>
      <w:r w:rsidRPr="00AB5D57">
        <w:tab/>
        <w:t xml:space="preserve">като има предвид, че компютърните услуги „в облак“ в някои случаи представляват във все по-голяма степен критичен слой от цифрови екосистеми, включително за разработването, внедряването и разрастването на приложения с ИИ; като има предвид, че високите равнища на концентрация, разходите за смяна на доставчика, ограниченията на оперативната съвместимост и рисковете от зависимост в някои сегменти на пазара на услуги „в облак“ може да породят опасения, подобни на тези, във връзка с които се предприемат мерки чрез Акта за цифровите пазари; като има предвид, че през ноември 2025 г. започна разследване, за да се прецени дали </w:t>
      </w:r>
      <w:proofErr w:type="spellStart"/>
      <w:r w:rsidRPr="00AB5D57">
        <w:t>Amazon</w:t>
      </w:r>
      <w:proofErr w:type="spellEnd"/>
      <w:r w:rsidRPr="00AB5D57">
        <w:t xml:space="preserve"> и Microsoft следва да бъдат определени като контролиращи достъпа предприятия заради своите компютърни услуги „в облак“ – </w:t>
      </w:r>
      <w:proofErr w:type="spellStart"/>
      <w:r w:rsidRPr="00AB5D57">
        <w:t>Amazon</w:t>
      </w:r>
      <w:proofErr w:type="spellEnd"/>
      <w:r w:rsidRPr="00AB5D57">
        <w:t xml:space="preserve"> </w:t>
      </w:r>
      <w:proofErr w:type="spellStart"/>
      <w:r w:rsidRPr="00AB5D57">
        <w:t>Web</w:t>
      </w:r>
      <w:proofErr w:type="spellEnd"/>
      <w:r w:rsidRPr="00AB5D57">
        <w:t xml:space="preserve"> Services и Microsoft </w:t>
      </w:r>
      <w:proofErr w:type="spellStart"/>
      <w:r w:rsidRPr="00AB5D57">
        <w:t>Azure</w:t>
      </w:r>
      <w:proofErr w:type="spellEnd"/>
      <w:r w:rsidRPr="00AB5D57">
        <w:t>, и като има предвид, че беше започнато друго разследване, за да се прецени дали настоящите задължения съгласно Акта за цифровите пазари са ефективни за целите на справянето с практиките, които ограничават конкурентоспособността или са нелоялни в сектора на услугите „в облак“; като има предвид, че до момента нито един доставчик на компютърни услуги „в облак“ не е определен като контролиращо достъпа предприятие съгласно регламента;</w:t>
      </w:r>
    </w:p>
    <w:p w14:paraId="416C8A4B" w14:textId="77777777" w:rsidR="00623325" w:rsidRPr="00AB5D57" w:rsidRDefault="00623325" w:rsidP="00623325">
      <w:pPr>
        <w:pStyle w:val="NormalHanging12a"/>
      </w:pPr>
      <w:r w:rsidRPr="00AB5D57">
        <w:t>Р.</w:t>
      </w:r>
      <w:r w:rsidRPr="00AB5D57">
        <w:tab/>
        <w:t>като има предвид, че достъпът до широкомащабни изчислителни мощности, усъвършенствани модели на ИИ и инфраструктура за данни и услуги „в облак“ може да създаде нови структурни зависимости и да доведе до зависимост от екосистеми, които може да ограничат достъпността, ако във връзка с тях не бъдат предвидени подходящи мерки в нормативната уредба на ЕС;</w:t>
      </w:r>
    </w:p>
    <w:p w14:paraId="7C0232DD" w14:textId="77777777" w:rsidR="00623325" w:rsidRPr="00AB5D57" w:rsidRDefault="00623325" w:rsidP="00623325">
      <w:pPr>
        <w:pStyle w:val="NormalHanging12a"/>
      </w:pPr>
      <w:r w:rsidRPr="00AB5D57">
        <w:t>С.</w:t>
      </w:r>
      <w:r w:rsidRPr="00AB5D57">
        <w:tab/>
        <w:t xml:space="preserve">като има предвид, че наличието на адекватен институционален капацитет, технически експертен опит и ресурси в рамките на Комисията са абсолютно необходими, за да се гарантира ефективно, независимо и навременно гарантиране на изпълнението на Акта за цифровите пазари и да се запазят неговият надежден </w:t>
      </w:r>
      <w:r w:rsidRPr="00AB5D57">
        <w:lastRenderedPageBreak/>
        <w:t>характер и възпиращ ефект;</w:t>
      </w:r>
    </w:p>
    <w:p w14:paraId="7B663D65" w14:textId="77777777" w:rsidR="00623325" w:rsidRPr="00AB5D57" w:rsidRDefault="00623325" w:rsidP="00623325">
      <w:pPr>
        <w:pStyle w:val="NormalHanging12a"/>
      </w:pPr>
      <w:r w:rsidRPr="00AB5D57">
        <w:t>Т.</w:t>
      </w:r>
      <w:r w:rsidRPr="00AB5D57">
        <w:tab/>
        <w:t>като има предвид, че съгласно Акта за цифровите пазари от Комисията се изисква да извършва периодичен преглед на регламента, като предоставя възможност за оценка на ефективността на гарантирането на изпълнението и ползите от него за потребителите, да идентифицира предизвикателствата при прилагането и да гарантира, че Актът за цифровите пазари продължава да бъде подходящ за целта с оглед на развитието на технологиите и пазара и променящите се форми на основани на ИИ екосистеми;</w:t>
      </w:r>
    </w:p>
    <w:p w14:paraId="1C4E484D" w14:textId="77777777" w:rsidR="00623325" w:rsidRPr="00AB5D57" w:rsidRDefault="00623325" w:rsidP="00623325">
      <w:pPr>
        <w:pStyle w:val="NormalHanging12a"/>
      </w:pPr>
      <w:r w:rsidRPr="00AB5D57">
        <w:t>1.</w:t>
      </w:r>
      <w:r w:rsidRPr="00AB5D57">
        <w:tab/>
        <w:t>отново заявява, че ефективното, навременно и последователно прилагане на Акта за цифровите пазари, както и политическата подкрепа от страна на Комисията, са от съществено значение, за да се гарантира функционирането на единния пазар и да се осигурят осезаеми ползи за потребителите, бизнес ползвателите и новаторите в целия ЕС;</w:t>
      </w:r>
    </w:p>
    <w:p w14:paraId="02386826" w14:textId="77777777" w:rsidR="00623325" w:rsidRPr="00AB5D57" w:rsidRDefault="00623325" w:rsidP="00623325">
      <w:pPr>
        <w:pStyle w:val="NormalHanging12a"/>
      </w:pPr>
      <w:r w:rsidRPr="00AB5D57">
        <w:t>2.</w:t>
      </w:r>
      <w:r w:rsidRPr="00AB5D57">
        <w:tab/>
        <w:t>изразява загриженост относно политическия натиск от страна на трети държави, които настоятелно призовават ЕС да преразгледа или отслаби Акта за цифровите пазари, и подчертава, че подобна външна намеса не трябва да застрашава суверенитета на ЕС и неговата способност самостоятелно да определя и прилага собствените си правила; подчертава, че задълженията по Акта за цифровите пазари се прилагат еднакво за всички посочени контролиращи достъпа предприятия, предоставящи услуги в ЕС, независимо от това къде са установени те или от коя държава са;</w:t>
      </w:r>
    </w:p>
    <w:p w14:paraId="490039CB" w14:textId="77777777" w:rsidR="00623325" w:rsidRPr="00AB5D57" w:rsidRDefault="00623325" w:rsidP="00623325">
      <w:pPr>
        <w:pStyle w:val="NormalHanging12a"/>
      </w:pPr>
      <w:r w:rsidRPr="00AB5D57">
        <w:t>3.</w:t>
      </w:r>
      <w:r w:rsidRPr="00AB5D57">
        <w:tab/>
        <w:t>призовава Комисията да използва пълноценно и проактивно всички инструменти за гарантиране на изпълнението, предвидени в Акта за цифровите пазари, разследвания на пазара, включително производства за установяване на неизпълнение на задължения, инспекции, временни мерки, глоби и периодични имуществени санкции, за да се предотврати заобикалянето и да се гарантира действителното спазване;</w:t>
      </w:r>
    </w:p>
    <w:p w14:paraId="28B5FF3C" w14:textId="77777777" w:rsidR="00623325" w:rsidRPr="00AB5D57" w:rsidRDefault="00623325" w:rsidP="00623325">
      <w:pPr>
        <w:pStyle w:val="NormalHanging12a"/>
      </w:pPr>
      <w:r w:rsidRPr="00AB5D57">
        <w:t>4.</w:t>
      </w:r>
      <w:r w:rsidRPr="00AB5D57">
        <w:tab/>
        <w:t>подчертава, че макар Комисията да запазва изключителна компетентност за гарантирането на изпълнението на Акта за цифровите пазари, за ефективното, навременно и последователно прилагане на регламента в целия ЕС е необходимо структурирано и тясно сътрудничество с националните органи за защита на конкуренцията и други имащи отношение национални публични органи; подчертава, че в рамките на уредбата, установена с Акта за цифровите пазари, тези органи изпълняват съществена подкрепяща роля, включително чрез подпомагане на разследванията и инспекциите, осъществяване на принос за наблюдението на пазара и улесняване на обмена на информация, като по този начин укрепват действителното и единно прилагане на Акта за цифровите пазари и гарантират справедливи и достъпни цифрови пазари в целия ЕС;</w:t>
      </w:r>
    </w:p>
    <w:p w14:paraId="690D6D26" w14:textId="77777777" w:rsidR="00623325" w:rsidRPr="00AB5D57" w:rsidRDefault="00623325" w:rsidP="00623325">
      <w:pPr>
        <w:pStyle w:val="NormalHanging12a"/>
      </w:pPr>
      <w:r w:rsidRPr="00AB5D57">
        <w:t>5.</w:t>
      </w:r>
      <w:r w:rsidRPr="00AB5D57">
        <w:tab/>
        <w:t>подчертава, че гарантирането на отвореност на пазара, включително чрез ефективното прилагане на Акта за цифровите пазари, е съществен елемент от успеха на стратегията за използването на ИИ, насочена към насърчаване на възприемането на ИИ и иновациите в цяла Европа, тъй като действителната достъпност на цифровите пазари е предпоставка за съществуването на отворена и справедлива европейска екосистема на ИИ;</w:t>
      </w:r>
    </w:p>
    <w:p w14:paraId="4321282A" w14:textId="77777777" w:rsidR="00623325" w:rsidRPr="00AB5D57" w:rsidRDefault="00623325" w:rsidP="00623325">
      <w:pPr>
        <w:pStyle w:val="NormalHanging12a"/>
      </w:pPr>
      <w:r w:rsidRPr="00AB5D57">
        <w:t>6.</w:t>
      </w:r>
      <w:r w:rsidRPr="00AB5D57">
        <w:tab/>
        <w:t xml:space="preserve">призовава Комисията да приключи производствата за установяване на </w:t>
      </w:r>
      <w:r w:rsidRPr="00AB5D57">
        <w:lastRenderedPageBreak/>
        <w:t>неизпълнение на задължения без ненужно забавяне и да гарантира своевременно гарантиране на изпълнението съгласно Акта за цифровите пазари, по-специално чрез спазване както на обвързващите, така и на ориентировъчните срокове, и да информира надлежно Европейския парламент за напредъка при гарантирането на изпълнението; подчертава, че е необходима по-голяма прозрачност относно процедурните стъпки и сроковете, за да се даде възможност на Парламента, и по-специално на работната група по въпросите на Акта за цифровите пазари на комисията IMCO, да упражнява своите контролни правомощия; призовава Комисията проактивно и редовно да информира Парламента за положението с гарантирането на изпълнението на Акта за цифровите пазари, включително за развитието на регулаторния диалог, дейностите и дневния ред на групата на високо равнище, относимите проучвания, възложени от Комисията, и всяка друга информация, необходима на Парламента, за да упражнява надзорната си функция;</w:t>
      </w:r>
    </w:p>
    <w:p w14:paraId="6A0EB988" w14:textId="77777777" w:rsidR="00623325" w:rsidRPr="00AB5D57" w:rsidRDefault="00623325" w:rsidP="00623325">
      <w:pPr>
        <w:pStyle w:val="NormalHanging12a"/>
      </w:pPr>
      <w:r w:rsidRPr="00AB5D57">
        <w:t>7.</w:t>
      </w:r>
      <w:r w:rsidRPr="00AB5D57">
        <w:tab/>
        <w:t>призовава Комисията да използва пълноценно групата на високо равнище; подчертава колко е важна ефективната координация между регулаторните органи с оглед на големия брой нови правила и регулатори, извършващи дейност на цифровите пазари;</w:t>
      </w:r>
    </w:p>
    <w:p w14:paraId="51F09449" w14:textId="77777777" w:rsidR="00623325" w:rsidRPr="00AB5D57" w:rsidRDefault="00623325" w:rsidP="00623325">
      <w:pPr>
        <w:pStyle w:val="NormalHanging12a"/>
      </w:pPr>
      <w:r w:rsidRPr="00AB5D57">
        <w:t>8.</w:t>
      </w:r>
      <w:r w:rsidRPr="00AB5D57">
        <w:tab/>
        <w:t>подчертава, че съответствието с разпоредбите на Акта за цифровите пазари трябва да се оценява въз основа на неговите практически и реални последици за отвореността на пазара, конкуренцията, иновациите и избора за ползвателите, като по този начин се гарантират правна сигурност, предвидимост и еднакво третиране;</w:t>
      </w:r>
    </w:p>
    <w:p w14:paraId="1575945B" w14:textId="77777777" w:rsidR="00623325" w:rsidRPr="00AB5D57" w:rsidRDefault="00623325" w:rsidP="00623325">
      <w:pPr>
        <w:pStyle w:val="NormalHanging12a"/>
      </w:pPr>
      <w:r w:rsidRPr="00AB5D57">
        <w:t>9.</w:t>
      </w:r>
      <w:r w:rsidRPr="00AB5D57">
        <w:tab/>
        <w:t>призовава Комисията да предприеме мерки за преодоляване на информационната асиметрия чрез укрепване на механизмите, позволяващи на бизнес ползвателите и крайните ползватели да упражняват ефективно правата си съгласно Акта за цифровите пазари, включително правата, свързани с избора, достъпа до данни, оперативната съвместимост, недискриминацията и недопускането на ответни действия с цел отмъщение, чрез достъпни и сигурни канали за докладване и подаване на жалби, гаранции срещу предприемането на ответни действия с цел отмъщение и по-добра осведоменост относно правата и средствата за правна защита, предвидени в Акта за цифровите пазари, като признава, че ефективността на Акта за цифровите пазари зависи от правата, които се предоставят на крайните ползватели;</w:t>
      </w:r>
    </w:p>
    <w:p w14:paraId="5AC926BF" w14:textId="77777777" w:rsidR="00623325" w:rsidRPr="00AB5D57" w:rsidRDefault="00623325" w:rsidP="00623325">
      <w:pPr>
        <w:pStyle w:val="NormalHanging12a"/>
      </w:pPr>
      <w:r w:rsidRPr="00AB5D57">
        <w:t>10.</w:t>
      </w:r>
      <w:r w:rsidRPr="00AB5D57">
        <w:tab/>
        <w:t>настоятелно призовава Комисията да отдава приоритет на стриктното прилагане на задълженията за оперативна съвместимост, достъп до данни, преносимост на данните, възпрепятстване на насочването и на отдаването на предимство на собствените продукти и услуги, включително когато вредата за конкуренцията произтича от настройките по подразбиране, техническата интеграция или проектирането на платформените екосистеми; призовава Комисията, когато определя приоритетите в областта на гарантирането на изпълнението, надлежно да вземе предвид съответното развитие на пазара и взаимодействието между приложимите инструменти на ЕС, включително Акта за данните</w:t>
      </w:r>
      <w:r w:rsidRPr="00AB5D57">
        <w:rPr>
          <w:rStyle w:val="FootnoteReference"/>
        </w:rPr>
        <w:footnoteReference w:id="12"/>
      </w:r>
      <w:r w:rsidRPr="00AB5D57">
        <w:t xml:space="preserve">; отбелязва, че в </w:t>
      </w:r>
      <w:r w:rsidRPr="00AB5D57">
        <w:lastRenderedPageBreak/>
        <w:t>някои случаи ефективното прилагане и гарантиране на изпълнението на Акта за цифровите пазари може да бъде повлияно от взаимодействията между контролиращите достъпа предприятия и конкуренти и бизнес партньори, особено в ситуации, в които са изразени опасения относно справедливостта на бизнес практиките;</w:t>
      </w:r>
    </w:p>
    <w:p w14:paraId="71E0565C" w14:textId="77777777" w:rsidR="00623325" w:rsidRPr="00AB5D57" w:rsidRDefault="00623325" w:rsidP="00623325">
      <w:pPr>
        <w:pStyle w:val="NormalHanging12a"/>
      </w:pPr>
      <w:r w:rsidRPr="00AB5D57">
        <w:t>11.</w:t>
      </w:r>
      <w:r w:rsidRPr="00AB5D57">
        <w:tab/>
        <w:t>призовава Комисията да продължи да работи за осигуряване на оперативна съвместимост на услугите за съобщения с по-малки приложения за съобщения на трети страни при поискване, което ще позволи на потребителите да обменят текст, файлове и гласови/видео повиквания между платформите, като същевременно се запази криптирането от край до край;</w:t>
      </w:r>
    </w:p>
    <w:p w14:paraId="465DF39E" w14:textId="77777777" w:rsidR="00623325" w:rsidRPr="00AB5D57" w:rsidRDefault="00623325" w:rsidP="00623325">
      <w:pPr>
        <w:pStyle w:val="NormalHanging12a"/>
      </w:pPr>
      <w:r w:rsidRPr="00AB5D57">
        <w:t>12.</w:t>
      </w:r>
      <w:r w:rsidRPr="00AB5D57">
        <w:tab/>
        <w:t xml:space="preserve">изразява дълбока загриженост относно продължаващите практики на </w:t>
      </w:r>
      <w:proofErr w:type="spellStart"/>
      <w:r w:rsidRPr="00AB5D57">
        <w:t>Google</w:t>
      </w:r>
      <w:proofErr w:type="spellEnd"/>
      <w:r w:rsidRPr="00AB5D57">
        <w:t xml:space="preserve"> за отдаване на предимство на собствените продукти и услуги при търсене, пазаруване, пътуване и видео услуги, които продължават да нарушават конкуренцията и да ограничават избора за потребителите; отбелязва, че онлайн рекламите с изображение на продукт, при които се заплаща за брой кликвания, все още се поставят на видно място в горната част на резултатите от търсенето, което затвърждава модел на господстващо положение и липса на прозрачност, накърняващ предназначението на Акта за цифровите пазари; припомня, че предварителните констатации съгласно член 6, параграф 5 от Акта за цифровите пазари показват, че </w:t>
      </w:r>
      <w:proofErr w:type="spellStart"/>
      <w:r w:rsidRPr="00AB5D57">
        <w:t>Google</w:t>
      </w:r>
      <w:proofErr w:type="spellEnd"/>
      <w:r w:rsidRPr="00AB5D57">
        <w:t xml:space="preserve"> използва визуални предимства и преференциално позициониране, за да привилегирова собствените си услуги, включително </w:t>
      </w:r>
      <w:proofErr w:type="spellStart"/>
      <w:r w:rsidRPr="00AB5D57">
        <w:t>Google</w:t>
      </w:r>
      <w:proofErr w:type="spellEnd"/>
      <w:r w:rsidRPr="00AB5D57">
        <w:t xml:space="preserve"> </w:t>
      </w:r>
      <w:proofErr w:type="spellStart"/>
      <w:r w:rsidRPr="00AB5D57">
        <w:t>Shopping</w:t>
      </w:r>
      <w:proofErr w:type="spellEnd"/>
      <w:r w:rsidRPr="00AB5D57">
        <w:t xml:space="preserve">, </w:t>
      </w:r>
      <w:proofErr w:type="spellStart"/>
      <w:r w:rsidRPr="00AB5D57">
        <w:t>Flights</w:t>
      </w:r>
      <w:proofErr w:type="spellEnd"/>
      <w:r w:rsidRPr="00AB5D57">
        <w:t xml:space="preserve"> и </w:t>
      </w:r>
      <w:proofErr w:type="spellStart"/>
      <w:r w:rsidRPr="00AB5D57">
        <w:t>Hotels</w:t>
      </w:r>
      <w:proofErr w:type="spellEnd"/>
      <w:r w:rsidRPr="00AB5D57">
        <w:t xml:space="preserve">, като по този начин ограничава справедливия достъп за конкурентите и засилва пазарната си мощ; припомня, че производства пред национални съдилища в последно време потвърдиха, че практиките на </w:t>
      </w:r>
      <w:proofErr w:type="spellStart"/>
      <w:r w:rsidRPr="00AB5D57">
        <w:t>Google</w:t>
      </w:r>
      <w:proofErr w:type="spellEnd"/>
      <w:r w:rsidRPr="00AB5D57">
        <w:t xml:space="preserve"> за отдаване на предимство на собствените продукти при услугите за търсене са навредили на конкурентните платформи за сравняване, както е видно от решението от 2025 г. по делото </w:t>
      </w:r>
      <w:proofErr w:type="spellStart"/>
      <w:r w:rsidRPr="00AB5D57">
        <w:t>Idealo</w:t>
      </w:r>
      <w:proofErr w:type="spellEnd"/>
      <w:r w:rsidRPr="00AB5D57">
        <w:t>/</w:t>
      </w:r>
      <w:proofErr w:type="spellStart"/>
      <w:r w:rsidRPr="00AB5D57">
        <w:t>Google</w:t>
      </w:r>
      <w:proofErr w:type="spellEnd"/>
      <w:r w:rsidRPr="00AB5D57">
        <w:t xml:space="preserve"> пред Берлинския окръжен съд; подчертава, че опитите на контролиращите достъпа предприятия да поддържат или удължат неспазването на Акта за цифровите пазари могат впоследствие да ги изложат на значителна финансова отговорност чрез последващи искове за обезщетение;</w:t>
      </w:r>
    </w:p>
    <w:p w14:paraId="1D57D954" w14:textId="77777777" w:rsidR="00623325" w:rsidRPr="00AB5D57" w:rsidRDefault="00623325" w:rsidP="00623325">
      <w:pPr>
        <w:pStyle w:val="NormalHanging12a"/>
      </w:pPr>
      <w:r w:rsidRPr="00AB5D57">
        <w:t>13.</w:t>
      </w:r>
      <w:r w:rsidRPr="00AB5D57">
        <w:tab/>
        <w:t xml:space="preserve">подчертава, че интегрирането на ИИ от страна на </w:t>
      </w:r>
      <w:proofErr w:type="spellStart"/>
      <w:r w:rsidRPr="00AB5D57">
        <w:t>Google</w:t>
      </w:r>
      <w:proofErr w:type="spellEnd"/>
      <w:r w:rsidRPr="00AB5D57">
        <w:t xml:space="preserve"> в неговите процеси на търсене и намиране във все по-голяма степен позволява на дружеството да контролира целия процес на потребление — от търсенето и препоръките до намерението за закупуване — с което още повече маргинализира конкурентните услуги и намалява способността на потребителите за независим избор; подчертава, че тази динамика рискува да превърне независимите търговци просто в канали за изпълнение на „Гугъл“, като отразява предишни опити за доминираща позиция в търговията, които преди бяха ограничавани, и че без ясни гаранции съгласно Акта за цифровите пазари тези практики могат да се затвърдят допълнително;</w:t>
      </w:r>
    </w:p>
    <w:p w14:paraId="4E3938B1" w14:textId="77777777" w:rsidR="00623325" w:rsidRDefault="00623325" w:rsidP="00623325">
      <w:pPr>
        <w:pStyle w:val="NormalHanging12a"/>
      </w:pPr>
      <w:r w:rsidRPr="00AB5D57">
        <w:t>14.</w:t>
      </w:r>
      <w:r w:rsidRPr="00AB5D57">
        <w:tab/>
        <w:t xml:space="preserve">отбелязва появата на алтернативни пазари за приложения в рамките на </w:t>
      </w:r>
      <w:proofErr w:type="spellStart"/>
      <w:r w:rsidRPr="00AB5D57">
        <w:t>iOS</w:t>
      </w:r>
      <w:proofErr w:type="spellEnd"/>
      <w:r w:rsidRPr="00AB5D57">
        <w:t xml:space="preserve"> на единния пазар, но изразява загриженост, че тяхната практическа жизнеспособност и възможност за разрастване остават ограничени поради структурата на процеса на потребление и ограничаващите икономически и договорни условия; подчертава, че контролиращите достъпа предприятия преструктурират своите такси по начини, които поставят разработчиците в по-лошо положение от това, което беше налице преди приемането на Акта за цифровите пазари; настоятелно </w:t>
      </w:r>
      <w:r w:rsidRPr="00AB5D57">
        <w:lastRenderedPageBreak/>
        <w:t>призовава Комисията да извърши оценка по въпроса дали условията за достъп на Apple са справедливи и недискриминационни, както се изисква съгласно член 6, параграф 12 от Акта за цифровите пазари;</w:t>
      </w:r>
    </w:p>
    <w:p w14:paraId="79A6586D" w14:textId="48492C30" w:rsidR="00AD54BD" w:rsidRPr="00AB5D57" w:rsidRDefault="00AD54BD" w:rsidP="00623325">
      <w:pPr>
        <w:pStyle w:val="NormalHanging12a"/>
      </w:pPr>
      <w:r w:rsidRPr="00AD54BD">
        <w:t>1</w:t>
      </w:r>
      <w:r>
        <w:t>5</w:t>
      </w:r>
      <w:r w:rsidRPr="00AD54BD">
        <w:t>.</w:t>
      </w:r>
      <w:r w:rsidRPr="00AD54BD">
        <w:tab/>
        <w:t xml:space="preserve">отбелязва, че някои от контролиращите достъпа предприятия, както наскоро беше обявено например от </w:t>
      </w:r>
      <w:proofErr w:type="spellStart"/>
      <w:r w:rsidRPr="00AD54BD">
        <w:t>Google</w:t>
      </w:r>
      <w:proofErr w:type="spellEnd"/>
      <w:r w:rsidRPr="00AD54BD">
        <w:t>, се позовават на основания във връзка с безопасността и киберсигурността, за да наложат изисквания за регистрация и идентификация на разработчиците на приложения, като по този начин ограничават ефективния достъп до алтернативни канали за разпространение на приложения по начин, който може да противоречи на член 6, параграф 4 от Акта за цифровите пазари; поради това призовава Комисията да проучи дали приложените мерки, свързани със сигурността, са строго необходими и пропорционални и да гарантира, че те не се използват като претекст за заобикаляне на целта на Акта за цифровите пазари за осигуряване на действителен достъп до софтуер на трети страни, като се осигурят справедливи, разумни и недискриминационни условия за достъп и същевременно се гарантира способността на разработчиците да насочват ползвателите към алтернативни канали за разпространение;</w:t>
      </w:r>
    </w:p>
    <w:p w14:paraId="0440BB97" w14:textId="6406F37F" w:rsidR="00623325" w:rsidRPr="00AB5D57" w:rsidRDefault="0059283B" w:rsidP="00623325">
      <w:pPr>
        <w:pStyle w:val="NormalHanging12a"/>
      </w:pPr>
      <w:r>
        <w:t>16</w:t>
      </w:r>
      <w:r w:rsidR="00623325" w:rsidRPr="00AB5D57">
        <w:t>.</w:t>
      </w:r>
      <w:r w:rsidR="00623325" w:rsidRPr="00AB5D57">
        <w:tab/>
        <w:t xml:space="preserve">припомня, че съгласно член 5, параграф 4 от Акта за цифровите пазари бизнес ползвателите следва да могат да информират безплатно крайните ползватели за алтернативни оферти, да ги насочват към тези оферти и да сключват договори; отбелязва, че в съображение 40 от Акта за цифровите пазари се признава възможността за възнаграждение за улесняване на първоначалното придобиване на краен ползвател, като същевременно се подчертава, че всяко такова възнаграждение трябва да бъде строго ограничено до първоначалното придобиване, пропорционално и съизмеримо и не трябва на практика да накърнява насочването; настоятелно призовава Комисията да гарантира, че преработените условия на Apple се оценяват стриктно спрямо изискването на Акта за цифровите пазари за всякакви такси, свързани с насочването, и че всякакви опити за заобикаляне се следят внимателно и ако е необходимо се санкционират, без да се чака резултатът от текущия съдебен процес в САЩ по делото </w:t>
      </w:r>
      <w:proofErr w:type="spellStart"/>
      <w:r w:rsidR="00623325" w:rsidRPr="00AB5D57">
        <w:t>Epic</w:t>
      </w:r>
      <w:proofErr w:type="spellEnd"/>
      <w:r w:rsidR="00623325" w:rsidRPr="00AB5D57">
        <w:t xml:space="preserve"> </w:t>
      </w:r>
      <w:proofErr w:type="spellStart"/>
      <w:r w:rsidR="00623325" w:rsidRPr="00AB5D57">
        <w:t>Games</w:t>
      </w:r>
      <w:proofErr w:type="spellEnd"/>
      <w:r w:rsidR="00623325" w:rsidRPr="00AB5D57">
        <w:t>/Apple; подчертава, че прилагането на правото на ЕС следва да се осъществява независимо от съдебните спорове в трети държави;</w:t>
      </w:r>
    </w:p>
    <w:p w14:paraId="426948CD" w14:textId="79B84200" w:rsidR="00623325" w:rsidRPr="00AB5D57" w:rsidRDefault="0059283B" w:rsidP="00623325">
      <w:pPr>
        <w:pStyle w:val="NormalHanging12a"/>
      </w:pPr>
      <w:r>
        <w:t>17</w:t>
      </w:r>
      <w:r w:rsidR="00623325" w:rsidRPr="00AB5D57">
        <w:t>.</w:t>
      </w:r>
      <w:r w:rsidR="00623325" w:rsidRPr="00AB5D57">
        <w:tab/>
        <w:t xml:space="preserve">изразява загриженост по отношение на </w:t>
      </w:r>
      <w:proofErr w:type="spellStart"/>
      <w:r w:rsidR="00623325" w:rsidRPr="00AB5D57">
        <w:t>TikTok</w:t>
      </w:r>
      <w:proofErr w:type="spellEnd"/>
      <w:r w:rsidR="00623325" w:rsidRPr="00AB5D57">
        <w:t xml:space="preserve">, чийто оператор е </w:t>
      </w:r>
      <w:proofErr w:type="spellStart"/>
      <w:r w:rsidR="00623325" w:rsidRPr="00AB5D57">
        <w:t>ByteDance</w:t>
      </w:r>
      <w:proofErr w:type="spellEnd"/>
      <w:r w:rsidR="00623325" w:rsidRPr="00AB5D57">
        <w:t xml:space="preserve">, и екраните за съгласие, внедрени на неговата платформа, които разчитат в голяма степен на поведенчески техники за получаването на съгласие от потребители; отбелязва, че подобни практики може да накърнят принципите на информирано и свободно изразено съгласие и може да съставляват нарушение на член 5, параграф 2 от Акта за цифровите пазари; подчертава, че механизмите за съгласие трябва да бъдат прозрачни, лесни за ползване и действително доброволни, без манипулативен дизайн или психологически натиск; призовава Комисията да следи отблизо практиките на </w:t>
      </w:r>
      <w:proofErr w:type="spellStart"/>
      <w:r w:rsidR="00623325" w:rsidRPr="00AB5D57">
        <w:t>TikTok</w:t>
      </w:r>
      <w:proofErr w:type="spellEnd"/>
      <w:r w:rsidR="00623325" w:rsidRPr="00AB5D57">
        <w:t xml:space="preserve"> за даване на съгласие и да гарантира, че всички несъответстващи на изискванията механизми се коригират бързо, за да се утвърдят автономността на ползвателите и правата в цифрова среда;</w:t>
      </w:r>
    </w:p>
    <w:p w14:paraId="5C1ABC1C" w14:textId="2CC8E54C" w:rsidR="00623325" w:rsidRPr="00AB5D57" w:rsidRDefault="0059283B" w:rsidP="00623325">
      <w:pPr>
        <w:pStyle w:val="NormalHanging12a"/>
      </w:pPr>
      <w:r>
        <w:t>18</w:t>
      </w:r>
      <w:r w:rsidR="00623325" w:rsidRPr="00AB5D57">
        <w:t>.</w:t>
      </w:r>
      <w:r w:rsidR="00623325" w:rsidRPr="00AB5D57">
        <w:tab/>
        <w:t xml:space="preserve">отбелязва колко е важно действителното спазване от страна на Microsoft на член 6, параграф 3 от Акта за цифровите пазари, по-специално по отношение на задължението да се позволи и да се даде техническа възможност на крайните ползватели лесно да променят настройките по подразбиране на своята операционна система Windows за персонален компютър и да имат достъп до </w:t>
      </w:r>
      <w:r w:rsidR="00623325" w:rsidRPr="00AB5D57">
        <w:lastRenderedPageBreak/>
        <w:t xml:space="preserve">конкурентни услуги без неоправдани усложнения; отбелязва, че интегрирането на Bing като доставчик по подразбиране на резултати от онлайн търсене в Windows </w:t>
      </w:r>
      <w:proofErr w:type="spellStart"/>
      <w:r w:rsidR="00623325" w:rsidRPr="00AB5D57">
        <w:t>Taskbar</w:t>
      </w:r>
      <w:proofErr w:type="spellEnd"/>
      <w:r w:rsidR="00623325" w:rsidRPr="00AB5D57">
        <w:t xml:space="preserve"> и трудностите при смяната на доставчика могат неоправдано да насочат потребителите към собствените услуги на Microsoft и да ограничат действителния избор за потребителите; припомня, че Microsoft представи на Комисията мерки за постигане на съответствие, но изразява загриженост относно тяхното практическо въздействие, включително възможните пречки пред действителната оперативна съвместимост в рамките на екосистемата Windows; припомня, че тези мерки следва да продължат да бъдат внимателно оценявани от Комисията, за да се гарантират на практика действителен избор за ползвателите и справедлива и достъпна среда за доставчиците, които са трети страни, по-специално когато ограниченото или бавно създаване на условия за приложно-програмни интерфейси (ППИ) за услуги, които не са на Microsoft, може да попречи на разработчиците, които са трети страни, да осигуряват съпоставима степен на удовлетвореност на крайните ползватели;</w:t>
      </w:r>
    </w:p>
    <w:p w14:paraId="08AF5DA2" w14:textId="321172A5" w:rsidR="00623325" w:rsidRPr="00AB5D57" w:rsidRDefault="0059283B" w:rsidP="00623325">
      <w:pPr>
        <w:pStyle w:val="NormalHanging12a"/>
      </w:pPr>
      <w:r>
        <w:t>19</w:t>
      </w:r>
      <w:r w:rsidR="00623325" w:rsidRPr="00AB5D57">
        <w:t>.</w:t>
      </w:r>
      <w:r w:rsidR="00623325" w:rsidRPr="00AB5D57">
        <w:tab/>
        <w:t>отбелязва със загриженост докладите на различни заинтересовани лица в сектора на пътуванията за постоянно високо равнище на комисионите и продължаващото използване на практики от страна на Booking.com, които изглеждат еквивалентни на забранени клаузи за паритет, включително програми за оценка за хотели въз основа на непрозрачни критерии и все още съществуващи трудности при отказа от използване на спонсорираните платежни системи на Booking.com; припомня, че националните органи за защита на конкуренцията, включително тези във Франция и Испания, санкционираха Booking.com във връзка с клаузите за паритет; призовава Комисията да направи оценка на настоящото равнище на достъпност в онлайн сектора за пътувания след определянето на Booking.com като контролиращо достъпа предприятие и съответно да предприеме решителни действия;</w:t>
      </w:r>
    </w:p>
    <w:p w14:paraId="4AA7D310" w14:textId="6267FC35" w:rsidR="00623325" w:rsidRPr="00AB5D57" w:rsidRDefault="0059283B" w:rsidP="00623325">
      <w:pPr>
        <w:pStyle w:val="NormalHanging12a"/>
      </w:pPr>
      <w:r>
        <w:t>20</w:t>
      </w:r>
      <w:r w:rsidR="00623325" w:rsidRPr="00AB5D57">
        <w:t>.</w:t>
      </w:r>
      <w:r w:rsidR="00623325" w:rsidRPr="00AB5D57">
        <w:tab/>
        <w:t xml:space="preserve">отбелязва прилагането от страна на </w:t>
      </w:r>
      <w:proofErr w:type="spellStart"/>
      <w:r w:rsidR="00623325" w:rsidRPr="00AB5D57">
        <w:t>Meta</w:t>
      </w:r>
      <w:proofErr w:type="spellEnd"/>
      <w:r w:rsidR="00623325" w:rsidRPr="00AB5D57">
        <w:t xml:space="preserve"> на неговия нов трети вариант „плащане или съгласие“ за ограничаване на персонализираната реклама, стартиран през юли 2025 г. след глобата, наложена от Комисията през април 2025 г.; призовава Комисията да гарантира, че понастоящем </w:t>
      </w:r>
      <w:proofErr w:type="spellStart"/>
      <w:r w:rsidR="00623325" w:rsidRPr="00AB5D57">
        <w:t>Meta</w:t>
      </w:r>
      <w:proofErr w:type="spellEnd"/>
      <w:r w:rsidR="00623325" w:rsidRPr="00AB5D57">
        <w:t xml:space="preserve"> действително предоставя неутрален избор за ползвателите, че достъпът на трети страни до услугите на </w:t>
      </w:r>
      <w:proofErr w:type="spellStart"/>
      <w:r w:rsidR="00623325" w:rsidRPr="00AB5D57">
        <w:t>Meta</w:t>
      </w:r>
      <w:proofErr w:type="spellEnd"/>
      <w:r w:rsidR="00623325" w:rsidRPr="00AB5D57">
        <w:t xml:space="preserve"> е справедлив и безпрепятствен и че всяко заобикаляне на изискванията на Акта за цифровите пазари се следи стриктно и когато е целесъобразно, се санкционира;</w:t>
      </w:r>
    </w:p>
    <w:p w14:paraId="2358E408" w14:textId="4A43560B" w:rsidR="00623325" w:rsidRPr="00AB5D57" w:rsidRDefault="0059283B" w:rsidP="00623325">
      <w:pPr>
        <w:pStyle w:val="NormalHanging12a"/>
      </w:pPr>
      <w:r>
        <w:t>21</w:t>
      </w:r>
      <w:r w:rsidR="00623325" w:rsidRPr="00AB5D57">
        <w:t>.</w:t>
      </w:r>
      <w:r w:rsidR="00623325" w:rsidRPr="00AB5D57">
        <w:tab/>
        <w:t xml:space="preserve">изразява загриженост относно практиките по отношение на свързаните телевизори, които възпроизвеждат неконкурентните практики, прилагани преди това на смартфоните от страна на </w:t>
      </w:r>
      <w:proofErr w:type="spellStart"/>
      <w:r w:rsidR="00623325" w:rsidRPr="00AB5D57">
        <w:t>Android</w:t>
      </w:r>
      <w:proofErr w:type="spellEnd"/>
      <w:r w:rsidR="00623325" w:rsidRPr="00AB5D57">
        <w:t xml:space="preserve">; подчертава, че достъпът до аудио-визуални медийни услуги чрез свързани телевизори не трябва да се контролира от малък брой големи технологични дружества и че отвореният, справедлив и конкурентен пазар е от съществено значение за наличието на плуралистична и многообразна медийна среда; подчертава, по отношение на операционните системи за свързани телевизори, че основните доставчици на такива операционни системи контролират достъпа до многостранни пазари за зрителски услуги, реклама и данни; отбелязва, че подобен контрол от страна на контролиращото достъпа предприятие върху точките за достъп на ползвателите може да възникне в други свързани среди, в които операционни системи или виртуални помощници посредничат при достъпа до услуги, включително бордови информационно-развлекателни системи в превозните средства; призовава Комисията да наблюдава внимателно този сегмент на пазара и да предприеме подходящи мерки, когато е </w:t>
      </w:r>
      <w:r w:rsidR="00623325" w:rsidRPr="00AB5D57">
        <w:lastRenderedPageBreak/>
        <w:t>необходимо;</w:t>
      </w:r>
    </w:p>
    <w:p w14:paraId="2430CADE" w14:textId="1448C734" w:rsidR="00623325" w:rsidRPr="00AB5D57" w:rsidRDefault="0059283B" w:rsidP="00623325">
      <w:pPr>
        <w:pStyle w:val="NormalHanging12a"/>
      </w:pPr>
      <w:r>
        <w:t>22</w:t>
      </w:r>
      <w:r w:rsidR="00623325" w:rsidRPr="00AB5D57">
        <w:t>.</w:t>
      </w:r>
      <w:r w:rsidR="00623325" w:rsidRPr="00AB5D57">
        <w:tab/>
        <w:t>подчертава важната роля на крайните ползватели за постигането на целите на Акта за цифровите пазари и подчертава колко е важно да се гарантира, че потребителските интерфейси, механизмите за изразяване на съгласие и архитектурата във връзка с избора са неутрални, лесни за използване, разбираеми и неманипулативни, така че ползвателите да могат да упражняват правата си ефективно и без ненужно напрежение;</w:t>
      </w:r>
    </w:p>
    <w:p w14:paraId="7EE376D1" w14:textId="470EDC40" w:rsidR="00623325" w:rsidRPr="00AB5D57" w:rsidRDefault="0059283B" w:rsidP="00623325">
      <w:pPr>
        <w:pStyle w:val="NormalHanging12a"/>
      </w:pPr>
      <w:r>
        <w:t>23</w:t>
      </w:r>
      <w:r w:rsidR="00623325" w:rsidRPr="00AB5D57">
        <w:t>.</w:t>
      </w:r>
      <w:r w:rsidR="00623325" w:rsidRPr="00AB5D57">
        <w:tab/>
        <w:t>призовава Комисията да гарантира последователно и ориентирано към бъдещето прилагане на Акта за цифровите пазари по отношение на технологичното развитие чрез своевременно предприемане на мерки във връзка с използващите ИИ услуги и инфраструктури, основани на технологии „в облак“, за да се предотвратят нови форми на зависимост, блокиране или практики на контролиране на достъпа, включително когато контролиращите достъпа предприятия упражняват контрол върху данните, компютърните ресурси или интегрираните услуги в ущърб на нововъзникващите разработчици на ИИ и иновативните участници на пазара;</w:t>
      </w:r>
    </w:p>
    <w:p w14:paraId="77523DC3" w14:textId="20244C3C" w:rsidR="00623325" w:rsidRPr="00AB5D57" w:rsidRDefault="0059283B" w:rsidP="00623325">
      <w:pPr>
        <w:pStyle w:val="NormalHanging12a"/>
      </w:pPr>
      <w:r>
        <w:t>24</w:t>
      </w:r>
      <w:r w:rsidR="00623325" w:rsidRPr="00AB5D57">
        <w:t>.</w:t>
      </w:r>
      <w:r w:rsidR="00623325" w:rsidRPr="00AB5D57">
        <w:tab/>
        <w:t>призовава Комисията да гарантира взаимно допълване, съгласуваност и правна сигурност по отношение на Акта за цифровите пазари, Акт за данните и Акта за изкуствения интелект</w:t>
      </w:r>
      <w:r w:rsidR="00623325" w:rsidRPr="00AB5D57">
        <w:rPr>
          <w:rStyle w:val="FootnoteReference"/>
        </w:rPr>
        <w:footnoteReference w:id="13"/>
      </w:r>
      <w:r w:rsidR="00623325" w:rsidRPr="00AB5D57">
        <w:t>, включително чрез координирани насоки и прилагане;</w:t>
      </w:r>
    </w:p>
    <w:p w14:paraId="29185C33" w14:textId="2B8D4A21" w:rsidR="00623325" w:rsidRPr="00AB5D57" w:rsidRDefault="0059283B" w:rsidP="00623325">
      <w:pPr>
        <w:pStyle w:val="NormalHanging12a"/>
      </w:pPr>
      <w:r>
        <w:t>25</w:t>
      </w:r>
      <w:r w:rsidR="00623325" w:rsidRPr="00AB5D57">
        <w:t>.</w:t>
      </w:r>
      <w:r w:rsidR="00623325" w:rsidRPr="00AB5D57">
        <w:tab/>
        <w:t>приветства първите решения на Комисията за установяване на несъответствие съгласно Акта за цифровите пазари като важна стъпка към гарантирането на действително прилагане, но изразява съжаление, че тези решения продължават да имат ограничен обхват и все още не предвиждат мерки във връзка с пълния набор от проблемни практики на контролиращите достъпа предприятия, установени от бизнес ползватели и други заинтересовани лица; освен това изразява съжаление, че наложените глоби са относително скромни в сравнение с мащаба на нарушенията и икономическата мощ на определените като контролиращи достъпа предприятия, което поражда риск от недостатъчен възпиращ ефект и не отразява амбицията на регламента; подчертава, че цялостната уредба за гарантиране на изпълнението следва да гарантира, че очакваните разходи поради неспазване, включително глоби и периодични имуществени санкции, систематично надвишават разходите за спазване от самото начало, така че да се предотврати стратегическо забавяне и да се осигури истински възпиращ ефект;</w:t>
      </w:r>
    </w:p>
    <w:p w14:paraId="2695DBD5" w14:textId="66618D88" w:rsidR="00623325" w:rsidRPr="00AB5D57" w:rsidRDefault="0059283B" w:rsidP="00623325">
      <w:pPr>
        <w:pStyle w:val="NormalHanging12a"/>
      </w:pPr>
      <w:r>
        <w:t>26</w:t>
      </w:r>
      <w:r w:rsidR="00623325" w:rsidRPr="00AB5D57">
        <w:t>.</w:t>
      </w:r>
      <w:r w:rsidR="00623325" w:rsidRPr="00AB5D57">
        <w:tab/>
        <w:t xml:space="preserve">призовава Комисията, с оглед на нарастващото стратегическо значение на услугите за изчисления „в облак“ и тяхната роля в цифровите екосистеми и екосистемите с ИИ, да извърши внимателна оценка по въпроса дали доставчиците на такива услуги отговарят на критериите за определянето им като контролиращи достъпа предприятия съгласно Акта за цифровите пазари, включително чрез използването на разследвания на пазара; призовава Комисията, когато провежда разследвания на пазара и оценява евентуалните обозначения при компютърните </w:t>
      </w:r>
      <w:r w:rsidR="00623325" w:rsidRPr="00AB5D57">
        <w:lastRenderedPageBreak/>
        <w:t xml:space="preserve">услуги „в облак“, да прилага критериите на Акта за цифровите пазари последователно, прозрачно и въз основа на данни за всички доставчици, когато това е оправдано с оглед на пазарните показатели, за да се избегнат нарушения на конкуренцията и да се защитят иновациите; приветства неотдавнашните разследвания на пазара от страна на Комисията по отношение на доставчиците на компютърни услуги „в облак“, например </w:t>
      </w:r>
      <w:proofErr w:type="spellStart"/>
      <w:r w:rsidR="00623325" w:rsidRPr="00AB5D57">
        <w:t>Amazon</w:t>
      </w:r>
      <w:proofErr w:type="spellEnd"/>
      <w:r w:rsidR="00623325" w:rsidRPr="00AB5D57">
        <w:t xml:space="preserve"> </w:t>
      </w:r>
      <w:proofErr w:type="spellStart"/>
      <w:r w:rsidR="00623325" w:rsidRPr="00AB5D57">
        <w:t>Web</w:t>
      </w:r>
      <w:proofErr w:type="spellEnd"/>
      <w:r w:rsidR="00623325" w:rsidRPr="00AB5D57">
        <w:t xml:space="preserve"> Services и Microsoft </w:t>
      </w:r>
      <w:proofErr w:type="spellStart"/>
      <w:r w:rsidR="00623325" w:rsidRPr="00AB5D57">
        <w:t>Azure</w:t>
      </w:r>
      <w:proofErr w:type="spellEnd"/>
      <w:r w:rsidR="00623325" w:rsidRPr="00AB5D57">
        <w:t>;</w:t>
      </w:r>
    </w:p>
    <w:p w14:paraId="5E1F42E8" w14:textId="477F876D" w:rsidR="00623325" w:rsidRPr="00AB5D57" w:rsidRDefault="0059283B" w:rsidP="00623325">
      <w:pPr>
        <w:pStyle w:val="NormalHanging12a"/>
      </w:pPr>
      <w:r>
        <w:t>27</w:t>
      </w:r>
      <w:r w:rsidR="00623325" w:rsidRPr="00AB5D57">
        <w:t>.</w:t>
      </w:r>
      <w:r w:rsidR="00623325" w:rsidRPr="00AB5D57">
        <w:tab/>
        <w:t xml:space="preserve">подчертава, че използващите ИИ инструменти за търсене и помощ, когато се предлагат в качеството или в рамките на определени основни платформени услуги, например AI </w:t>
      </w:r>
      <w:proofErr w:type="spellStart"/>
      <w:r w:rsidR="00623325" w:rsidRPr="00AB5D57">
        <w:t>Overviews</w:t>
      </w:r>
      <w:proofErr w:type="spellEnd"/>
      <w:r w:rsidR="00623325" w:rsidRPr="00AB5D57">
        <w:t xml:space="preserve"> на </w:t>
      </w:r>
      <w:proofErr w:type="spellStart"/>
      <w:r w:rsidR="00623325" w:rsidRPr="00AB5D57">
        <w:t>Google</w:t>
      </w:r>
      <w:proofErr w:type="spellEnd"/>
      <w:r w:rsidR="00623325" w:rsidRPr="00AB5D57">
        <w:t xml:space="preserve">, </w:t>
      </w:r>
      <w:proofErr w:type="spellStart"/>
      <w:r w:rsidR="00623325" w:rsidRPr="00AB5D57">
        <w:t>Gemini</w:t>
      </w:r>
      <w:proofErr w:type="spellEnd"/>
      <w:r w:rsidR="00623325" w:rsidRPr="00AB5D57">
        <w:t xml:space="preserve"> на </w:t>
      </w:r>
      <w:proofErr w:type="spellStart"/>
      <w:r w:rsidR="00623325" w:rsidRPr="00AB5D57">
        <w:t>Google</w:t>
      </w:r>
      <w:proofErr w:type="spellEnd"/>
      <w:r w:rsidR="00623325" w:rsidRPr="00AB5D57">
        <w:t xml:space="preserve">, </w:t>
      </w:r>
      <w:proofErr w:type="spellStart"/>
      <w:r w:rsidR="00623325" w:rsidRPr="00AB5D57">
        <w:t>Siri</w:t>
      </w:r>
      <w:proofErr w:type="spellEnd"/>
      <w:r w:rsidR="00623325" w:rsidRPr="00AB5D57">
        <w:t xml:space="preserve"> на Apple, </w:t>
      </w:r>
      <w:proofErr w:type="spellStart"/>
      <w:r w:rsidR="00623325" w:rsidRPr="00AB5D57">
        <w:t>WhatsApp</w:t>
      </w:r>
      <w:proofErr w:type="spellEnd"/>
      <w:r w:rsidR="00623325" w:rsidRPr="00AB5D57">
        <w:t xml:space="preserve"> AI на </w:t>
      </w:r>
      <w:proofErr w:type="spellStart"/>
      <w:r w:rsidR="00623325" w:rsidRPr="00AB5D57">
        <w:t>Meta</w:t>
      </w:r>
      <w:proofErr w:type="spellEnd"/>
      <w:r w:rsidR="00623325" w:rsidRPr="00AB5D57">
        <w:t xml:space="preserve">, </w:t>
      </w:r>
      <w:proofErr w:type="spellStart"/>
      <w:r w:rsidR="00623325" w:rsidRPr="00AB5D57">
        <w:t>Rufus</w:t>
      </w:r>
      <w:proofErr w:type="spellEnd"/>
      <w:r w:rsidR="00623325" w:rsidRPr="00AB5D57">
        <w:t xml:space="preserve"> на </w:t>
      </w:r>
      <w:proofErr w:type="spellStart"/>
      <w:r w:rsidR="00623325" w:rsidRPr="00AB5D57">
        <w:t>Amazon</w:t>
      </w:r>
      <w:proofErr w:type="spellEnd"/>
      <w:r w:rsidR="00623325" w:rsidRPr="00AB5D57">
        <w:t xml:space="preserve"> или </w:t>
      </w:r>
      <w:proofErr w:type="spellStart"/>
      <w:r w:rsidR="00623325" w:rsidRPr="00AB5D57">
        <w:t>Copilot</w:t>
      </w:r>
      <w:proofErr w:type="spellEnd"/>
      <w:r w:rsidR="00623325" w:rsidRPr="00AB5D57">
        <w:t xml:space="preserve"> на Microsoft, все повече се превръщат в нови портали за информация, търговия и цифрови услуги; призовава Комисията да проучи своевременно дали и по какъв начин тези функционални възможности се използват от контролиращи достъпа предприятия по начини, които могат да накърнят достъпността и справедливостта, включително чрез настройки по подразбиране, предварителен подбор или дискриминационно представяне или подбор на резултатите;</w:t>
      </w:r>
    </w:p>
    <w:p w14:paraId="7056B7E3" w14:textId="027B4575" w:rsidR="00623325" w:rsidRPr="00AB5D57" w:rsidRDefault="0059283B" w:rsidP="00623325">
      <w:pPr>
        <w:pStyle w:val="NormalHanging12a"/>
      </w:pPr>
      <w:r>
        <w:t>28</w:t>
      </w:r>
      <w:r w:rsidR="00623325" w:rsidRPr="00AB5D57">
        <w:t>.</w:t>
      </w:r>
      <w:r w:rsidR="00623325" w:rsidRPr="00AB5D57">
        <w:tab/>
        <w:t>подчертава, че интегрираните цифрови екосистеми на някои контролиращи достъпа предприятия, състоящи се от множество основни платформени услуги и свързани с тях услуги, могат да им предоставят структурно конкурентно предимство при разработването, обучението и внедряването на системи с ИИ, по-специално когато достъпът до широкомащабни потоци от данни от множество услуги, потребителски интерфейси, канали за разпространение или допълващи услуги може да бъде използван в рамките на екосистемите; поради това подчертава необходимостта от стриктно прилагане на член 6, параграф 10 от Акта за цифровите пазари, за да се гарантират действителни права на достъп до данни за бизнес ползвателите и да се предотврати използването на данните от цялата екосистема по начини, които накърняват достъпността и справедливостта, включително когато функционалните възможности на ИИ са интегрирани в основни платформени услуги или могат да се превърнат в нови портали за информация, търговия и цифрови услуги;</w:t>
      </w:r>
    </w:p>
    <w:p w14:paraId="49D97819" w14:textId="4E243959" w:rsidR="00623325" w:rsidRPr="00AB5D57" w:rsidRDefault="0059283B" w:rsidP="00623325">
      <w:pPr>
        <w:pStyle w:val="NormalHanging12a"/>
      </w:pPr>
      <w:r>
        <w:t>29</w:t>
      </w:r>
      <w:r w:rsidR="00623325" w:rsidRPr="00AB5D57">
        <w:t>.</w:t>
      </w:r>
      <w:r w:rsidR="00623325" w:rsidRPr="00AB5D57">
        <w:tab/>
        <w:t>призовава Комисията да осигури достатъчно човешки и финансови ресурси за прилагането на Акта за цифровите пазари в съответствие с обхвата, сложността и стратегическото значение на регламента и призовава за значително увеличаване на персонала;</w:t>
      </w:r>
    </w:p>
    <w:p w14:paraId="36E14201" w14:textId="5EB8ECBD" w:rsidR="00623325" w:rsidRPr="00AB5D57" w:rsidRDefault="0059283B" w:rsidP="00623325">
      <w:pPr>
        <w:pStyle w:val="NormalHanging12a"/>
      </w:pPr>
      <w:r>
        <w:t>30</w:t>
      </w:r>
      <w:r w:rsidR="00623325" w:rsidRPr="00AB5D57">
        <w:t>.</w:t>
      </w:r>
      <w:r w:rsidR="00623325" w:rsidRPr="00AB5D57">
        <w:tab/>
        <w:t>изразява очакване, че предстоящият преглед на Акта за цифровите пазари ще бъде прозрачен и твърдо основан на опита от процеса на гарантиране на изпълнението и данните от процеса на прилагане, включително оценка на реалните резултати за ползвателите и пазарите, както и на практическото въздействие на прилагането върху потребителите, по-специално във връзка с достъпа до иновации, използваемостта, неприкосновеността на личния живот и сигурността, като същевременно надлежно се вземат предвид технологичното развитие и необходимостта да се гарантира, че уредбата продължава да бъде ориентирана към бъдещето; приканва Комисията по-специално да вземе предвид обратната информация, получена от МСП в рамките на процеса на преглед;</w:t>
      </w:r>
    </w:p>
    <w:p w14:paraId="7AAE01EB" w14:textId="775F0498" w:rsidR="00623325" w:rsidRDefault="0059283B" w:rsidP="00623325">
      <w:pPr>
        <w:pStyle w:val="NormalHanging12a"/>
      </w:pPr>
      <w:r>
        <w:t>31</w:t>
      </w:r>
      <w:r w:rsidR="00623325" w:rsidRPr="00AB5D57">
        <w:t>.</w:t>
      </w:r>
      <w:r w:rsidR="00623325" w:rsidRPr="00AB5D57">
        <w:tab/>
        <w:t xml:space="preserve">подчертава, че прегледът следва да се съсредоточи върху укрепването на ефективността и приложимостта на съществуващата уредба, като същевременно се предприемат мерки за преодоляване на предизвикателствата, породени от </w:t>
      </w:r>
      <w:r w:rsidR="00623325" w:rsidRPr="00AB5D57">
        <w:lastRenderedPageBreak/>
        <w:t>бързо развиващите се технологии и екосистеми, чрез пълноценно използване на правомощията, които са на разположение съгласно настоящата уредба, включително чрез разяснения и насоки, когато е необходимо, и следва да избягва преразглеждане на основните цели, обхвата или архитектурата на Акта за цифровите пазари, освен ако това не е ясно обосновано поради доказани пропуски при гарантирането на изпълнението или значителни промени на пазара;</w:t>
      </w:r>
    </w:p>
    <w:p w14:paraId="2B927988" w14:textId="60F2649C" w:rsidR="00AD54BD" w:rsidRPr="00AB5D57" w:rsidRDefault="00AD54BD" w:rsidP="00623325">
      <w:pPr>
        <w:pStyle w:val="NormalHanging12a"/>
      </w:pPr>
      <w:r w:rsidRPr="00AD54BD">
        <w:t>3</w:t>
      </w:r>
      <w:r w:rsidR="0059283B">
        <w:t>2</w:t>
      </w:r>
      <w:r w:rsidRPr="00AD54BD">
        <w:t>.</w:t>
      </w:r>
      <w:r w:rsidRPr="00AD54BD">
        <w:tab/>
        <w:t xml:space="preserve">подчертава, че за ефективното гарантиране на изпълнението на Акта за цифровите пазари е необходимо допълващо използване на общата политика в областта на конкуренцията и всички други инструменти на ЕС за търговска защита и надзор на пазара, тъй като системни рискове за справедливостта и икономическата сигурност могат да възникнат и от сделки извън обхвата на Акта за цифровите пазари; отбелязва във връзка с това опасенията относно придобиването на </w:t>
      </w:r>
      <w:proofErr w:type="spellStart"/>
      <w:r w:rsidRPr="00AD54BD">
        <w:t>Ceconomy</w:t>
      </w:r>
      <w:proofErr w:type="spellEnd"/>
      <w:r w:rsidRPr="00AD54BD">
        <w:t xml:space="preserve"> AG от JD.com, с което контролът върху голяма европейска мрежа за търговия на дребно и разпространение ще се прехвърли на субект извън ЕС, което ще породи рискове от достъп на държави извън ЕС до чувствителни данни за потребителите и потенциални нарушения, свързани с финансова държавна подкрепа; призовава Комисията да прилага стриктно Регламента за чуждестранните субсидии</w:t>
      </w:r>
      <w:r>
        <w:rPr>
          <w:rStyle w:val="FootnoteReference"/>
        </w:rPr>
        <w:footnoteReference w:id="14"/>
      </w:r>
      <w:r w:rsidRPr="00AD54BD">
        <w:t xml:space="preserve"> и да проучва всички чуждестранни субсидии, които са в основата както на тази сделка, така и на бъдещи сделки; призовава Комисията да извърши оценка на рисковете за данните на европейските потребители съгласно Регламента за скрининг на преките чуждестранни инвестиции</w:t>
      </w:r>
      <w:r>
        <w:rPr>
          <w:rStyle w:val="FootnoteReference"/>
        </w:rPr>
        <w:footnoteReference w:id="15"/>
      </w:r>
      <w:r w:rsidRPr="00AD54BD">
        <w:t xml:space="preserve"> и да гарантира ефективно локализиране на данните в съответствие със суверенитета на данните на ЕС и рамката за гарантиране на изпълнението на Акта за цифровите пазари;</w:t>
      </w:r>
    </w:p>
    <w:p w14:paraId="01C24B6F" w14:textId="134037AD" w:rsidR="00E365E1" w:rsidRPr="00AB5D57" w:rsidRDefault="0059283B" w:rsidP="0059283B">
      <w:pPr>
        <w:pStyle w:val="NormalHanging12a"/>
      </w:pPr>
      <w:r>
        <w:t>33</w:t>
      </w:r>
      <w:r w:rsidR="00623325" w:rsidRPr="00AB5D57">
        <w:t>.</w:t>
      </w:r>
      <w:r w:rsidR="00623325" w:rsidRPr="00AB5D57">
        <w:tab/>
        <w:t>възлага на своя председател да предаде настоящата резолюция на Комисията.</w:t>
      </w:r>
    </w:p>
    <w:sectPr w:rsidR="00E365E1" w:rsidRPr="00AB5D57" w:rsidSect="00AB5D5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90BE8" w14:textId="77777777" w:rsidR="005F3092" w:rsidRPr="00AB5D57" w:rsidRDefault="005F3092">
      <w:r w:rsidRPr="00AB5D57">
        <w:separator/>
      </w:r>
    </w:p>
  </w:endnote>
  <w:endnote w:type="continuationSeparator" w:id="0">
    <w:p w14:paraId="0FF43F91" w14:textId="77777777" w:rsidR="005F3092" w:rsidRPr="00AB5D57" w:rsidRDefault="005F3092">
      <w:r w:rsidRPr="00AB5D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97EF7" w14:textId="77777777" w:rsidR="005F3092" w:rsidRPr="00AB5D57" w:rsidRDefault="005F3092">
      <w:r w:rsidRPr="00AB5D57">
        <w:separator/>
      </w:r>
    </w:p>
  </w:footnote>
  <w:footnote w:type="continuationSeparator" w:id="0">
    <w:p w14:paraId="501E3222" w14:textId="77777777" w:rsidR="005F3092" w:rsidRPr="00AB5D57" w:rsidRDefault="005F3092">
      <w:r w:rsidRPr="00AB5D57">
        <w:continuationSeparator/>
      </w:r>
    </w:p>
  </w:footnote>
  <w:footnote w:id="1">
    <w:p w14:paraId="239EE360" w14:textId="5AE416B9" w:rsidR="00623325" w:rsidRPr="00AB5D57" w:rsidRDefault="00623325" w:rsidP="00AB5D57">
      <w:pPr>
        <w:pStyle w:val="FootnoteText"/>
        <w:ind w:left="567" w:hanging="567"/>
        <w:rPr>
          <w:sz w:val="24"/>
          <w:lang w:val="bg-BG"/>
        </w:rPr>
      </w:pPr>
      <w:r w:rsidRPr="00AB5D57">
        <w:rPr>
          <w:rStyle w:val="FootnoteReference"/>
          <w:sz w:val="24"/>
          <w:lang w:val="bg-BG"/>
        </w:rPr>
        <w:footnoteRef/>
      </w:r>
      <w:r w:rsidR="00AB5D57" w:rsidRPr="00AB5D57">
        <w:rPr>
          <w:sz w:val="24"/>
          <w:lang w:val="bg-BG"/>
        </w:rPr>
        <w:t xml:space="preserve"> </w:t>
      </w:r>
      <w:r w:rsidR="00AB5D57" w:rsidRPr="00AB5D57">
        <w:rPr>
          <w:sz w:val="24"/>
          <w:lang w:val="bg-BG"/>
        </w:rPr>
        <w:tab/>
      </w:r>
      <w:r w:rsidRPr="00AB5D57">
        <w:rPr>
          <w:sz w:val="24"/>
          <w:lang w:val="bg-BG"/>
        </w:rPr>
        <w:t>ОВ L 265, 12.10.2022 г., стр. 1, ELI: </w:t>
      </w:r>
      <w:hyperlink r:id="rId1" w:tooltip="Достъп до този документ чрез неговия идентификатор ELI URI." w:history="1">
        <w:r w:rsidRPr="00AB5D57">
          <w:rPr>
            <w:rStyle w:val="Hyperlink"/>
            <w:sz w:val="24"/>
            <w:lang w:val="bg-BG"/>
          </w:rPr>
          <w:t>http://data.europa.eu/eli/reg/2022/1925/oj</w:t>
        </w:r>
      </w:hyperlink>
      <w:r w:rsidRPr="00AB5D57">
        <w:rPr>
          <w:sz w:val="24"/>
          <w:lang w:val="bg-BG"/>
        </w:rPr>
        <w:t>.</w:t>
      </w:r>
    </w:p>
  </w:footnote>
  <w:footnote w:id="2">
    <w:p w14:paraId="21859B8D" w14:textId="2C8F0CE6" w:rsidR="00623325" w:rsidRPr="00AB5D57" w:rsidRDefault="00623325" w:rsidP="00AB5D57">
      <w:pPr>
        <w:pStyle w:val="FootnoteText"/>
        <w:ind w:left="567" w:hanging="567"/>
        <w:rPr>
          <w:sz w:val="24"/>
          <w:lang w:val="bg-BG"/>
        </w:rPr>
      </w:pPr>
      <w:r w:rsidRPr="00AB5D57">
        <w:rPr>
          <w:rStyle w:val="FootnoteReference"/>
          <w:sz w:val="24"/>
          <w:lang w:val="bg-BG"/>
        </w:rPr>
        <w:footnoteRef/>
      </w:r>
      <w:r w:rsidR="00AB5D57" w:rsidRPr="00AB5D57">
        <w:rPr>
          <w:sz w:val="24"/>
          <w:lang w:val="bg-BG"/>
        </w:rPr>
        <w:t xml:space="preserve"> </w:t>
      </w:r>
      <w:r w:rsidR="00AB5D57" w:rsidRPr="00AB5D57">
        <w:rPr>
          <w:sz w:val="24"/>
          <w:lang w:val="bg-BG"/>
        </w:rPr>
        <w:tab/>
      </w:r>
      <w:r w:rsidRPr="00AB5D57">
        <w:rPr>
          <w:sz w:val="24"/>
          <w:lang w:val="bg-BG"/>
        </w:rPr>
        <w:t>OВ C, C/2023/549, 27.10.2023 г., ELI: </w:t>
      </w:r>
      <w:r>
        <w:fldChar w:fldCharType="begin"/>
      </w:r>
      <w:r>
        <w:instrText>HYPERLINK</w:instrText>
      </w:r>
      <w:r w:rsidRPr="002B22E3">
        <w:rPr>
          <w:lang w:val="ru-RU"/>
        </w:rPr>
        <w:instrText xml:space="preserve"> "</w:instrText>
      </w:r>
      <w:r>
        <w:instrText>http</w:instrText>
      </w:r>
      <w:r w:rsidRPr="002B22E3">
        <w:rPr>
          <w:lang w:val="ru-RU"/>
        </w:rPr>
        <w:instrText>://</w:instrText>
      </w:r>
      <w:r>
        <w:instrText>data</w:instrText>
      </w:r>
      <w:r w:rsidRPr="002B22E3">
        <w:rPr>
          <w:lang w:val="ru-RU"/>
        </w:rPr>
        <w:instrText>.</w:instrText>
      </w:r>
      <w:r>
        <w:instrText>europa</w:instrText>
      </w:r>
      <w:r w:rsidRPr="002B22E3">
        <w:rPr>
          <w:lang w:val="ru-RU"/>
        </w:rPr>
        <w:instrText>.</w:instrText>
      </w:r>
      <w:r>
        <w:instrText>eu</w:instrText>
      </w:r>
      <w:r w:rsidRPr="002B22E3">
        <w:rPr>
          <w:lang w:val="ru-RU"/>
        </w:rPr>
        <w:instrText>/</w:instrText>
      </w:r>
      <w:r>
        <w:instrText>eli</w:instrText>
      </w:r>
      <w:r w:rsidRPr="002B22E3">
        <w:rPr>
          <w:lang w:val="ru-RU"/>
        </w:rPr>
        <w:instrText>/</w:instrText>
      </w:r>
      <w:r>
        <w:instrText>C</w:instrText>
      </w:r>
      <w:r w:rsidRPr="002B22E3">
        <w:rPr>
          <w:lang w:val="ru-RU"/>
        </w:rPr>
        <w:instrText>/2023/549/</w:instrText>
      </w:r>
      <w:r>
        <w:instrText>oj</w:instrText>
      </w:r>
      <w:r w:rsidRPr="002B22E3">
        <w:rPr>
          <w:lang w:val="ru-RU"/>
        </w:rPr>
        <w:instrText>" \</w:instrText>
      </w:r>
      <w:r>
        <w:instrText>t</w:instrText>
      </w:r>
      <w:r w:rsidRPr="002B22E3">
        <w:rPr>
          <w:lang w:val="ru-RU"/>
        </w:rPr>
        <w:instrText xml:space="preserve"> "_</w:instrText>
      </w:r>
      <w:r>
        <w:instrText>blank</w:instrText>
      </w:r>
      <w:r w:rsidRPr="002B22E3">
        <w:rPr>
          <w:lang w:val="ru-RU"/>
        </w:rPr>
        <w:instrText>" \</w:instrText>
      </w:r>
      <w:r>
        <w:instrText>o</w:instrText>
      </w:r>
      <w:r w:rsidRPr="002B22E3">
        <w:rPr>
          <w:lang w:val="ru-RU"/>
        </w:rPr>
        <w:instrText xml:space="preserve"> "Достъп до този документ чрез неговия идентификатор </w:instrText>
      </w:r>
      <w:r>
        <w:instrText>ELI</w:instrText>
      </w:r>
      <w:r w:rsidRPr="002B22E3">
        <w:rPr>
          <w:lang w:val="ru-RU"/>
        </w:rPr>
        <w:instrText xml:space="preserve"> </w:instrText>
      </w:r>
      <w:r>
        <w:instrText>URI</w:instrText>
      </w:r>
      <w:r w:rsidRPr="002B22E3">
        <w:rPr>
          <w:lang w:val="ru-RU"/>
        </w:rPr>
        <w:instrText>."</w:instrText>
      </w:r>
      <w:r>
        <w:fldChar w:fldCharType="separate"/>
      </w:r>
      <w:r w:rsidRPr="00AB5D57">
        <w:rPr>
          <w:rStyle w:val="Hyperlink"/>
          <w:sz w:val="24"/>
          <w:lang w:val="bg-BG"/>
        </w:rPr>
        <w:t>http://data.europa.eu/eli/C/2023/549/oj</w:t>
      </w:r>
      <w:r>
        <w:fldChar w:fldCharType="end"/>
      </w:r>
      <w:r w:rsidRPr="00AB5D57">
        <w:rPr>
          <w:sz w:val="24"/>
          <w:lang w:val="bg-BG"/>
        </w:rPr>
        <w:t>.</w:t>
      </w:r>
    </w:p>
  </w:footnote>
  <w:footnote w:id="3">
    <w:p w14:paraId="1DAD3EDD" w14:textId="0D454FF4" w:rsidR="00623325" w:rsidRPr="00AB5D57" w:rsidRDefault="00623325" w:rsidP="00AB5D57">
      <w:pPr>
        <w:pStyle w:val="FootnoteText"/>
        <w:ind w:left="567" w:hanging="567"/>
        <w:rPr>
          <w:sz w:val="24"/>
          <w:lang w:val="bg-BG"/>
        </w:rPr>
      </w:pPr>
      <w:r w:rsidRPr="00AB5D57">
        <w:rPr>
          <w:rStyle w:val="FootnoteReference"/>
          <w:sz w:val="24"/>
          <w:lang w:val="bg-BG"/>
        </w:rPr>
        <w:footnoteRef/>
      </w:r>
      <w:r w:rsidR="00AB5D57" w:rsidRPr="00AB5D57">
        <w:rPr>
          <w:sz w:val="24"/>
          <w:lang w:val="bg-BG"/>
        </w:rPr>
        <w:t xml:space="preserve"> </w:t>
      </w:r>
      <w:r w:rsidR="00AB5D57" w:rsidRPr="00AB5D57">
        <w:rPr>
          <w:sz w:val="24"/>
          <w:lang w:val="bg-BG"/>
        </w:rPr>
        <w:tab/>
      </w:r>
      <w:r w:rsidRPr="00AB5D57">
        <w:rPr>
          <w:sz w:val="24"/>
          <w:lang w:val="bg-BG"/>
        </w:rPr>
        <w:t>OВ C, C/2023/905, 15.11.2023 г., ELI: </w:t>
      </w:r>
      <w:r>
        <w:fldChar w:fldCharType="begin"/>
      </w:r>
      <w:r>
        <w:instrText>HYPERLINK</w:instrText>
      </w:r>
      <w:r w:rsidRPr="002B22E3">
        <w:rPr>
          <w:lang w:val="ru-RU"/>
        </w:rPr>
        <w:instrText xml:space="preserve"> "</w:instrText>
      </w:r>
      <w:r>
        <w:instrText>http</w:instrText>
      </w:r>
      <w:r w:rsidRPr="002B22E3">
        <w:rPr>
          <w:lang w:val="ru-RU"/>
        </w:rPr>
        <w:instrText>://</w:instrText>
      </w:r>
      <w:r>
        <w:instrText>data</w:instrText>
      </w:r>
      <w:r w:rsidRPr="002B22E3">
        <w:rPr>
          <w:lang w:val="ru-RU"/>
        </w:rPr>
        <w:instrText>.</w:instrText>
      </w:r>
      <w:r>
        <w:instrText>europa</w:instrText>
      </w:r>
      <w:r w:rsidRPr="002B22E3">
        <w:rPr>
          <w:lang w:val="ru-RU"/>
        </w:rPr>
        <w:instrText>.</w:instrText>
      </w:r>
      <w:r>
        <w:instrText>eu</w:instrText>
      </w:r>
      <w:r w:rsidRPr="002B22E3">
        <w:rPr>
          <w:lang w:val="ru-RU"/>
        </w:rPr>
        <w:instrText>/</w:instrText>
      </w:r>
      <w:r>
        <w:instrText>eli</w:instrText>
      </w:r>
      <w:r w:rsidRPr="002B22E3">
        <w:rPr>
          <w:lang w:val="ru-RU"/>
        </w:rPr>
        <w:instrText>/</w:instrText>
      </w:r>
      <w:r>
        <w:instrText>C</w:instrText>
      </w:r>
      <w:r w:rsidRPr="002B22E3">
        <w:rPr>
          <w:lang w:val="ru-RU"/>
        </w:rPr>
        <w:instrText>/2023/905/</w:instrText>
      </w:r>
      <w:r>
        <w:instrText>oj</w:instrText>
      </w:r>
      <w:r w:rsidRPr="002B22E3">
        <w:rPr>
          <w:lang w:val="ru-RU"/>
        </w:rPr>
        <w:instrText>" \</w:instrText>
      </w:r>
      <w:r>
        <w:instrText>t</w:instrText>
      </w:r>
      <w:r w:rsidRPr="002B22E3">
        <w:rPr>
          <w:lang w:val="ru-RU"/>
        </w:rPr>
        <w:instrText xml:space="preserve"> "_</w:instrText>
      </w:r>
      <w:r>
        <w:instrText>blank</w:instrText>
      </w:r>
      <w:r w:rsidRPr="002B22E3">
        <w:rPr>
          <w:lang w:val="ru-RU"/>
        </w:rPr>
        <w:instrText>" \</w:instrText>
      </w:r>
      <w:r>
        <w:instrText>o</w:instrText>
      </w:r>
      <w:r w:rsidRPr="002B22E3">
        <w:rPr>
          <w:lang w:val="ru-RU"/>
        </w:rPr>
        <w:instrText xml:space="preserve"> "Достъп до този документ чрез неговия идентификатор </w:instrText>
      </w:r>
      <w:r>
        <w:instrText>ELI</w:instrText>
      </w:r>
      <w:r w:rsidRPr="002B22E3">
        <w:rPr>
          <w:lang w:val="ru-RU"/>
        </w:rPr>
        <w:instrText xml:space="preserve"> </w:instrText>
      </w:r>
      <w:r>
        <w:instrText>URI</w:instrText>
      </w:r>
      <w:r w:rsidRPr="002B22E3">
        <w:rPr>
          <w:lang w:val="ru-RU"/>
        </w:rPr>
        <w:instrText>."</w:instrText>
      </w:r>
      <w:r>
        <w:fldChar w:fldCharType="separate"/>
      </w:r>
      <w:r w:rsidRPr="00AB5D57">
        <w:rPr>
          <w:rStyle w:val="Hyperlink"/>
          <w:sz w:val="24"/>
          <w:lang w:val="bg-BG"/>
        </w:rPr>
        <w:t>http://data.europa.eu/eli/C/2023/905/oj</w:t>
      </w:r>
      <w:r>
        <w:fldChar w:fldCharType="end"/>
      </w:r>
      <w:r w:rsidRPr="00AB5D57">
        <w:rPr>
          <w:sz w:val="24"/>
          <w:lang w:val="bg-BG"/>
        </w:rPr>
        <w:t>.</w:t>
      </w:r>
    </w:p>
  </w:footnote>
  <w:footnote w:id="4">
    <w:p w14:paraId="1A515CD2" w14:textId="54964284" w:rsidR="00623325" w:rsidRPr="00AB5D57" w:rsidRDefault="00623325" w:rsidP="00AB5D57">
      <w:pPr>
        <w:pStyle w:val="FootnoteText"/>
        <w:ind w:left="567" w:hanging="567"/>
        <w:rPr>
          <w:sz w:val="24"/>
          <w:lang w:val="bg-BG"/>
        </w:rPr>
      </w:pPr>
      <w:r w:rsidRPr="00AB5D57">
        <w:rPr>
          <w:rStyle w:val="FootnoteReference"/>
          <w:sz w:val="24"/>
          <w:lang w:val="bg-BG"/>
        </w:rPr>
        <w:footnoteRef/>
      </w:r>
      <w:r w:rsidR="00AB5D57" w:rsidRPr="00AB5D57">
        <w:rPr>
          <w:sz w:val="24"/>
          <w:lang w:val="bg-BG"/>
        </w:rPr>
        <w:t xml:space="preserve"> </w:t>
      </w:r>
      <w:r w:rsidR="00AB5D57" w:rsidRPr="00AB5D57">
        <w:rPr>
          <w:sz w:val="24"/>
          <w:lang w:val="bg-BG"/>
        </w:rPr>
        <w:tab/>
      </w:r>
      <w:r w:rsidRPr="00AB5D57">
        <w:rPr>
          <w:sz w:val="24"/>
          <w:lang w:val="bg-BG"/>
        </w:rPr>
        <w:t>ОВ C, C/2025/4646, 14.8.2025 г., ELI: </w:t>
      </w:r>
      <w:r>
        <w:fldChar w:fldCharType="begin"/>
      </w:r>
      <w:r>
        <w:instrText>HYPERLINK</w:instrText>
      </w:r>
      <w:r w:rsidRPr="002B22E3">
        <w:rPr>
          <w:lang w:val="ru-RU"/>
        </w:rPr>
        <w:instrText xml:space="preserve"> "</w:instrText>
      </w:r>
      <w:r>
        <w:instrText>http</w:instrText>
      </w:r>
      <w:r w:rsidRPr="002B22E3">
        <w:rPr>
          <w:lang w:val="ru-RU"/>
        </w:rPr>
        <w:instrText>://</w:instrText>
      </w:r>
      <w:r>
        <w:instrText>data</w:instrText>
      </w:r>
      <w:r w:rsidRPr="002B22E3">
        <w:rPr>
          <w:lang w:val="ru-RU"/>
        </w:rPr>
        <w:instrText>.</w:instrText>
      </w:r>
      <w:r>
        <w:instrText>europa</w:instrText>
      </w:r>
      <w:r w:rsidRPr="002B22E3">
        <w:rPr>
          <w:lang w:val="ru-RU"/>
        </w:rPr>
        <w:instrText>.</w:instrText>
      </w:r>
      <w:r>
        <w:instrText>eu</w:instrText>
      </w:r>
      <w:r w:rsidRPr="002B22E3">
        <w:rPr>
          <w:lang w:val="ru-RU"/>
        </w:rPr>
        <w:instrText>/</w:instrText>
      </w:r>
      <w:r>
        <w:instrText>eli</w:instrText>
      </w:r>
      <w:r w:rsidRPr="002B22E3">
        <w:rPr>
          <w:lang w:val="ru-RU"/>
        </w:rPr>
        <w:instrText>/</w:instrText>
      </w:r>
      <w:r>
        <w:instrText>C</w:instrText>
      </w:r>
      <w:r w:rsidRPr="002B22E3">
        <w:rPr>
          <w:lang w:val="ru-RU"/>
        </w:rPr>
        <w:instrText>/2025/4646/</w:instrText>
      </w:r>
      <w:r>
        <w:instrText>oj</w:instrText>
      </w:r>
      <w:r w:rsidRPr="002B22E3">
        <w:rPr>
          <w:lang w:val="ru-RU"/>
        </w:rPr>
        <w:instrText>" \</w:instrText>
      </w:r>
      <w:r>
        <w:instrText>t</w:instrText>
      </w:r>
      <w:r w:rsidRPr="002B22E3">
        <w:rPr>
          <w:lang w:val="ru-RU"/>
        </w:rPr>
        <w:instrText xml:space="preserve"> "_</w:instrText>
      </w:r>
      <w:r>
        <w:instrText>blank</w:instrText>
      </w:r>
      <w:r w:rsidRPr="002B22E3">
        <w:rPr>
          <w:lang w:val="ru-RU"/>
        </w:rPr>
        <w:instrText>" \</w:instrText>
      </w:r>
      <w:r>
        <w:instrText>o</w:instrText>
      </w:r>
      <w:r w:rsidRPr="002B22E3">
        <w:rPr>
          <w:lang w:val="ru-RU"/>
        </w:rPr>
        <w:instrText xml:space="preserve"> "Достъп до този документ чрез неговия идентификатор </w:instrText>
      </w:r>
      <w:r>
        <w:instrText>ELI</w:instrText>
      </w:r>
      <w:r w:rsidRPr="002B22E3">
        <w:rPr>
          <w:lang w:val="ru-RU"/>
        </w:rPr>
        <w:instrText xml:space="preserve"> </w:instrText>
      </w:r>
      <w:r>
        <w:instrText>URI</w:instrText>
      </w:r>
      <w:r w:rsidRPr="002B22E3">
        <w:rPr>
          <w:lang w:val="ru-RU"/>
        </w:rPr>
        <w:instrText>."</w:instrText>
      </w:r>
      <w:r>
        <w:fldChar w:fldCharType="separate"/>
      </w:r>
      <w:r w:rsidRPr="00AB5D57">
        <w:rPr>
          <w:rStyle w:val="Hyperlink"/>
          <w:sz w:val="24"/>
          <w:lang w:val="bg-BG"/>
        </w:rPr>
        <w:t>http://data.europa.eu/eli/C/2025/4646/oj</w:t>
      </w:r>
      <w:r>
        <w:fldChar w:fldCharType="end"/>
      </w:r>
      <w:r w:rsidRPr="00AB5D57">
        <w:rPr>
          <w:sz w:val="24"/>
          <w:lang w:val="bg-BG"/>
        </w:rPr>
        <w:t>.</w:t>
      </w:r>
    </w:p>
  </w:footnote>
  <w:footnote w:id="5">
    <w:p w14:paraId="3E62ACC8" w14:textId="67516D61" w:rsidR="00623325" w:rsidRPr="00AB5D57" w:rsidRDefault="00623325" w:rsidP="00AB5D57">
      <w:pPr>
        <w:pStyle w:val="FootnoteText"/>
        <w:ind w:left="567" w:hanging="567"/>
        <w:rPr>
          <w:sz w:val="24"/>
          <w:lang w:val="bg-BG"/>
        </w:rPr>
      </w:pPr>
      <w:r w:rsidRPr="00AB5D57">
        <w:rPr>
          <w:rStyle w:val="FootnoteReference"/>
          <w:sz w:val="24"/>
          <w:lang w:val="bg-BG"/>
        </w:rPr>
        <w:footnoteRef/>
      </w:r>
      <w:r w:rsidR="00AB5D57" w:rsidRPr="00AB5D57">
        <w:rPr>
          <w:sz w:val="24"/>
          <w:lang w:val="bg-BG"/>
        </w:rPr>
        <w:t xml:space="preserve"> </w:t>
      </w:r>
      <w:r w:rsidR="00AB5D57" w:rsidRPr="00AB5D57">
        <w:rPr>
          <w:sz w:val="24"/>
          <w:lang w:val="bg-BG"/>
        </w:rPr>
        <w:tab/>
      </w:r>
      <w:r w:rsidRPr="00AB5D57">
        <w:rPr>
          <w:sz w:val="24"/>
          <w:lang w:val="bg-BG"/>
        </w:rPr>
        <w:t>OВ C, C/2023/552, 27.10.2023 г., ELI: </w:t>
      </w:r>
      <w:r>
        <w:fldChar w:fldCharType="begin"/>
      </w:r>
      <w:r>
        <w:instrText>HYPERLINK</w:instrText>
      </w:r>
      <w:r w:rsidRPr="002B22E3">
        <w:rPr>
          <w:lang w:val="ru-RU"/>
        </w:rPr>
        <w:instrText xml:space="preserve"> "</w:instrText>
      </w:r>
      <w:r>
        <w:instrText>http</w:instrText>
      </w:r>
      <w:r w:rsidRPr="002B22E3">
        <w:rPr>
          <w:lang w:val="ru-RU"/>
        </w:rPr>
        <w:instrText>://</w:instrText>
      </w:r>
      <w:r>
        <w:instrText>data</w:instrText>
      </w:r>
      <w:r w:rsidRPr="002B22E3">
        <w:rPr>
          <w:lang w:val="ru-RU"/>
        </w:rPr>
        <w:instrText>.</w:instrText>
      </w:r>
      <w:r>
        <w:instrText>europa</w:instrText>
      </w:r>
      <w:r w:rsidRPr="002B22E3">
        <w:rPr>
          <w:lang w:val="ru-RU"/>
        </w:rPr>
        <w:instrText>.</w:instrText>
      </w:r>
      <w:r>
        <w:instrText>eu</w:instrText>
      </w:r>
      <w:r w:rsidRPr="002B22E3">
        <w:rPr>
          <w:lang w:val="ru-RU"/>
        </w:rPr>
        <w:instrText>/</w:instrText>
      </w:r>
      <w:r>
        <w:instrText>eli</w:instrText>
      </w:r>
      <w:r w:rsidRPr="002B22E3">
        <w:rPr>
          <w:lang w:val="ru-RU"/>
        </w:rPr>
        <w:instrText>/</w:instrText>
      </w:r>
      <w:r>
        <w:instrText>C</w:instrText>
      </w:r>
      <w:r w:rsidRPr="002B22E3">
        <w:rPr>
          <w:lang w:val="ru-RU"/>
        </w:rPr>
        <w:instrText>/2023/552/</w:instrText>
      </w:r>
      <w:r>
        <w:instrText>oj</w:instrText>
      </w:r>
      <w:r w:rsidRPr="002B22E3">
        <w:rPr>
          <w:lang w:val="ru-RU"/>
        </w:rPr>
        <w:instrText>" \</w:instrText>
      </w:r>
      <w:r>
        <w:instrText>t</w:instrText>
      </w:r>
      <w:r w:rsidRPr="002B22E3">
        <w:rPr>
          <w:lang w:val="ru-RU"/>
        </w:rPr>
        <w:instrText xml:space="preserve"> "_</w:instrText>
      </w:r>
      <w:r>
        <w:instrText>blank</w:instrText>
      </w:r>
      <w:r w:rsidRPr="002B22E3">
        <w:rPr>
          <w:lang w:val="ru-RU"/>
        </w:rPr>
        <w:instrText>" \</w:instrText>
      </w:r>
      <w:r>
        <w:instrText>o</w:instrText>
      </w:r>
      <w:r w:rsidRPr="002B22E3">
        <w:rPr>
          <w:lang w:val="ru-RU"/>
        </w:rPr>
        <w:instrText xml:space="preserve"> "Достъп до този документ чрез неговия идентификатор </w:instrText>
      </w:r>
      <w:r>
        <w:instrText>ELI</w:instrText>
      </w:r>
      <w:r w:rsidRPr="002B22E3">
        <w:rPr>
          <w:lang w:val="ru-RU"/>
        </w:rPr>
        <w:instrText xml:space="preserve"> </w:instrText>
      </w:r>
      <w:r>
        <w:instrText>URI</w:instrText>
      </w:r>
      <w:r w:rsidRPr="002B22E3">
        <w:rPr>
          <w:lang w:val="ru-RU"/>
        </w:rPr>
        <w:instrText>."</w:instrText>
      </w:r>
      <w:r>
        <w:fldChar w:fldCharType="separate"/>
      </w:r>
      <w:r w:rsidRPr="00AB5D57">
        <w:rPr>
          <w:rStyle w:val="Hyperlink"/>
          <w:sz w:val="24"/>
          <w:lang w:val="bg-BG"/>
        </w:rPr>
        <w:t>http://data.europa.eu/eli/C/2023/552/oj</w:t>
      </w:r>
      <w:r>
        <w:fldChar w:fldCharType="end"/>
      </w:r>
      <w:r w:rsidRPr="00AB5D57">
        <w:rPr>
          <w:sz w:val="24"/>
          <w:lang w:val="bg-BG"/>
        </w:rPr>
        <w:t>.</w:t>
      </w:r>
    </w:p>
  </w:footnote>
  <w:footnote w:id="6">
    <w:p w14:paraId="6A8B5799" w14:textId="154D0F3B" w:rsidR="00623325" w:rsidRPr="00AB5D57" w:rsidRDefault="00623325" w:rsidP="00AB5D57">
      <w:pPr>
        <w:pStyle w:val="FootnoteText"/>
        <w:ind w:left="567" w:hanging="567"/>
        <w:rPr>
          <w:sz w:val="24"/>
          <w:lang w:val="bg-BG"/>
        </w:rPr>
      </w:pPr>
      <w:r w:rsidRPr="00AB5D57">
        <w:rPr>
          <w:rStyle w:val="FootnoteReference"/>
          <w:sz w:val="24"/>
          <w:lang w:val="bg-BG"/>
        </w:rPr>
        <w:footnoteRef/>
      </w:r>
      <w:r w:rsidR="00AB5D57" w:rsidRPr="00AB5D57">
        <w:rPr>
          <w:sz w:val="24"/>
          <w:lang w:val="bg-BG"/>
        </w:rPr>
        <w:t xml:space="preserve"> </w:t>
      </w:r>
      <w:r w:rsidR="00AB5D57" w:rsidRPr="00AB5D57">
        <w:rPr>
          <w:sz w:val="24"/>
          <w:lang w:val="bg-BG"/>
        </w:rPr>
        <w:tab/>
      </w:r>
      <w:r w:rsidRPr="00AB5D57">
        <w:rPr>
          <w:sz w:val="24"/>
          <w:lang w:val="bg-BG"/>
        </w:rPr>
        <w:t>OВ C, C/2023/1092, 23.11.2023 г., ELI: </w:t>
      </w:r>
      <w:r>
        <w:fldChar w:fldCharType="begin"/>
      </w:r>
      <w:r>
        <w:instrText>HYPERLINK</w:instrText>
      </w:r>
      <w:r w:rsidRPr="002B22E3">
        <w:rPr>
          <w:lang w:val="ru-RU"/>
        </w:rPr>
        <w:instrText xml:space="preserve"> "</w:instrText>
      </w:r>
      <w:r>
        <w:instrText>http</w:instrText>
      </w:r>
      <w:r w:rsidRPr="002B22E3">
        <w:rPr>
          <w:lang w:val="ru-RU"/>
        </w:rPr>
        <w:instrText>://</w:instrText>
      </w:r>
      <w:r>
        <w:instrText>data</w:instrText>
      </w:r>
      <w:r w:rsidRPr="002B22E3">
        <w:rPr>
          <w:lang w:val="ru-RU"/>
        </w:rPr>
        <w:instrText>.</w:instrText>
      </w:r>
      <w:r>
        <w:instrText>europa</w:instrText>
      </w:r>
      <w:r w:rsidRPr="002B22E3">
        <w:rPr>
          <w:lang w:val="ru-RU"/>
        </w:rPr>
        <w:instrText>.</w:instrText>
      </w:r>
      <w:r>
        <w:instrText>eu</w:instrText>
      </w:r>
      <w:r w:rsidRPr="002B22E3">
        <w:rPr>
          <w:lang w:val="ru-RU"/>
        </w:rPr>
        <w:instrText>/</w:instrText>
      </w:r>
      <w:r>
        <w:instrText>eli</w:instrText>
      </w:r>
      <w:r w:rsidRPr="002B22E3">
        <w:rPr>
          <w:lang w:val="ru-RU"/>
        </w:rPr>
        <w:instrText>/</w:instrText>
      </w:r>
      <w:r>
        <w:instrText>C</w:instrText>
      </w:r>
      <w:r w:rsidRPr="002B22E3">
        <w:rPr>
          <w:lang w:val="ru-RU"/>
        </w:rPr>
        <w:instrText>/2023/1092/</w:instrText>
      </w:r>
      <w:r>
        <w:instrText>oj</w:instrText>
      </w:r>
      <w:r w:rsidRPr="002B22E3">
        <w:rPr>
          <w:lang w:val="ru-RU"/>
        </w:rPr>
        <w:instrText>" \</w:instrText>
      </w:r>
      <w:r>
        <w:instrText>t</w:instrText>
      </w:r>
      <w:r w:rsidRPr="002B22E3">
        <w:rPr>
          <w:lang w:val="ru-RU"/>
        </w:rPr>
        <w:instrText xml:space="preserve"> "_</w:instrText>
      </w:r>
      <w:r>
        <w:instrText>blank</w:instrText>
      </w:r>
      <w:r w:rsidRPr="002B22E3">
        <w:rPr>
          <w:lang w:val="ru-RU"/>
        </w:rPr>
        <w:instrText>" \</w:instrText>
      </w:r>
      <w:r>
        <w:instrText>o</w:instrText>
      </w:r>
      <w:r w:rsidRPr="002B22E3">
        <w:rPr>
          <w:lang w:val="ru-RU"/>
        </w:rPr>
        <w:instrText xml:space="preserve"> "Достъп до този документ чрез неговия идентификатор </w:instrText>
      </w:r>
      <w:r>
        <w:instrText>ELI</w:instrText>
      </w:r>
      <w:r w:rsidRPr="002B22E3">
        <w:rPr>
          <w:lang w:val="ru-RU"/>
        </w:rPr>
        <w:instrText xml:space="preserve"> </w:instrText>
      </w:r>
      <w:r>
        <w:instrText>URI</w:instrText>
      </w:r>
      <w:r w:rsidRPr="002B22E3">
        <w:rPr>
          <w:lang w:val="ru-RU"/>
        </w:rPr>
        <w:instrText>."</w:instrText>
      </w:r>
      <w:r>
        <w:fldChar w:fldCharType="separate"/>
      </w:r>
      <w:r w:rsidRPr="00AB5D57">
        <w:rPr>
          <w:rStyle w:val="Hyperlink"/>
          <w:sz w:val="24"/>
          <w:lang w:val="bg-BG"/>
        </w:rPr>
        <w:t>http://data.europa.eu/eli/C/2023/1092/oj</w:t>
      </w:r>
      <w:r>
        <w:fldChar w:fldCharType="end"/>
      </w:r>
      <w:r w:rsidRPr="00AB5D57">
        <w:rPr>
          <w:sz w:val="24"/>
          <w:lang w:val="bg-BG"/>
        </w:rPr>
        <w:t xml:space="preserve">. </w:t>
      </w:r>
    </w:p>
  </w:footnote>
  <w:footnote w:id="7">
    <w:p w14:paraId="7EAC7021" w14:textId="7687FD7B" w:rsidR="00623325" w:rsidRPr="00AB5D57" w:rsidRDefault="00623325" w:rsidP="00AB5D57">
      <w:pPr>
        <w:pStyle w:val="FootnoteText"/>
        <w:ind w:left="567" w:hanging="567"/>
        <w:rPr>
          <w:sz w:val="24"/>
          <w:lang w:val="bg-BG"/>
        </w:rPr>
      </w:pPr>
      <w:r w:rsidRPr="00AB5D57">
        <w:rPr>
          <w:rStyle w:val="FootnoteReference"/>
          <w:sz w:val="24"/>
          <w:lang w:val="bg-BG"/>
        </w:rPr>
        <w:footnoteRef/>
      </w:r>
      <w:r w:rsidR="00AB5D57" w:rsidRPr="00AB5D57">
        <w:rPr>
          <w:sz w:val="24"/>
          <w:lang w:val="bg-BG"/>
        </w:rPr>
        <w:t xml:space="preserve"> </w:t>
      </w:r>
      <w:r w:rsidR="00AB5D57" w:rsidRPr="00AB5D57">
        <w:rPr>
          <w:sz w:val="24"/>
          <w:lang w:val="bg-BG"/>
        </w:rPr>
        <w:tab/>
      </w:r>
      <w:r w:rsidRPr="00AB5D57">
        <w:rPr>
          <w:sz w:val="24"/>
          <w:lang w:val="bg-BG"/>
        </w:rPr>
        <w:t>OВ C, C/2023/551, 27.10.2023 г., ELI: </w:t>
      </w:r>
      <w:r>
        <w:fldChar w:fldCharType="begin"/>
      </w:r>
      <w:r>
        <w:instrText>HYPERLINK</w:instrText>
      </w:r>
      <w:r w:rsidRPr="002B22E3">
        <w:rPr>
          <w:lang w:val="ru-RU"/>
        </w:rPr>
        <w:instrText xml:space="preserve"> "</w:instrText>
      </w:r>
      <w:r>
        <w:instrText>http</w:instrText>
      </w:r>
      <w:r w:rsidRPr="002B22E3">
        <w:rPr>
          <w:lang w:val="ru-RU"/>
        </w:rPr>
        <w:instrText>://</w:instrText>
      </w:r>
      <w:r>
        <w:instrText>data</w:instrText>
      </w:r>
      <w:r w:rsidRPr="002B22E3">
        <w:rPr>
          <w:lang w:val="ru-RU"/>
        </w:rPr>
        <w:instrText>.</w:instrText>
      </w:r>
      <w:r>
        <w:instrText>europa</w:instrText>
      </w:r>
      <w:r w:rsidRPr="002B22E3">
        <w:rPr>
          <w:lang w:val="ru-RU"/>
        </w:rPr>
        <w:instrText>.</w:instrText>
      </w:r>
      <w:r>
        <w:instrText>eu</w:instrText>
      </w:r>
      <w:r w:rsidRPr="002B22E3">
        <w:rPr>
          <w:lang w:val="ru-RU"/>
        </w:rPr>
        <w:instrText>/</w:instrText>
      </w:r>
      <w:r>
        <w:instrText>eli</w:instrText>
      </w:r>
      <w:r w:rsidRPr="002B22E3">
        <w:rPr>
          <w:lang w:val="ru-RU"/>
        </w:rPr>
        <w:instrText>/</w:instrText>
      </w:r>
      <w:r>
        <w:instrText>C</w:instrText>
      </w:r>
      <w:r w:rsidRPr="002B22E3">
        <w:rPr>
          <w:lang w:val="ru-RU"/>
        </w:rPr>
        <w:instrText>/2023/551/</w:instrText>
      </w:r>
      <w:r>
        <w:instrText>oj</w:instrText>
      </w:r>
      <w:r w:rsidRPr="002B22E3">
        <w:rPr>
          <w:lang w:val="ru-RU"/>
        </w:rPr>
        <w:instrText>" \</w:instrText>
      </w:r>
      <w:r>
        <w:instrText>t</w:instrText>
      </w:r>
      <w:r w:rsidRPr="002B22E3">
        <w:rPr>
          <w:lang w:val="ru-RU"/>
        </w:rPr>
        <w:instrText xml:space="preserve"> "_</w:instrText>
      </w:r>
      <w:r>
        <w:instrText>blank</w:instrText>
      </w:r>
      <w:r w:rsidRPr="002B22E3">
        <w:rPr>
          <w:lang w:val="ru-RU"/>
        </w:rPr>
        <w:instrText>" \</w:instrText>
      </w:r>
      <w:r>
        <w:instrText>o</w:instrText>
      </w:r>
      <w:r w:rsidRPr="002B22E3">
        <w:rPr>
          <w:lang w:val="ru-RU"/>
        </w:rPr>
        <w:instrText xml:space="preserve"> "Достъп до този документ чрез неговия идентификатор </w:instrText>
      </w:r>
      <w:r>
        <w:instrText>ELI</w:instrText>
      </w:r>
      <w:r w:rsidRPr="002B22E3">
        <w:rPr>
          <w:lang w:val="ru-RU"/>
        </w:rPr>
        <w:instrText xml:space="preserve"> </w:instrText>
      </w:r>
      <w:r>
        <w:instrText>URI</w:instrText>
      </w:r>
      <w:r w:rsidRPr="002B22E3">
        <w:rPr>
          <w:lang w:val="ru-RU"/>
        </w:rPr>
        <w:instrText>."</w:instrText>
      </w:r>
      <w:r>
        <w:fldChar w:fldCharType="separate"/>
      </w:r>
      <w:r w:rsidRPr="00AB5D57">
        <w:rPr>
          <w:rStyle w:val="Hyperlink"/>
          <w:sz w:val="24"/>
          <w:lang w:val="bg-BG"/>
        </w:rPr>
        <w:t>http://data.europa.eu/eli/C/2023/551/oj</w:t>
      </w:r>
      <w:r>
        <w:fldChar w:fldCharType="end"/>
      </w:r>
      <w:r w:rsidRPr="00AB5D57">
        <w:rPr>
          <w:sz w:val="24"/>
          <w:lang w:val="bg-BG"/>
        </w:rPr>
        <w:t xml:space="preserve">. </w:t>
      </w:r>
    </w:p>
  </w:footnote>
  <w:footnote w:id="8">
    <w:p w14:paraId="3856A33E" w14:textId="58ECB7AD" w:rsidR="00623325" w:rsidRPr="00AB5D57" w:rsidRDefault="00623325" w:rsidP="00AB5D57">
      <w:pPr>
        <w:pStyle w:val="FootnoteText"/>
        <w:ind w:left="567" w:hanging="567"/>
        <w:rPr>
          <w:sz w:val="24"/>
          <w:lang w:val="bg-BG"/>
        </w:rPr>
      </w:pPr>
      <w:r w:rsidRPr="00AB5D57">
        <w:rPr>
          <w:rStyle w:val="FootnoteReference"/>
          <w:sz w:val="24"/>
          <w:lang w:val="bg-BG"/>
        </w:rPr>
        <w:footnoteRef/>
      </w:r>
      <w:r w:rsidR="00AB5D57" w:rsidRPr="00AB5D57">
        <w:rPr>
          <w:sz w:val="24"/>
          <w:lang w:val="bg-BG"/>
        </w:rPr>
        <w:t xml:space="preserve"> </w:t>
      </w:r>
      <w:r w:rsidR="00AB5D57" w:rsidRPr="00AB5D57">
        <w:rPr>
          <w:sz w:val="24"/>
          <w:lang w:val="bg-BG"/>
        </w:rPr>
        <w:tab/>
      </w:r>
      <w:r w:rsidRPr="00AB5D57">
        <w:rPr>
          <w:sz w:val="24"/>
          <w:lang w:val="bg-BG"/>
        </w:rPr>
        <w:t>OВ C, C/2024/4374, 4.7.2024 г., ELI: </w:t>
      </w:r>
      <w:r>
        <w:fldChar w:fldCharType="begin"/>
      </w:r>
      <w:r>
        <w:instrText>HYPERLINK</w:instrText>
      </w:r>
      <w:r w:rsidRPr="002B22E3">
        <w:rPr>
          <w:lang w:val="ru-RU"/>
        </w:rPr>
        <w:instrText xml:space="preserve"> "</w:instrText>
      </w:r>
      <w:r>
        <w:instrText>http</w:instrText>
      </w:r>
      <w:r w:rsidRPr="002B22E3">
        <w:rPr>
          <w:lang w:val="ru-RU"/>
        </w:rPr>
        <w:instrText>://</w:instrText>
      </w:r>
      <w:r>
        <w:instrText>data</w:instrText>
      </w:r>
      <w:r w:rsidRPr="002B22E3">
        <w:rPr>
          <w:lang w:val="ru-RU"/>
        </w:rPr>
        <w:instrText>.</w:instrText>
      </w:r>
      <w:r>
        <w:instrText>europa</w:instrText>
      </w:r>
      <w:r w:rsidRPr="002B22E3">
        <w:rPr>
          <w:lang w:val="ru-RU"/>
        </w:rPr>
        <w:instrText>.</w:instrText>
      </w:r>
      <w:r>
        <w:instrText>eu</w:instrText>
      </w:r>
      <w:r w:rsidRPr="002B22E3">
        <w:rPr>
          <w:lang w:val="ru-RU"/>
        </w:rPr>
        <w:instrText>/</w:instrText>
      </w:r>
      <w:r>
        <w:instrText>eli</w:instrText>
      </w:r>
      <w:r w:rsidRPr="002B22E3">
        <w:rPr>
          <w:lang w:val="ru-RU"/>
        </w:rPr>
        <w:instrText>/</w:instrText>
      </w:r>
      <w:r>
        <w:instrText>C</w:instrText>
      </w:r>
      <w:r w:rsidRPr="002B22E3">
        <w:rPr>
          <w:lang w:val="ru-RU"/>
        </w:rPr>
        <w:instrText>/2024/4374/</w:instrText>
      </w:r>
      <w:r>
        <w:instrText>oj</w:instrText>
      </w:r>
      <w:r w:rsidRPr="002B22E3">
        <w:rPr>
          <w:lang w:val="ru-RU"/>
        </w:rPr>
        <w:instrText>" \</w:instrText>
      </w:r>
      <w:r>
        <w:instrText>t</w:instrText>
      </w:r>
      <w:r w:rsidRPr="002B22E3">
        <w:rPr>
          <w:lang w:val="ru-RU"/>
        </w:rPr>
        <w:instrText xml:space="preserve"> "_</w:instrText>
      </w:r>
      <w:r>
        <w:instrText>blank</w:instrText>
      </w:r>
      <w:r w:rsidRPr="002B22E3">
        <w:rPr>
          <w:lang w:val="ru-RU"/>
        </w:rPr>
        <w:instrText>" \</w:instrText>
      </w:r>
      <w:r>
        <w:instrText>o</w:instrText>
      </w:r>
      <w:r w:rsidRPr="002B22E3">
        <w:rPr>
          <w:lang w:val="ru-RU"/>
        </w:rPr>
        <w:instrText xml:space="preserve"> "Достъп до този документ чрез неговия идентификатор </w:instrText>
      </w:r>
      <w:r>
        <w:instrText>ELI</w:instrText>
      </w:r>
      <w:r w:rsidRPr="002B22E3">
        <w:rPr>
          <w:lang w:val="ru-RU"/>
        </w:rPr>
        <w:instrText xml:space="preserve"> </w:instrText>
      </w:r>
      <w:r>
        <w:instrText>URI</w:instrText>
      </w:r>
      <w:r w:rsidRPr="002B22E3">
        <w:rPr>
          <w:lang w:val="ru-RU"/>
        </w:rPr>
        <w:instrText>."</w:instrText>
      </w:r>
      <w:r>
        <w:fldChar w:fldCharType="separate"/>
      </w:r>
      <w:r w:rsidRPr="00AB5D57">
        <w:rPr>
          <w:rStyle w:val="Hyperlink"/>
          <w:sz w:val="24"/>
          <w:lang w:val="bg-BG"/>
        </w:rPr>
        <w:t>http://data.europa.eu/eli/C/2024/4374/oj</w:t>
      </w:r>
      <w:r>
        <w:fldChar w:fldCharType="end"/>
      </w:r>
      <w:r w:rsidRPr="00AB5D57">
        <w:rPr>
          <w:sz w:val="24"/>
          <w:lang w:val="bg-BG"/>
        </w:rPr>
        <w:t xml:space="preserve">. </w:t>
      </w:r>
    </w:p>
  </w:footnote>
  <w:footnote w:id="9">
    <w:p w14:paraId="6EC141BC" w14:textId="5AB40AC9" w:rsidR="00623325" w:rsidRPr="00AB5D57" w:rsidRDefault="00623325" w:rsidP="00AB5D57">
      <w:pPr>
        <w:pStyle w:val="FootnoteText"/>
        <w:ind w:left="567" w:hanging="567"/>
        <w:rPr>
          <w:sz w:val="24"/>
          <w:lang w:val="bg-BG"/>
        </w:rPr>
      </w:pPr>
      <w:r w:rsidRPr="00AB5D57">
        <w:rPr>
          <w:rStyle w:val="FootnoteReference"/>
          <w:sz w:val="24"/>
          <w:lang w:val="bg-BG"/>
        </w:rPr>
        <w:footnoteRef/>
      </w:r>
      <w:r w:rsidR="00AB5D57" w:rsidRPr="00AB5D57">
        <w:rPr>
          <w:sz w:val="24"/>
          <w:lang w:val="bg-BG"/>
        </w:rPr>
        <w:t xml:space="preserve"> </w:t>
      </w:r>
      <w:r w:rsidR="00AB5D57" w:rsidRPr="00AB5D57">
        <w:rPr>
          <w:sz w:val="24"/>
          <w:lang w:val="bg-BG"/>
        </w:rPr>
        <w:tab/>
      </w:r>
      <w:r w:rsidRPr="00AB5D57">
        <w:rPr>
          <w:sz w:val="24"/>
          <w:lang w:val="bg-BG"/>
        </w:rPr>
        <w:t>OВ C, C/2024/4360, 4.7.2024 г., ELI: </w:t>
      </w:r>
      <w:r>
        <w:fldChar w:fldCharType="begin"/>
      </w:r>
      <w:r>
        <w:instrText>HYPERLINK</w:instrText>
      </w:r>
      <w:r w:rsidRPr="002B22E3">
        <w:rPr>
          <w:lang w:val="ru-RU"/>
        </w:rPr>
        <w:instrText xml:space="preserve"> "</w:instrText>
      </w:r>
      <w:r>
        <w:instrText>http</w:instrText>
      </w:r>
      <w:r w:rsidRPr="002B22E3">
        <w:rPr>
          <w:lang w:val="ru-RU"/>
        </w:rPr>
        <w:instrText>://</w:instrText>
      </w:r>
      <w:r>
        <w:instrText>data</w:instrText>
      </w:r>
      <w:r w:rsidRPr="002B22E3">
        <w:rPr>
          <w:lang w:val="ru-RU"/>
        </w:rPr>
        <w:instrText>.</w:instrText>
      </w:r>
      <w:r>
        <w:instrText>europa</w:instrText>
      </w:r>
      <w:r w:rsidRPr="002B22E3">
        <w:rPr>
          <w:lang w:val="ru-RU"/>
        </w:rPr>
        <w:instrText>.</w:instrText>
      </w:r>
      <w:r>
        <w:instrText>eu</w:instrText>
      </w:r>
      <w:r w:rsidRPr="002B22E3">
        <w:rPr>
          <w:lang w:val="ru-RU"/>
        </w:rPr>
        <w:instrText>/</w:instrText>
      </w:r>
      <w:r>
        <w:instrText>eli</w:instrText>
      </w:r>
      <w:r w:rsidRPr="002B22E3">
        <w:rPr>
          <w:lang w:val="ru-RU"/>
        </w:rPr>
        <w:instrText>/</w:instrText>
      </w:r>
      <w:r>
        <w:instrText>C</w:instrText>
      </w:r>
      <w:r w:rsidRPr="002B22E3">
        <w:rPr>
          <w:lang w:val="ru-RU"/>
        </w:rPr>
        <w:instrText>/2024/4360/</w:instrText>
      </w:r>
      <w:r>
        <w:instrText>oj</w:instrText>
      </w:r>
      <w:r w:rsidRPr="002B22E3">
        <w:rPr>
          <w:lang w:val="ru-RU"/>
        </w:rPr>
        <w:instrText>" \</w:instrText>
      </w:r>
      <w:r>
        <w:instrText>t</w:instrText>
      </w:r>
      <w:r w:rsidRPr="002B22E3">
        <w:rPr>
          <w:lang w:val="ru-RU"/>
        </w:rPr>
        <w:instrText xml:space="preserve"> "_</w:instrText>
      </w:r>
      <w:r>
        <w:instrText>blank</w:instrText>
      </w:r>
      <w:r w:rsidRPr="002B22E3">
        <w:rPr>
          <w:lang w:val="ru-RU"/>
        </w:rPr>
        <w:instrText>" \</w:instrText>
      </w:r>
      <w:r>
        <w:instrText>o</w:instrText>
      </w:r>
      <w:r w:rsidRPr="002B22E3">
        <w:rPr>
          <w:lang w:val="ru-RU"/>
        </w:rPr>
        <w:instrText xml:space="preserve"> "Достъп до този документ чрез неговия идентификатор </w:instrText>
      </w:r>
      <w:r>
        <w:instrText>ELI</w:instrText>
      </w:r>
      <w:r w:rsidRPr="002B22E3">
        <w:rPr>
          <w:lang w:val="ru-RU"/>
        </w:rPr>
        <w:instrText xml:space="preserve"> </w:instrText>
      </w:r>
      <w:r>
        <w:instrText>URI</w:instrText>
      </w:r>
      <w:r w:rsidRPr="002B22E3">
        <w:rPr>
          <w:lang w:val="ru-RU"/>
        </w:rPr>
        <w:instrText>."</w:instrText>
      </w:r>
      <w:r>
        <w:fldChar w:fldCharType="separate"/>
      </w:r>
      <w:r w:rsidRPr="00AB5D57">
        <w:rPr>
          <w:rStyle w:val="Hyperlink"/>
          <w:sz w:val="24"/>
          <w:lang w:val="bg-BG"/>
        </w:rPr>
        <w:t>http://data.europa.eu/eli/C/2024/4360/oj</w:t>
      </w:r>
      <w:r>
        <w:fldChar w:fldCharType="end"/>
      </w:r>
      <w:r w:rsidRPr="00AB5D57">
        <w:rPr>
          <w:sz w:val="24"/>
          <w:lang w:val="bg-BG"/>
        </w:rPr>
        <w:t>.</w:t>
      </w:r>
    </w:p>
  </w:footnote>
  <w:footnote w:id="10">
    <w:p w14:paraId="0703BCB1" w14:textId="74ADCC33" w:rsidR="00623325" w:rsidRPr="00AB5D57" w:rsidRDefault="00623325" w:rsidP="00AB5D57">
      <w:pPr>
        <w:pStyle w:val="FootnoteText"/>
        <w:ind w:left="567" w:hanging="567"/>
        <w:rPr>
          <w:sz w:val="24"/>
          <w:lang w:val="bg-BG"/>
        </w:rPr>
      </w:pPr>
      <w:r w:rsidRPr="00AB5D57">
        <w:rPr>
          <w:rStyle w:val="FootnoteReference"/>
          <w:sz w:val="24"/>
          <w:lang w:val="bg-BG"/>
        </w:rPr>
        <w:footnoteRef/>
      </w:r>
      <w:r w:rsidR="00AB5D57" w:rsidRPr="00AB5D57">
        <w:rPr>
          <w:sz w:val="24"/>
          <w:lang w:val="bg-BG"/>
        </w:rPr>
        <w:t xml:space="preserve"> </w:t>
      </w:r>
      <w:r w:rsidR="00AB5D57" w:rsidRPr="00AB5D57">
        <w:rPr>
          <w:sz w:val="24"/>
          <w:lang w:val="bg-BG"/>
        </w:rPr>
        <w:tab/>
      </w:r>
      <w:r w:rsidRPr="00AB5D57">
        <w:rPr>
          <w:sz w:val="24"/>
          <w:lang w:val="bg-BG"/>
        </w:rPr>
        <w:t>ОВ C, C/2025/3466, 27.6.2025 г., ELI: </w:t>
      </w:r>
      <w:r>
        <w:fldChar w:fldCharType="begin"/>
      </w:r>
      <w:r>
        <w:instrText>HYPERLINK</w:instrText>
      </w:r>
      <w:r w:rsidRPr="002B22E3">
        <w:rPr>
          <w:lang w:val="ru-RU"/>
        </w:rPr>
        <w:instrText xml:space="preserve"> "</w:instrText>
      </w:r>
      <w:r>
        <w:instrText>http</w:instrText>
      </w:r>
      <w:r w:rsidRPr="002B22E3">
        <w:rPr>
          <w:lang w:val="ru-RU"/>
        </w:rPr>
        <w:instrText>://</w:instrText>
      </w:r>
      <w:r>
        <w:instrText>data</w:instrText>
      </w:r>
      <w:r w:rsidRPr="002B22E3">
        <w:rPr>
          <w:lang w:val="ru-RU"/>
        </w:rPr>
        <w:instrText>.</w:instrText>
      </w:r>
      <w:r>
        <w:instrText>europa</w:instrText>
      </w:r>
      <w:r w:rsidRPr="002B22E3">
        <w:rPr>
          <w:lang w:val="ru-RU"/>
        </w:rPr>
        <w:instrText>.</w:instrText>
      </w:r>
      <w:r>
        <w:instrText>eu</w:instrText>
      </w:r>
      <w:r w:rsidRPr="002B22E3">
        <w:rPr>
          <w:lang w:val="ru-RU"/>
        </w:rPr>
        <w:instrText>/</w:instrText>
      </w:r>
      <w:r>
        <w:instrText>eli</w:instrText>
      </w:r>
      <w:r w:rsidRPr="002B22E3">
        <w:rPr>
          <w:lang w:val="ru-RU"/>
        </w:rPr>
        <w:instrText>/</w:instrText>
      </w:r>
      <w:r>
        <w:instrText>C</w:instrText>
      </w:r>
      <w:r w:rsidRPr="002B22E3">
        <w:rPr>
          <w:lang w:val="ru-RU"/>
        </w:rPr>
        <w:instrText>/2025/3466/</w:instrText>
      </w:r>
      <w:r>
        <w:instrText>oj</w:instrText>
      </w:r>
      <w:r w:rsidRPr="002B22E3">
        <w:rPr>
          <w:lang w:val="ru-RU"/>
        </w:rPr>
        <w:instrText>" \</w:instrText>
      </w:r>
      <w:r>
        <w:instrText>t</w:instrText>
      </w:r>
      <w:r w:rsidRPr="002B22E3">
        <w:rPr>
          <w:lang w:val="ru-RU"/>
        </w:rPr>
        <w:instrText xml:space="preserve"> "_</w:instrText>
      </w:r>
      <w:r>
        <w:instrText>blank</w:instrText>
      </w:r>
      <w:r w:rsidRPr="002B22E3">
        <w:rPr>
          <w:lang w:val="ru-RU"/>
        </w:rPr>
        <w:instrText>" \</w:instrText>
      </w:r>
      <w:r>
        <w:instrText>o</w:instrText>
      </w:r>
      <w:r w:rsidRPr="002B22E3">
        <w:rPr>
          <w:lang w:val="ru-RU"/>
        </w:rPr>
        <w:instrText xml:space="preserve"> "Достъп до този документ чрез неговия идентификатор </w:instrText>
      </w:r>
      <w:r>
        <w:instrText>ELI</w:instrText>
      </w:r>
      <w:r w:rsidRPr="002B22E3">
        <w:rPr>
          <w:lang w:val="ru-RU"/>
        </w:rPr>
        <w:instrText xml:space="preserve"> </w:instrText>
      </w:r>
      <w:r>
        <w:instrText>URI</w:instrText>
      </w:r>
      <w:r w:rsidRPr="002B22E3">
        <w:rPr>
          <w:lang w:val="ru-RU"/>
        </w:rPr>
        <w:instrText>."</w:instrText>
      </w:r>
      <w:r>
        <w:fldChar w:fldCharType="separate"/>
      </w:r>
      <w:r w:rsidRPr="00AB5D57">
        <w:rPr>
          <w:rStyle w:val="Hyperlink"/>
          <w:sz w:val="24"/>
          <w:lang w:val="bg-BG"/>
        </w:rPr>
        <w:t>http://data.europa.eu/eli/C/2025/3466/oj</w:t>
      </w:r>
      <w:r>
        <w:fldChar w:fldCharType="end"/>
      </w:r>
      <w:r w:rsidRPr="00AB5D57">
        <w:rPr>
          <w:sz w:val="24"/>
          <w:lang w:val="bg-BG"/>
        </w:rPr>
        <w:t xml:space="preserve">. </w:t>
      </w:r>
    </w:p>
  </w:footnote>
  <w:footnote w:id="11">
    <w:p w14:paraId="356A7B4A" w14:textId="233F6A07" w:rsidR="00623325" w:rsidRPr="00AB5D57" w:rsidRDefault="00623325" w:rsidP="00AB5D57">
      <w:pPr>
        <w:pStyle w:val="FootnoteText"/>
        <w:ind w:left="567" w:hanging="567"/>
        <w:rPr>
          <w:sz w:val="24"/>
          <w:lang w:val="bg-BG"/>
        </w:rPr>
      </w:pPr>
      <w:r w:rsidRPr="00AB5D57">
        <w:rPr>
          <w:rStyle w:val="FootnoteReference"/>
          <w:sz w:val="24"/>
          <w:lang w:val="bg-BG"/>
        </w:rPr>
        <w:footnoteRef/>
      </w:r>
      <w:r w:rsidR="00AB5D57" w:rsidRPr="00AB5D57">
        <w:rPr>
          <w:sz w:val="24"/>
          <w:lang w:val="bg-BG"/>
        </w:rPr>
        <w:t xml:space="preserve"> </w:t>
      </w:r>
      <w:r w:rsidR="00AB5D57" w:rsidRPr="00AB5D57">
        <w:rPr>
          <w:sz w:val="24"/>
          <w:lang w:val="bg-BG"/>
        </w:rPr>
        <w:tab/>
      </w:r>
      <w:r w:rsidRPr="00AB5D57">
        <w:rPr>
          <w:sz w:val="24"/>
          <w:lang w:val="bg-BG"/>
        </w:rPr>
        <w:t>ОВ L 102, 17.4.2023 г., стр. 6, ELI: </w:t>
      </w:r>
      <w:r>
        <w:fldChar w:fldCharType="begin"/>
      </w:r>
      <w:r>
        <w:instrText>HYPERLINK</w:instrText>
      </w:r>
      <w:r w:rsidRPr="002B22E3">
        <w:rPr>
          <w:lang w:val="ru-RU"/>
        </w:rPr>
        <w:instrText xml:space="preserve"> "</w:instrText>
      </w:r>
      <w:r>
        <w:instrText>http</w:instrText>
      </w:r>
      <w:r w:rsidRPr="002B22E3">
        <w:rPr>
          <w:lang w:val="ru-RU"/>
        </w:rPr>
        <w:instrText>://</w:instrText>
      </w:r>
      <w:r>
        <w:instrText>data</w:instrText>
      </w:r>
      <w:r w:rsidRPr="002B22E3">
        <w:rPr>
          <w:lang w:val="ru-RU"/>
        </w:rPr>
        <w:instrText>.</w:instrText>
      </w:r>
      <w:r>
        <w:instrText>europa</w:instrText>
      </w:r>
      <w:r w:rsidRPr="002B22E3">
        <w:rPr>
          <w:lang w:val="ru-RU"/>
        </w:rPr>
        <w:instrText>.</w:instrText>
      </w:r>
      <w:r>
        <w:instrText>eu</w:instrText>
      </w:r>
      <w:r w:rsidRPr="002B22E3">
        <w:rPr>
          <w:lang w:val="ru-RU"/>
        </w:rPr>
        <w:instrText>/</w:instrText>
      </w:r>
      <w:r>
        <w:instrText>eli</w:instrText>
      </w:r>
      <w:r w:rsidRPr="002B22E3">
        <w:rPr>
          <w:lang w:val="ru-RU"/>
        </w:rPr>
        <w:instrText>/</w:instrText>
      </w:r>
      <w:r>
        <w:instrText>reg</w:instrText>
      </w:r>
      <w:r w:rsidRPr="002B22E3">
        <w:rPr>
          <w:lang w:val="ru-RU"/>
        </w:rPr>
        <w:instrText>_</w:instrText>
      </w:r>
      <w:r>
        <w:instrText>impl</w:instrText>
      </w:r>
      <w:r w:rsidRPr="002B22E3">
        <w:rPr>
          <w:lang w:val="ru-RU"/>
        </w:rPr>
        <w:instrText>/2023/814/</w:instrText>
      </w:r>
      <w:r>
        <w:instrText>oj</w:instrText>
      </w:r>
      <w:r w:rsidRPr="002B22E3">
        <w:rPr>
          <w:lang w:val="ru-RU"/>
        </w:rPr>
        <w:instrText>" \</w:instrText>
      </w:r>
      <w:r>
        <w:instrText>o</w:instrText>
      </w:r>
      <w:r w:rsidRPr="002B22E3">
        <w:rPr>
          <w:lang w:val="ru-RU"/>
        </w:rPr>
        <w:instrText xml:space="preserve"> "Достъп до този документ чрез неговия идентификатор </w:instrText>
      </w:r>
      <w:r>
        <w:instrText>ELI</w:instrText>
      </w:r>
      <w:r w:rsidRPr="002B22E3">
        <w:rPr>
          <w:lang w:val="ru-RU"/>
        </w:rPr>
        <w:instrText xml:space="preserve"> </w:instrText>
      </w:r>
      <w:r>
        <w:instrText>URI</w:instrText>
      </w:r>
      <w:r w:rsidRPr="002B22E3">
        <w:rPr>
          <w:lang w:val="ru-RU"/>
        </w:rPr>
        <w:instrText>."</w:instrText>
      </w:r>
      <w:r>
        <w:fldChar w:fldCharType="separate"/>
      </w:r>
      <w:r w:rsidRPr="00AB5D57">
        <w:rPr>
          <w:rStyle w:val="Hyperlink"/>
          <w:sz w:val="24"/>
          <w:lang w:val="bg-BG"/>
        </w:rPr>
        <w:t>http://data.europa.eu/eli/reg_impl/2023/814/oj</w:t>
      </w:r>
      <w:r>
        <w:fldChar w:fldCharType="end"/>
      </w:r>
      <w:r w:rsidRPr="00AB5D57">
        <w:rPr>
          <w:sz w:val="24"/>
          <w:lang w:val="bg-BG"/>
        </w:rPr>
        <w:t xml:space="preserve">. </w:t>
      </w:r>
    </w:p>
  </w:footnote>
  <w:footnote w:id="12">
    <w:p w14:paraId="51088712" w14:textId="7CB07C90" w:rsidR="00623325" w:rsidRPr="00AB5D57" w:rsidRDefault="00623325" w:rsidP="00AB5D57">
      <w:pPr>
        <w:pStyle w:val="FootnoteText"/>
        <w:ind w:left="567" w:hanging="567"/>
        <w:rPr>
          <w:sz w:val="24"/>
          <w:lang w:val="bg-BG"/>
        </w:rPr>
      </w:pPr>
      <w:r w:rsidRPr="00AB5D57">
        <w:rPr>
          <w:rStyle w:val="FootnoteReference"/>
          <w:sz w:val="24"/>
          <w:lang w:val="bg-BG"/>
        </w:rPr>
        <w:footnoteRef/>
      </w:r>
      <w:r w:rsidR="00AB5D57" w:rsidRPr="00AB5D57">
        <w:rPr>
          <w:sz w:val="24"/>
          <w:lang w:val="bg-BG"/>
        </w:rPr>
        <w:t xml:space="preserve"> </w:t>
      </w:r>
      <w:r w:rsidR="00AB5D57" w:rsidRPr="00AB5D57">
        <w:rPr>
          <w:sz w:val="24"/>
          <w:lang w:val="bg-BG"/>
        </w:rPr>
        <w:tab/>
      </w:r>
      <w:r w:rsidRPr="00AB5D57">
        <w:rPr>
          <w:sz w:val="24"/>
          <w:lang w:val="bg-BG"/>
        </w:rPr>
        <w:t>Регламент (ЕС) 2023/2854 на Европейския парламент и на Съвета от 13 декември 2023 г. относно хармонизирани правила за справедлив достъп до данни и за тяхното използване и за изменение на Регламент (ЕС) 2017/2394 и Директива (ЕС) 2020/1828 (Акт за данните) (ОВ L, 2023/2854, 22.12.2023</w:t>
      </w:r>
      <w:r w:rsidR="00CE3BEC">
        <w:rPr>
          <w:sz w:val="24"/>
          <w:lang w:val="bg-BG"/>
        </w:rPr>
        <w:t> г.</w:t>
      </w:r>
      <w:r w:rsidRPr="00AB5D57">
        <w:rPr>
          <w:sz w:val="24"/>
          <w:lang w:val="bg-BG"/>
        </w:rPr>
        <w:t xml:space="preserve">, ELI: </w:t>
      </w:r>
      <w:r>
        <w:fldChar w:fldCharType="begin"/>
      </w:r>
      <w:r>
        <w:instrText>HYPERLINK</w:instrText>
      </w:r>
      <w:r w:rsidRPr="002B22E3">
        <w:rPr>
          <w:lang w:val="ru-RU"/>
        </w:rPr>
        <w:instrText xml:space="preserve"> "</w:instrText>
      </w:r>
      <w:r>
        <w:instrText>http</w:instrText>
      </w:r>
      <w:r w:rsidRPr="002B22E3">
        <w:rPr>
          <w:lang w:val="ru-RU"/>
        </w:rPr>
        <w:instrText>://</w:instrText>
      </w:r>
      <w:r>
        <w:instrText>data</w:instrText>
      </w:r>
      <w:r w:rsidRPr="002B22E3">
        <w:rPr>
          <w:lang w:val="ru-RU"/>
        </w:rPr>
        <w:instrText>.</w:instrText>
      </w:r>
      <w:r>
        <w:instrText>europa</w:instrText>
      </w:r>
      <w:r w:rsidRPr="002B22E3">
        <w:rPr>
          <w:lang w:val="ru-RU"/>
        </w:rPr>
        <w:instrText>.</w:instrText>
      </w:r>
      <w:r>
        <w:instrText>eu</w:instrText>
      </w:r>
      <w:r w:rsidRPr="002B22E3">
        <w:rPr>
          <w:lang w:val="ru-RU"/>
        </w:rPr>
        <w:instrText>/</w:instrText>
      </w:r>
      <w:r>
        <w:instrText>eli</w:instrText>
      </w:r>
      <w:r w:rsidRPr="002B22E3">
        <w:rPr>
          <w:lang w:val="ru-RU"/>
        </w:rPr>
        <w:instrText>/</w:instrText>
      </w:r>
      <w:r>
        <w:instrText>reg</w:instrText>
      </w:r>
      <w:r w:rsidRPr="002B22E3">
        <w:rPr>
          <w:lang w:val="ru-RU"/>
        </w:rPr>
        <w:instrText>/2023/2854/</w:instrText>
      </w:r>
      <w:r>
        <w:instrText>oj</w:instrText>
      </w:r>
      <w:r w:rsidRPr="002B22E3">
        <w:rPr>
          <w:lang w:val="ru-RU"/>
        </w:rPr>
        <w:instrText>"</w:instrText>
      </w:r>
      <w:r>
        <w:fldChar w:fldCharType="separate"/>
      </w:r>
      <w:r w:rsidRPr="00AB5D57">
        <w:rPr>
          <w:rStyle w:val="Hyperlink"/>
          <w:sz w:val="24"/>
          <w:lang w:val="bg-BG"/>
        </w:rPr>
        <w:t>http://data.europa.eu/eli/reg/2023/2854/oj</w:t>
      </w:r>
      <w:r>
        <w:fldChar w:fldCharType="end"/>
      </w:r>
      <w:r w:rsidRPr="00AB5D57">
        <w:rPr>
          <w:sz w:val="24"/>
          <w:lang w:val="bg-BG"/>
        </w:rPr>
        <w:t>).</w:t>
      </w:r>
    </w:p>
  </w:footnote>
  <w:footnote w:id="13">
    <w:p w14:paraId="4F32986D" w14:textId="13FDEE4F" w:rsidR="00623325" w:rsidRPr="00AB5D57" w:rsidRDefault="00623325" w:rsidP="00AB5D57">
      <w:pPr>
        <w:pStyle w:val="FootnoteText"/>
        <w:ind w:left="567" w:hanging="567"/>
        <w:rPr>
          <w:sz w:val="24"/>
          <w:lang w:val="bg-BG"/>
        </w:rPr>
      </w:pPr>
      <w:r w:rsidRPr="00AB5D57">
        <w:rPr>
          <w:rStyle w:val="FootnoteReference"/>
          <w:sz w:val="24"/>
          <w:lang w:val="bg-BG"/>
        </w:rPr>
        <w:footnoteRef/>
      </w:r>
      <w:r w:rsidR="00AB5D57" w:rsidRPr="00AB5D57">
        <w:rPr>
          <w:sz w:val="24"/>
          <w:lang w:val="bg-BG"/>
        </w:rPr>
        <w:t xml:space="preserve"> </w:t>
      </w:r>
      <w:r w:rsidR="00AB5D57" w:rsidRPr="00AB5D57">
        <w:rPr>
          <w:sz w:val="24"/>
          <w:lang w:val="bg-BG"/>
        </w:rPr>
        <w:tab/>
      </w:r>
      <w:r w:rsidRPr="00AB5D57">
        <w:rPr>
          <w:sz w:val="24"/>
          <w:lang w:val="bg-BG"/>
        </w:rPr>
        <w:t>Регламент (ЕС) 2024/1689 на Европейския парламент и на Съвета от 13 юни 2024 г. 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интелект) (ОВ L, 2024/1689, 12.7.2024</w:t>
      </w:r>
      <w:r w:rsidR="00CE3BEC">
        <w:rPr>
          <w:sz w:val="24"/>
          <w:lang w:val="bg-BG"/>
        </w:rPr>
        <w:t> г.</w:t>
      </w:r>
      <w:r w:rsidRPr="00AB5D57">
        <w:rPr>
          <w:sz w:val="24"/>
          <w:lang w:val="bg-BG"/>
        </w:rPr>
        <w:t xml:space="preserve">, ELI: </w:t>
      </w:r>
      <w:r>
        <w:fldChar w:fldCharType="begin"/>
      </w:r>
      <w:r>
        <w:instrText>HYPERLINK</w:instrText>
      </w:r>
      <w:r w:rsidRPr="002B22E3">
        <w:rPr>
          <w:lang w:val="ru-RU"/>
        </w:rPr>
        <w:instrText xml:space="preserve"> "</w:instrText>
      </w:r>
      <w:r>
        <w:instrText>http</w:instrText>
      </w:r>
      <w:r w:rsidRPr="002B22E3">
        <w:rPr>
          <w:lang w:val="ru-RU"/>
        </w:rPr>
        <w:instrText>://</w:instrText>
      </w:r>
      <w:r>
        <w:instrText>data</w:instrText>
      </w:r>
      <w:r w:rsidRPr="002B22E3">
        <w:rPr>
          <w:lang w:val="ru-RU"/>
        </w:rPr>
        <w:instrText>.</w:instrText>
      </w:r>
      <w:r>
        <w:instrText>europa</w:instrText>
      </w:r>
      <w:r w:rsidRPr="002B22E3">
        <w:rPr>
          <w:lang w:val="ru-RU"/>
        </w:rPr>
        <w:instrText>.</w:instrText>
      </w:r>
      <w:r>
        <w:instrText>eu</w:instrText>
      </w:r>
      <w:r w:rsidRPr="002B22E3">
        <w:rPr>
          <w:lang w:val="ru-RU"/>
        </w:rPr>
        <w:instrText>/</w:instrText>
      </w:r>
      <w:r>
        <w:instrText>eli</w:instrText>
      </w:r>
      <w:r w:rsidRPr="002B22E3">
        <w:rPr>
          <w:lang w:val="ru-RU"/>
        </w:rPr>
        <w:instrText>/</w:instrText>
      </w:r>
      <w:r>
        <w:instrText>reg</w:instrText>
      </w:r>
      <w:r w:rsidRPr="002B22E3">
        <w:rPr>
          <w:lang w:val="ru-RU"/>
        </w:rPr>
        <w:instrText>/2024/1689/</w:instrText>
      </w:r>
      <w:r>
        <w:instrText>oj</w:instrText>
      </w:r>
      <w:r w:rsidRPr="002B22E3">
        <w:rPr>
          <w:lang w:val="ru-RU"/>
        </w:rPr>
        <w:instrText>"</w:instrText>
      </w:r>
      <w:r>
        <w:fldChar w:fldCharType="separate"/>
      </w:r>
      <w:r w:rsidRPr="00AB5D57">
        <w:rPr>
          <w:rStyle w:val="Hyperlink"/>
          <w:sz w:val="24"/>
          <w:lang w:val="bg-BG"/>
        </w:rPr>
        <w:t>http://data.europa.eu/eli/reg/2024/1689/oj</w:t>
      </w:r>
      <w:r>
        <w:fldChar w:fldCharType="end"/>
      </w:r>
      <w:r w:rsidRPr="00AB5D57">
        <w:rPr>
          <w:sz w:val="24"/>
          <w:lang w:val="bg-BG"/>
        </w:rPr>
        <w:t>).</w:t>
      </w:r>
    </w:p>
  </w:footnote>
  <w:footnote w:id="14">
    <w:p w14:paraId="36ADFC63" w14:textId="1ADED35C" w:rsidR="00AD54BD" w:rsidRPr="001B3533" w:rsidRDefault="00AD54BD" w:rsidP="001B3533">
      <w:pPr>
        <w:pStyle w:val="FootnoteText"/>
        <w:ind w:left="567" w:hanging="567"/>
        <w:rPr>
          <w:sz w:val="24"/>
          <w:szCs w:val="24"/>
          <w:lang w:val="bg-BG"/>
        </w:rPr>
      </w:pPr>
      <w:r w:rsidRPr="001B3533">
        <w:rPr>
          <w:rStyle w:val="FootnoteReference"/>
          <w:sz w:val="24"/>
          <w:szCs w:val="24"/>
        </w:rPr>
        <w:footnoteRef/>
      </w:r>
      <w:r w:rsidRPr="002B22E3">
        <w:rPr>
          <w:sz w:val="24"/>
          <w:szCs w:val="24"/>
          <w:lang w:val="ru-RU"/>
        </w:rPr>
        <w:t xml:space="preserve"> </w:t>
      </w:r>
      <w:r w:rsidRPr="001B3533">
        <w:rPr>
          <w:sz w:val="24"/>
          <w:szCs w:val="24"/>
          <w:lang w:val="bg-BG"/>
        </w:rPr>
        <w:tab/>
        <w:t xml:space="preserve">Регламент (ЕС) 2022/2560 на Европейския парламент и на Съвета от 14 декември 2022 г. относно чуждестранните субсидии, които нарушават вътрешния пазар (ОВ L 330, 23.12.2022 г., стр. 1, ELI: </w:t>
      </w:r>
      <w:hyperlink r:id="rId2" w:history="1">
        <w:r w:rsidRPr="001B3533">
          <w:rPr>
            <w:rStyle w:val="Hyperlink"/>
            <w:sz w:val="24"/>
            <w:szCs w:val="24"/>
          </w:rPr>
          <w:t>http</w:t>
        </w:r>
        <w:r w:rsidRPr="002B22E3">
          <w:rPr>
            <w:rStyle w:val="Hyperlink"/>
            <w:sz w:val="24"/>
            <w:szCs w:val="24"/>
            <w:lang w:val="ru-RU"/>
          </w:rPr>
          <w:t>://</w:t>
        </w:r>
        <w:r w:rsidRPr="001B3533">
          <w:rPr>
            <w:rStyle w:val="Hyperlink"/>
            <w:sz w:val="24"/>
            <w:szCs w:val="24"/>
          </w:rPr>
          <w:t>data</w:t>
        </w:r>
        <w:r w:rsidRPr="002B22E3">
          <w:rPr>
            <w:rStyle w:val="Hyperlink"/>
            <w:sz w:val="24"/>
            <w:szCs w:val="24"/>
            <w:lang w:val="ru-RU"/>
          </w:rPr>
          <w:t>.</w:t>
        </w:r>
        <w:r w:rsidRPr="001B3533">
          <w:rPr>
            <w:rStyle w:val="Hyperlink"/>
            <w:sz w:val="24"/>
            <w:szCs w:val="24"/>
          </w:rPr>
          <w:t>europa</w:t>
        </w:r>
        <w:r w:rsidRPr="002B22E3">
          <w:rPr>
            <w:rStyle w:val="Hyperlink"/>
            <w:sz w:val="24"/>
            <w:szCs w:val="24"/>
            <w:lang w:val="ru-RU"/>
          </w:rPr>
          <w:t>.</w:t>
        </w:r>
        <w:r w:rsidRPr="001B3533">
          <w:rPr>
            <w:rStyle w:val="Hyperlink"/>
            <w:sz w:val="24"/>
            <w:szCs w:val="24"/>
          </w:rPr>
          <w:t>eu</w:t>
        </w:r>
        <w:r w:rsidRPr="002B22E3">
          <w:rPr>
            <w:rStyle w:val="Hyperlink"/>
            <w:sz w:val="24"/>
            <w:szCs w:val="24"/>
            <w:lang w:val="ru-RU"/>
          </w:rPr>
          <w:t>/</w:t>
        </w:r>
        <w:r w:rsidRPr="001B3533">
          <w:rPr>
            <w:rStyle w:val="Hyperlink"/>
            <w:sz w:val="24"/>
            <w:szCs w:val="24"/>
          </w:rPr>
          <w:t>eli</w:t>
        </w:r>
        <w:r w:rsidRPr="002B22E3">
          <w:rPr>
            <w:rStyle w:val="Hyperlink"/>
            <w:sz w:val="24"/>
            <w:szCs w:val="24"/>
            <w:lang w:val="ru-RU"/>
          </w:rPr>
          <w:t>/</w:t>
        </w:r>
        <w:r w:rsidRPr="001B3533">
          <w:rPr>
            <w:rStyle w:val="Hyperlink"/>
            <w:sz w:val="24"/>
            <w:szCs w:val="24"/>
          </w:rPr>
          <w:t>reg</w:t>
        </w:r>
        <w:r w:rsidRPr="002B22E3">
          <w:rPr>
            <w:rStyle w:val="Hyperlink"/>
            <w:sz w:val="24"/>
            <w:szCs w:val="24"/>
            <w:lang w:val="ru-RU"/>
          </w:rPr>
          <w:t>/2022/2560/</w:t>
        </w:r>
        <w:r w:rsidRPr="001B3533">
          <w:rPr>
            <w:rStyle w:val="Hyperlink"/>
            <w:sz w:val="24"/>
            <w:szCs w:val="24"/>
          </w:rPr>
          <w:t>oj</w:t>
        </w:r>
      </w:hyperlink>
      <w:r w:rsidRPr="001B3533">
        <w:rPr>
          <w:sz w:val="24"/>
          <w:szCs w:val="24"/>
          <w:lang w:val="bg-BG"/>
        </w:rPr>
        <w:t>).</w:t>
      </w:r>
    </w:p>
  </w:footnote>
  <w:footnote w:id="15">
    <w:p w14:paraId="05823EB6" w14:textId="35E0E00E" w:rsidR="00AD54BD" w:rsidRPr="001B3533" w:rsidRDefault="00AD54BD" w:rsidP="001B3533">
      <w:pPr>
        <w:pStyle w:val="FootnoteText"/>
        <w:ind w:left="567" w:hanging="567"/>
        <w:rPr>
          <w:lang w:val="bg-BG"/>
        </w:rPr>
      </w:pPr>
      <w:r w:rsidRPr="001B3533">
        <w:rPr>
          <w:rStyle w:val="FootnoteReference"/>
          <w:sz w:val="24"/>
          <w:szCs w:val="24"/>
        </w:rPr>
        <w:footnoteRef/>
      </w:r>
      <w:r w:rsidRPr="002B22E3">
        <w:rPr>
          <w:sz w:val="24"/>
          <w:szCs w:val="24"/>
          <w:lang w:val="ru-RU"/>
        </w:rPr>
        <w:t xml:space="preserve"> </w:t>
      </w:r>
      <w:r w:rsidRPr="001B3533">
        <w:rPr>
          <w:sz w:val="24"/>
          <w:szCs w:val="24"/>
          <w:lang w:val="bg-BG"/>
        </w:rPr>
        <w:tab/>
        <w:t>Регламент (ЕС) 2019/452 на Европейския парламент и на Съвета от 19 март 2019</w:t>
      </w:r>
      <w:r w:rsidR="00347072">
        <w:rPr>
          <w:sz w:val="24"/>
          <w:szCs w:val="24"/>
          <w:lang w:val="bg-BG"/>
        </w:rPr>
        <w:t> </w:t>
      </w:r>
      <w:r w:rsidRPr="001B3533">
        <w:rPr>
          <w:sz w:val="24"/>
          <w:szCs w:val="24"/>
          <w:lang w:val="bg-BG"/>
        </w:rPr>
        <w:t xml:space="preserve">г. </w:t>
      </w:r>
      <w:r w:rsidRPr="001B3533">
        <w:rPr>
          <w:sz w:val="24"/>
          <w:szCs w:val="24"/>
          <w:lang w:val="bg-BG"/>
        </w:rPr>
        <w:t>за създаване на рамка за скрининг на преки чуждестранни инвестиции в Съюза (OB L 79</w:t>
      </w:r>
      <w:r w:rsidR="002B22E3">
        <w:rPr>
          <w:sz w:val="24"/>
          <w:szCs w:val="24"/>
          <w:lang w:val="bg-BG"/>
        </w:rPr>
        <w:t xml:space="preserve"> </w:t>
      </w:r>
      <w:r w:rsidRPr="001B3533">
        <w:rPr>
          <w:sz w:val="24"/>
          <w:szCs w:val="24"/>
          <w:lang w:val="bg-BG"/>
        </w:rPr>
        <w:t xml:space="preserve">I, 21.3.2019 г., стр. 1, ELI: </w:t>
      </w:r>
      <w:hyperlink r:id="rId3" w:history="1">
        <w:r w:rsidRPr="001B3533">
          <w:rPr>
            <w:rStyle w:val="Hyperlink"/>
            <w:sz w:val="24"/>
            <w:szCs w:val="24"/>
          </w:rPr>
          <w:t>http</w:t>
        </w:r>
        <w:r w:rsidRPr="002B22E3">
          <w:rPr>
            <w:rStyle w:val="Hyperlink"/>
            <w:sz w:val="24"/>
            <w:szCs w:val="24"/>
            <w:lang w:val="ru-RU"/>
          </w:rPr>
          <w:t>://</w:t>
        </w:r>
        <w:r w:rsidRPr="001B3533">
          <w:rPr>
            <w:rStyle w:val="Hyperlink"/>
            <w:sz w:val="24"/>
            <w:szCs w:val="24"/>
          </w:rPr>
          <w:t>data</w:t>
        </w:r>
        <w:r w:rsidRPr="002B22E3">
          <w:rPr>
            <w:rStyle w:val="Hyperlink"/>
            <w:sz w:val="24"/>
            <w:szCs w:val="24"/>
            <w:lang w:val="ru-RU"/>
          </w:rPr>
          <w:t>.</w:t>
        </w:r>
        <w:r w:rsidRPr="001B3533">
          <w:rPr>
            <w:rStyle w:val="Hyperlink"/>
            <w:sz w:val="24"/>
            <w:szCs w:val="24"/>
          </w:rPr>
          <w:t>europa</w:t>
        </w:r>
        <w:r w:rsidRPr="002B22E3">
          <w:rPr>
            <w:rStyle w:val="Hyperlink"/>
            <w:sz w:val="24"/>
            <w:szCs w:val="24"/>
            <w:lang w:val="ru-RU"/>
          </w:rPr>
          <w:t>.</w:t>
        </w:r>
        <w:r w:rsidRPr="001B3533">
          <w:rPr>
            <w:rStyle w:val="Hyperlink"/>
            <w:sz w:val="24"/>
            <w:szCs w:val="24"/>
          </w:rPr>
          <w:t>eu</w:t>
        </w:r>
        <w:r w:rsidRPr="002B22E3">
          <w:rPr>
            <w:rStyle w:val="Hyperlink"/>
            <w:sz w:val="24"/>
            <w:szCs w:val="24"/>
            <w:lang w:val="ru-RU"/>
          </w:rPr>
          <w:t>/</w:t>
        </w:r>
        <w:r w:rsidRPr="001B3533">
          <w:rPr>
            <w:rStyle w:val="Hyperlink"/>
            <w:sz w:val="24"/>
            <w:szCs w:val="24"/>
          </w:rPr>
          <w:t>eli</w:t>
        </w:r>
        <w:r w:rsidRPr="002B22E3">
          <w:rPr>
            <w:rStyle w:val="Hyperlink"/>
            <w:sz w:val="24"/>
            <w:szCs w:val="24"/>
            <w:lang w:val="ru-RU"/>
          </w:rPr>
          <w:t>/</w:t>
        </w:r>
        <w:r w:rsidRPr="001B3533">
          <w:rPr>
            <w:rStyle w:val="Hyperlink"/>
            <w:sz w:val="24"/>
            <w:szCs w:val="24"/>
          </w:rPr>
          <w:t>reg</w:t>
        </w:r>
        <w:r w:rsidRPr="002B22E3">
          <w:rPr>
            <w:rStyle w:val="Hyperlink"/>
            <w:sz w:val="24"/>
            <w:szCs w:val="24"/>
            <w:lang w:val="ru-RU"/>
          </w:rPr>
          <w:t>/2019/452/</w:t>
        </w:r>
        <w:r w:rsidRPr="001B3533">
          <w:rPr>
            <w:rStyle w:val="Hyperlink"/>
            <w:sz w:val="24"/>
            <w:szCs w:val="24"/>
          </w:rPr>
          <w:t>oj</w:t>
        </w:r>
      </w:hyperlink>
      <w:r w:rsidRPr="001B3533">
        <w:rPr>
          <w:sz w:val="24"/>
          <w:szCs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09323128">
    <w:abstractNumId w:val="9"/>
  </w:num>
  <w:num w:numId="2" w16cid:durableId="877428320">
    <w:abstractNumId w:val="9"/>
  </w:num>
  <w:num w:numId="3" w16cid:durableId="177502080">
    <w:abstractNumId w:val="7"/>
  </w:num>
  <w:num w:numId="4" w16cid:durableId="687564639">
    <w:abstractNumId w:val="7"/>
  </w:num>
  <w:num w:numId="5" w16cid:durableId="1547644561">
    <w:abstractNumId w:val="6"/>
  </w:num>
  <w:num w:numId="6" w16cid:durableId="794065124">
    <w:abstractNumId w:val="6"/>
  </w:num>
  <w:num w:numId="7" w16cid:durableId="1839150941">
    <w:abstractNumId w:val="5"/>
  </w:num>
  <w:num w:numId="8" w16cid:durableId="987709372">
    <w:abstractNumId w:val="5"/>
  </w:num>
  <w:num w:numId="9" w16cid:durableId="244345449">
    <w:abstractNumId w:val="4"/>
  </w:num>
  <w:num w:numId="10" w16cid:durableId="151140724">
    <w:abstractNumId w:val="4"/>
  </w:num>
  <w:num w:numId="11" w16cid:durableId="57439989">
    <w:abstractNumId w:val="8"/>
  </w:num>
  <w:num w:numId="12" w16cid:durableId="488988052">
    <w:abstractNumId w:val="8"/>
  </w:num>
  <w:num w:numId="13" w16cid:durableId="1875070540">
    <w:abstractNumId w:val="3"/>
  </w:num>
  <w:num w:numId="14" w16cid:durableId="1578594589">
    <w:abstractNumId w:val="3"/>
  </w:num>
  <w:num w:numId="15" w16cid:durableId="1505977496">
    <w:abstractNumId w:val="2"/>
  </w:num>
  <w:num w:numId="16" w16cid:durableId="1373649481">
    <w:abstractNumId w:val="2"/>
  </w:num>
  <w:num w:numId="17" w16cid:durableId="817308653">
    <w:abstractNumId w:val="1"/>
  </w:num>
  <w:num w:numId="18" w16cid:durableId="1175075301">
    <w:abstractNumId w:val="1"/>
  </w:num>
  <w:num w:numId="19" w16cid:durableId="1584559348">
    <w:abstractNumId w:val="0"/>
  </w:num>
  <w:num w:numId="20" w16cid:durableId="1670447464">
    <w:abstractNumId w:val="0"/>
  </w:num>
  <w:num w:numId="21" w16cid:durableId="1423448529">
    <w:abstractNumId w:val="9"/>
  </w:num>
  <w:num w:numId="22" w16cid:durableId="73089428">
    <w:abstractNumId w:val="7"/>
  </w:num>
  <w:num w:numId="23" w16cid:durableId="1807699239">
    <w:abstractNumId w:val="6"/>
  </w:num>
  <w:num w:numId="24" w16cid:durableId="135614714">
    <w:abstractNumId w:val="5"/>
  </w:num>
  <w:num w:numId="25" w16cid:durableId="1064833857">
    <w:abstractNumId w:val="4"/>
  </w:num>
  <w:num w:numId="26" w16cid:durableId="1109088162">
    <w:abstractNumId w:val="8"/>
  </w:num>
  <w:num w:numId="27" w16cid:durableId="1229152095">
    <w:abstractNumId w:val="3"/>
  </w:num>
  <w:num w:numId="28" w16cid:durableId="1930120015">
    <w:abstractNumId w:val="2"/>
  </w:num>
  <w:num w:numId="29" w16cid:durableId="1208377915">
    <w:abstractNumId w:val="1"/>
  </w:num>
  <w:num w:numId="30" w16cid:durableId="249236164">
    <w:abstractNumId w:val="0"/>
  </w:num>
  <w:num w:numId="31" w16cid:durableId="481779704">
    <w:abstractNumId w:val="9"/>
  </w:num>
  <w:num w:numId="32" w16cid:durableId="961426732">
    <w:abstractNumId w:val="7"/>
  </w:num>
  <w:num w:numId="33" w16cid:durableId="1349790930">
    <w:abstractNumId w:val="6"/>
  </w:num>
  <w:num w:numId="34" w16cid:durableId="1315838317">
    <w:abstractNumId w:val="5"/>
  </w:num>
  <w:num w:numId="35" w16cid:durableId="794561840">
    <w:abstractNumId w:val="4"/>
  </w:num>
  <w:num w:numId="36" w16cid:durableId="213542604">
    <w:abstractNumId w:val="8"/>
  </w:num>
  <w:num w:numId="37" w16cid:durableId="1786539282">
    <w:abstractNumId w:val="3"/>
  </w:num>
  <w:num w:numId="38" w16cid:durableId="878324183">
    <w:abstractNumId w:val="2"/>
  </w:num>
  <w:num w:numId="39" w16cid:durableId="1545407088">
    <w:abstractNumId w:val="1"/>
  </w:num>
  <w:num w:numId="40" w16cid:durableId="1666543425">
    <w:abstractNumId w:val="0"/>
  </w:num>
  <w:num w:numId="41" w16cid:durableId="1407797819">
    <w:abstractNumId w:val="10"/>
  </w:num>
  <w:num w:numId="42" w16cid:durableId="271977992">
    <w:abstractNumId w:val="10"/>
  </w:num>
  <w:num w:numId="43" w16cid:durableId="1200167373">
    <w:abstractNumId w:val="10"/>
  </w:num>
  <w:num w:numId="44" w16cid:durableId="5469200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0/2026"/>
    <w:docVar w:name="dvlangue" w:val="BG"/>
    <w:docVar w:name="dvnumam" w:val="0"/>
    <w:docVar w:name="dvpe" w:val="785.295"/>
    <w:docVar w:name="dvtitre" w:val="Резолюция на Европейския парламент от ... 2026 г. относно прилагането на Акта за цифровите пазари(2026/2596(RSP))"/>
  </w:docVars>
  <w:rsids>
    <w:rsidRoot w:val="005F3092"/>
    <w:rsid w:val="00002272"/>
    <w:rsid w:val="00064002"/>
    <w:rsid w:val="000677B9"/>
    <w:rsid w:val="000831BA"/>
    <w:rsid w:val="000A42CC"/>
    <w:rsid w:val="000E7DD9"/>
    <w:rsid w:val="0010095E"/>
    <w:rsid w:val="00125B37"/>
    <w:rsid w:val="00153A04"/>
    <w:rsid w:val="00187494"/>
    <w:rsid w:val="001B3533"/>
    <w:rsid w:val="001F32AE"/>
    <w:rsid w:val="002767FF"/>
    <w:rsid w:val="002B18FE"/>
    <w:rsid w:val="002B22E3"/>
    <w:rsid w:val="002B5493"/>
    <w:rsid w:val="00343214"/>
    <w:rsid w:val="00347072"/>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83B"/>
    <w:rsid w:val="005C2568"/>
    <w:rsid w:val="005F1B17"/>
    <w:rsid w:val="005F3092"/>
    <w:rsid w:val="006037C0"/>
    <w:rsid w:val="0062332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7819"/>
    <w:rsid w:val="00A1687D"/>
    <w:rsid w:val="00A43E52"/>
    <w:rsid w:val="00A4678D"/>
    <w:rsid w:val="00A778C7"/>
    <w:rsid w:val="00AB441E"/>
    <w:rsid w:val="00AB5D57"/>
    <w:rsid w:val="00AB6293"/>
    <w:rsid w:val="00AD54BD"/>
    <w:rsid w:val="00AE0928"/>
    <w:rsid w:val="00AF3B82"/>
    <w:rsid w:val="00B12E95"/>
    <w:rsid w:val="00B22876"/>
    <w:rsid w:val="00B558F0"/>
    <w:rsid w:val="00BD48FE"/>
    <w:rsid w:val="00BD7BD8"/>
    <w:rsid w:val="00BE6ADC"/>
    <w:rsid w:val="00C05BFE"/>
    <w:rsid w:val="00C23CD4"/>
    <w:rsid w:val="00C61C0C"/>
    <w:rsid w:val="00C941CB"/>
    <w:rsid w:val="00CC2357"/>
    <w:rsid w:val="00CD5FBB"/>
    <w:rsid w:val="00CE3BEC"/>
    <w:rsid w:val="00CF071A"/>
    <w:rsid w:val="00D058B8"/>
    <w:rsid w:val="00D56C11"/>
    <w:rsid w:val="00D834A0"/>
    <w:rsid w:val="00D872DF"/>
    <w:rsid w:val="00D91E21"/>
    <w:rsid w:val="00DA7FCD"/>
    <w:rsid w:val="00DC3604"/>
    <w:rsid w:val="00E365E1"/>
    <w:rsid w:val="00E820A4"/>
    <w:rsid w:val="00EB006A"/>
    <w:rsid w:val="00EB4772"/>
    <w:rsid w:val="00ED169E"/>
    <w:rsid w:val="00ED4235"/>
    <w:rsid w:val="00EE0E8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A34B1F"/>
  <w15:chartTrackingRefBased/>
  <w15:docId w15:val="{4519F6F5-B766-42FA-A7C0-2449D3647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23325"/>
    <w:pPr>
      <w:spacing w:before="480" w:after="240"/>
    </w:pPr>
  </w:style>
  <w:style w:type="paragraph" w:customStyle="1" w:styleId="NormalHanging12a">
    <w:name w:val="NormalHanging12a"/>
    <w:basedOn w:val="Normal"/>
    <w:rsid w:val="00623325"/>
    <w:pPr>
      <w:spacing w:after="240"/>
      <w:ind w:left="567" w:hanging="567"/>
    </w:pPr>
  </w:style>
  <w:style w:type="character" w:styleId="Hyperlink">
    <w:name w:val="Hyperlink"/>
    <w:basedOn w:val="DefaultParagraphFont"/>
    <w:uiPriority w:val="99"/>
    <w:unhideWhenUsed/>
    <w:rsid w:val="00623325"/>
    <w:rPr>
      <w:color w:val="0563C1" w:themeColor="hyperlink"/>
      <w:u w:val="single"/>
    </w:rPr>
  </w:style>
  <w:style w:type="paragraph" w:styleId="Revision">
    <w:name w:val="Revision"/>
    <w:hidden/>
    <w:uiPriority w:val="99"/>
    <w:semiHidden/>
    <w:rsid w:val="00CE3BEC"/>
    <w:rPr>
      <w:sz w:val="24"/>
      <w:lang w:val="bg-BG"/>
    </w:rPr>
  </w:style>
  <w:style w:type="character" w:styleId="UnresolvedMention">
    <w:name w:val="Unresolved Mention"/>
    <w:basedOn w:val="DefaultParagraphFont"/>
    <w:uiPriority w:val="99"/>
    <w:semiHidden/>
    <w:unhideWhenUsed/>
    <w:rsid w:val="00AD54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9/452/oj" TargetMode="External"/><Relationship Id="rId2" Type="http://schemas.openxmlformats.org/officeDocument/2006/relationships/hyperlink" Target="http://data.europa.eu/eli/reg/2022/2560/oj" TargetMode="External"/><Relationship Id="rId1"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4958</Words>
  <Characters>30128</Characters>
  <Application>Microsoft Office Word</Application>
  <DocSecurity>0</DocSecurity>
  <Lines>814</Lines>
  <Paragraphs>444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2026-05-29T10:19:00Z</dcterms:created>
  <dcterms:modified xsi:type="dcterms:W3CDTF">2026-05-29T10:19:00Z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B10-0190/2026</vt:lpwstr>
  </property>
  <property fmtid="{D5CDD505-2E9C-101B-9397-08002B2CF9AE}" pid="4" name="&lt;Type&gt;">
    <vt:lpwstr>RR</vt:lpwstr>
  </property>
</Properties>
</file>