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7E34" w14:paraId="553FFE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A710F6" w14:textId="77777777" w:rsidR="00751A4A" w:rsidRPr="00417E34" w:rsidRDefault="0047198C" w:rsidP="0010095E">
            <w:pPr>
              <w:pStyle w:val="EPName"/>
            </w:pPr>
            <w:r w:rsidRPr="00417E34">
              <w:t>Evropský parlament</w:t>
            </w:r>
          </w:p>
          <w:p w14:paraId="46425E4C" w14:textId="77777777" w:rsidR="00751A4A" w:rsidRPr="00417E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7E34">
              <w:t>2024</w:t>
            </w:r>
            <w:r w:rsidR="00817416" w:rsidRPr="00417E34">
              <w:t>-202</w:t>
            </w:r>
            <w:r w:rsidRPr="00417E34">
              <w:t>9</w:t>
            </w:r>
          </w:p>
        </w:tc>
        <w:tc>
          <w:tcPr>
            <w:tcW w:w="2268" w:type="dxa"/>
            <w:shd w:val="clear" w:color="auto" w:fill="auto"/>
          </w:tcPr>
          <w:p w14:paraId="7B285489" w14:textId="77777777" w:rsidR="00751A4A" w:rsidRPr="00417E34" w:rsidRDefault="00187494" w:rsidP="0010095E">
            <w:pPr>
              <w:pStyle w:val="EPLogo"/>
            </w:pPr>
            <w:r w:rsidRPr="00417E34">
              <w:rPr>
                <w:noProof/>
                <w:lang w:eastAsia="ja-JP"/>
              </w:rPr>
              <w:drawing>
                <wp:inline distT="0" distB="0" distL="0" distR="0" wp14:anchorId="69522A4C" wp14:editId="102D91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073901" w14:textId="77777777" w:rsidR="00D058B8" w:rsidRPr="00417E34" w:rsidRDefault="00D058B8" w:rsidP="004C5D52">
      <w:pPr>
        <w:pStyle w:val="LineTop"/>
      </w:pPr>
    </w:p>
    <w:p w14:paraId="17228C5F" w14:textId="77777777" w:rsidR="00680577" w:rsidRPr="00417E34" w:rsidRDefault="0047198C" w:rsidP="00680577">
      <w:pPr>
        <w:pStyle w:val="EPBodyTA1"/>
      </w:pPr>
      <w:r w:rsidRPr="00417E34">
        <w:t>PŘIJATÉ TEXTY</w:t>
      </w:r>
    </w:p>
    <w:p w14:paraId="236FC40C" w14:textId="77777777" w:rsidR="00D058B8" w:rsidRPr="00417E34" w:rsidRDefault="00D058B8" w:rsidP="00D058B8">
      <w:pPr>
        <w:pStyle w:val="LineBottom"/>
      </w:pPr>
    </w:p>
    <w:p w14:paraId="11C0C84B" w14:textId="7D570D4B" w:rsidR="0047198C" w:rsidRPr="007272B9" w:rsidRDefault="0047198C" w:rsidP="0047198C">
      <w:pPr>
        <w:pStyle w:val="ATHeading1"/>
      </w:pPr>
      <w:bookmarkStart w:id="0" w:name="TANumber"/>
      <w:r w:rsidRPr="007272B9">
        <w:t>P10_</w:t>
      </w:r>
      <w:proofErr w:type="gramStart"/>
      <w:r w:rsidRPr="007272B9">
        <w:t>TA(</w:t>
      </w:r>
      <w:proofErr w:type="gramEnd"/>
      <w:r w:rsidRPr="007272B9">
        <w:t>2026)0</w:t>
      </w:r>
      <w:r w:rsidR="00A8351F">
        <w:t>16</w:t>
      </w:r>
      <w:r w:rsidRPr="007272B9">
        <w:t>0</w:t>
      </w:r>
      <w:bookmarkEnd w:id="0"/>
    </w:p>
    <w:p w14:paraId="2BD0A71C" w14:textId="77777777" w:rsidR="0047198C" w:rsidRPr="007272B9" w:rsidRDefault="0047198C" w:rsidP="0047198C">
      <w:pPr>
        <w:pStyle w:val="ATHeading2"/>
      </w:pPr>
      <w:bookmarkStart w:id="1" w:name="title"/>
      <w:r w:rsidRPr="007272B9">
        <w:t>Prosazování nařízení o digitálních trzích</w:t>
      </w:r>
      <w:bookmarkEnd w:id="1"/>
    </w:p>
    <w:p w14:paraId="7EA7AA0B" w14:textId="77777777" w:rsidR="0047198C" w:rsidRPr="00417E34" w:rsidRDefault="0047198C" w:rsidP="0047198C">
      <w:pPr>
        <w:rPr>
          <w:i/>
          <w:vanish/>
        </w:rPr>
      </w:pPr>
      <w:r w:rsidRPr="00417E34">
        <w:rPr>
          <w:i/>
        </w:rPr>
        <w:fldChar w:fldCharType="begin"/>
      </w:r>
      <w:r w:rsidRPr="00417E34">
        <w:rPr>
          <w:i/>
        </w:rPr>
        <w:instrText xml:space="preserve"> TC"(</w:instrText>
      </w:r>
      <w:bookmarkStart w:id="2" w:name="DocNumber"/>
      <w:r w:rsidRPr="00417E34">
        <w:rPr>
          <w:i/>
        </w:rPr>
        <w:instrText>B10-0190/2026</w:instrText>
      </w:r>
      <w:bookmarkEnd w:id="2"/>
      <w:r w:rsidRPr="00417E34">
        <w:rPr>
          <w:i/>
        </w:rPr>
        <w:instrText xml:space="preserve">)"\l3 \n&gt; \* MERGEFORMAT </w:instrText>
      </w:r>
      <w:r w:rsidRPr="00417E34">
        <w:rPr>
          <w:i/>
        </w:rPr>
        <w:fldChar w:fldCharType="end"/>
      </w:r>
    </w:p>
    <w:p w14:paraId="01337624" w14:textId="77777777" w:rsidR="0047198C" w:rsidRPr="00417E34" w:rsidRDefault="0047198C" w:rsidP="0047198C">
      <w:pPr>
        <w:rPr>
          <w:vanish/>
        </w:rPr>
      </w:pPr>
      <w:bookmarkStart w:id="3" w:name="PE"/>
      <w:r w:rsidRPr="00417E34">
        <w:rPr>
          <w:vanish/>
        </w:rPr>
        <w:t>PE785.295</w:t>
      </w:r>
      <w:bookmarkEnd w:id="3"/>
    </w:p>
    <w:p w14:paraId="2E47E639" w14:textId="77777777" w:rsidR="0047198C" w:rsidRPr="007272B9" w:rsidRDefault="0047198C" w:rsidP="0047198C">
      <w:pPr>
        <w:pStyle w:val="ATHeading3"/>
      </w:pPr>
      <w:bookmarkStart w:id="4" w:name="Sujet"/>
      <w:r w:rsidRPr="007272B9">
        <w:t>Usnesení Evropského parlamentu ze dne 30. dubna 2026 o prosazování nařízení o digitálních trzích</w:t>
      </w:r>
      <w:bookmarkEnd w:id="4"/>
      <w:r w:rsidRPr="007272B9">
        <w:t xml:space="preserve"> </w:t>
      </w:r>
      <w:bookmarkStart w:id="5" w:name="References"/>
      <w:r w:rsidRPr="007272B9">
        <w:t>(2026/2596(RSP))</w:t>
      </w:r>
      <w:bookmarkEnd w:id="5"/>
    </w:p>
    <w:p w14:paraId="6B753418" w14:textId="77777777" w:rsidR="008E7049" w:rsidRPr="00417E34" w:rsidRDefault="008E7049" w:rsidP="008E7049">
      <w:pPr>
        <w:pStyle w:val="EPComma"/>
      </w:pPr>
      <w:bookmarkStart w:id="6" w:name="TextBodyBegin"/>
      <w:bookmarkEnd w:id="6"/>
      <w:r w:rsidRPr="00417E34">
        <w:rPr>
          <w:i/>
          <w:iCs/>
        </w:rPr>
        <w:t>Evropský parlament</w:t>
      </w:r>
      <w:r w:rsidRPr="00417E34">
        <w:t>,</w:t>
      </w:r>
    </w:p>
    <w:p w14:paraId="0A5C7189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t>–</w:t>
      </w:r>
      <w:r w:rsidRPr="00417E34">
        <w:tab/>
        <w:t>s ohledem na nařízení Evr</w:t>
      </w:r>
      <w:r w:rsidRPr="00417E34">
        <w:rPr>
          <w:szCs w:val="24"/>
        </w:rPr>
        <w:t>opského parlamentu a Rady (EU) 2022/1925 ze dne 14. září 2022 o spravedlivých trzích otevřených hospodářské soutěži v digitálním odvětví a o změně směrnic (EU) 2019/1937 a (EU) 2020/1828 (nařízení o digitálních trzích)</w:t>
      </w:r>
      <w:r w:rsidRPr="00417E34">
        <w:rPr>
          <w:rStyle w:val="FootnoteReference"/>
          <w:szCs w:val="24"/>
        </w:rPr>
        <w:footnoteReference w:id="1"/>
      </w:r>
      <w:r w:rsidRPr="00417E34">
        <w:rPr>
          <w:szCs w:val="24"/>
        </w:rPr>
        <w:t>, zejména pak na článek 53 tohoto nařízení,</w:t>
      </w:r>
    </w:p>
    <w:p w14:paraId="177C4F24" w14:textId="51596354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–</w:t>
      </w:r>
      <w:r w:rsidRPr="00417E34">
        <w:rPr>
          <w:szCs w:val="24"/>
        </w:rPr>
        <w:tab/>
        <w:t>s ohledem na otázku Komisi o prosazování nařízení o digitálních trzích (O-0000</w:t>
      </w:r>
      <w:r w:rsidR="00417E34">
        <w:rPr>
          <w:szCs w:val="24"/>
        </w:rPr>
        <w:t>16/2026</w:t>
      </w:r>
      <w:r w:rsidRPr="00417E34">
        <w:rPr>
          <w:szCs w:val="24"/>
        </w:rPr>
        <w:t xml:space="preserve"> – B10</w:t>
      </w:r>
      <w:r w:rsidRPr="00417E34">
        <w:rPr>
          <w:szCs w:val="24"/>
        </w:rPr>
        <w:noBreakHyphen/>
        <w:t>00</w:t>
      </w:r>
      <w:r w:rsidR="00417E34">
        <w:rPr>
          <w:szCs w:val="24"/>
        </w:rPr>
        <w:t>1</w:t>
      </w:r>
      <w:r w:rsidRPr="00417E34">
        <w:rPr>
          <w:szCs w:val="24"/>
        </w:rPr>
        <w:t>0/2026),</w:t>
      </w:r>
    </w:p>
    <w:p w14:paraId="16F4DEAA" w14:textId="77777777" w:rsidR="008E7049" w:rsidRPr="00417E34" w:rsidRDefault="008E7049" w:rsidP="00417E34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417E34">
        <w:rPr>
          <w:szCs w:val="24"/>
        </w:rPr>
        <w:t>–</w:t>
      </w:r>
      <w:r w:rsidRPr="00417E34">
        <w:rPr>
          <w:szCs w:val="24"/>
        </w:rPr>
        <w:tab/>
        <w:t xml:space="preserve">s ohledem na rozhodnutí Komise ze dne 6. září 2023 přijatá podle článku 3 nařízení (EU) 2022/1925, kterými byly společnosti </w:t>
      </w:r>
      <w:proofErr w:type="spellStart"/>
      <w:r w:rsidRPr="00417E34">
        <w:rPr>
          <w:szCs w:val="24"/>
        </w:rPr>
        <w:t>Alphabet</w:t>
      </w:r>
      <w:proofErr w:type="spellEnd"/>
      <w:r w:rsidRPr="00417E34">
        <w:rPr>
          <w:rFonts w:eastAsia="MS Mincho"/>
          <w:szCs w:val="24"/>
          <w:vertAlign w:val="superscript"/>
          <w:lang w:eastAsia="en-US"/>
        </w:rPr>
        <w:footnoteReference w:id="2"/>
      </w:r>
      <w:r w:rsidRPr="00417E34">
        <w:rPr>
          <w:szCs w:val="24"/>
        </w:rPr>
        <w:t>, Amazon</w:t>
      </w:r>
      <w:r w:rsidRPr="00417E34">
        <w:rPr>
          <w:rFonts w:eastAsia="MS Mincho"/>
          <w:szCs w:val="24"/>
          <w:vertAlign w:val="superscript"/>
          <w:lang w:eastAsia="en-US"/>
        </w:rPr>
        <w:footnoteReference w:id="3"/>
      </w:r>
      <w:r w:rsidRPr="00417E34">
        <w:rPr>
          <w:szCs w:val="24"/>
        </w:rPr>
        <w:t>, Apple</w:t>
      </w:r>
      <w:r w:rsidRPr="00417E34">
        <w:rPr>
          <w:rFonts w:eastAsia="MS Mincho"/>
          <w:szCs w:val="24"/>
          <w:vertAlign w:val="superscript"/>
          <w:lang w:eastAsia="en-US"/>
        </w:rPr>
        <w:footnoteReference w:id="4"/>
      </w:r>
      <w:r w:rsidRPr="00417E34">
        <w:rPr>
          <w:szCs w:val="24"/>
        </w:rPr>
        <w:t xml:space="preserve">, </w:t>
      </w:r>
      <w:proofErr w:type="spellStart"/>
      <w:r w:rsidRPr="00417E34">
        <w:rPr>
          <w:szCs w:val="24"/>
        </w:rPr>
        <w:t>ByteDance</w:t>
      </w:r>
      <w:proofErr w:type="spellEnd"/>
      <w:r w:rsidRPr="00417E34">
        <w:rPr>
          <w:rFonts w:eastAsia="MS Mincho"/>
          <w:szCs w:val="24"/>
          <w:vertAlign w:val="superscript"/>
          <w:lang w:eastAsia="en-US"/>
        </w:rPr>
        <w:footnoteReference w:id="5"/>
      </w:r>
      <w:r w:rsidRPr="00417E34">
        <w:rPr>
          <w:szCs w:val="24"/>
        </w:rPr>
        <w:t>, Meta</w:t>
      </w:r>
      <w:r w:rsidRPr="00417E34">
        <w:rPr>
          <w:rFonts w:eastAsia="MS Mincho"/>
          <w:szCs w:val="24"/>
          <w:vertAlign w:val="superscript"/>
          <w:lang w:eastAsia="en-US"/>
        </w:rPr>
        <w:footnoteReference w:id="6"/>
      </w:r>
      <w:r w:rsidRPr="00417E34">
        <w:rPr>
          <w:szCs w:val="24"/>
        </w:rPr>
        <w:t xml:space="preserve"> a Microsoft</w:t>
      </w:r>
      <w:r w:rsidRPr="00417E34">
        <w:rPr>
          <w:rFonts w:eastAsia="MS Mincho"/>
          <w:szCs w:val="24"/>
          <w:vertAlign w:val="superscript"/>
          <w:lang w:eastAsia="en-US"/>
        </w:rPr>
        <w:footnoteReference w:id="7"/>
      </w:r>
      <w:r w:rsidRPr="00417E34">
        <w:rPr>
          <w:szCs w:val="24"/>
        </w:rPr>
        <w:t xml:space="preserve"> určeny za strážce přístupu, pokud jde o řadu hlavních služeb platforem,</w:t>
      </w:r>
    </w:p>
    <w:p w14:paraId="4B0ED748" w14:textId="77777777" w:rsidR="008E7049" w:rsidRPr="00417E34" w:rsidRDefault="008E7049" w:rsidP="00417E34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417E34">
        <w:rPr>
          <w:szCs w:val="24"/>
        </w:rPr>
        <w:t>–</w:t>
      </w:r>
      <w:r w:rsidRPr="00417E34">
        <w:rPr>
          <w:szCs w:val="24"/>
        </w:rPr>
        <w:tab/>
        <w:t>s ohledem na rozhodnutí Komise ze dne 29. dubna 2024</w:t>
      </w:r>
      <w:r w:rsidRPr="00417E34">
        <w:rPr>
          <w:rFonts w:eastAsia="MS Mincho"/>
          <w:szCs w:val="24"/>
          <w:vertAlign w:val="superscript"/>
          <w:lang w:eastAsia="en-US"/>
        </w:rPr>
        <w:footnoteReference w:id="8"/>
      </w:r>
      <w:r w:rsidRPr="00417E34">
        <w:rPr>
          <w:szCs w:val="24"/>
        </w:rPr>
        <w:t xml:space="preserve"> přijaté podle článku 3 nařízení (EU) 2022/1925, kterým se operační systém </w:t>
      </w:r>
      <w:proofErr w:type="spellStart"/>
      <w:r w:rsidRPr="00417E34">
        <w:rPr>
          <w:szCs w:val="24"/>
        </w:rPr>
        <w:t>iPadOS</w:t>
      </w:r>
      <w:proofErr w:type="spellEnd"/>
      <w:r w:rsidRPr="00417E34">
        <w:rPr>
          <w:szCs w:val="24"/>
        </w:rPr>
        <w:t xml:space="preserve"> společnosti Apple označuje za hlavní službu platformy,</w:t>
      </w:r>
    </w:p>
    <w:p w14:paraId="1365AF7D" w14:textId="77777777" w:rsidR="008E7049" w:rsidRPr="00417E34" w:rsidRDefault="008E7049" w:rsidP="00417E34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417E34">
        <w:rPr>
          <w:szCs w:val="24"/>
        </w:rPr>
        <w:t>–</w:t>
      </w:r>
      <w:r w:rsidRPr="00417E34">
        <w:rPr>
          <w:szCs w:val="24"/>
        </w:rPr>
        <w:tab/>
        <w:t>s ohledem na rozhodnutí Komise ze dne 13. května 2024</w:t>
      </w:r>
      <w:r w:rsidRPr="00417E34">
        <w:rPr>
          <w:rFonts w:eastAsia="MS Mincho"/>
          <w:szCs w:val="24"/>
          <w:vertAlign w:val="superscript"/>
          <w:lang w:eastAsia="en-US"/>
        </w:rPr>
        <w:footnoteReference w:id="9"/>
      </w:r>
      <w:r w:rsidRPr="00417E34">
        <w:rPr>
          <w:szCs w:val="24"/>
        </w:rPr>
        <w:t>, přijaté podle článku 3 nařízení (EU) 2022/1925, kterým se společnost Booking.com určuje za strážce přístupu, pokud jde o její online zprostředkovatelské služby,</w:t>
      </w:r>
    </w:p>
    <w:p w14:paraId="3F0A0914" w14:textId="77777777" w:rsidR="008E7049" w:rsidRPr="00417E34" w:rsidRDefault="008E7049" w:rsidP="00417E34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417E34">
        <w:rPr>
          <w:szCs w:val="24"/>
        </w:rPr>
        <w:lastRenderedPageBreak/>
        <w:t>–</w:t>
      </w:r>
      <w:r w:rsidRPr="00417E34">
        <w:rPr>
          <w:szCs w:val="24"/>
        </w:rPr>
        <w:tab/>
        <w:t>s ohledem na rozhodnutí Komise ze dne 23. dubna 2025</w:t>
      </w:r>
      <w:r w:rsidRPr="00417E34">
        <w:rPr>
          <w:rFonts w:eastAsia="MS Mincho"/>
          <w:szCs w:val="24"/>
          <w:vertAlign w:val="superscript"/>
          <w:lang w:eastAsia="en-US"/>
        </w:rPr>
        <w:footnoteReference w:id="10"/>
      </w:r>
      <w:r w:rsidRPr="00417E34">
        <w:rPr>
          <w:szCs w:val="24"/>
        </w:rPr>
        <w:t>, přijaté podle čl. 29 odst. 1 písm. a), čl. 30 odst. 1 písm. a) a čl. 31 odst. 1 písm. h) nařízení (EU) 2022/1925, o zrušení označení služby Facebook Marketplace společnosti Meta jako hlavní služby platformy,</w:t>
      </w:r>
    </w:p>
    <w:p w14:paraId="7F0B26B8" w14:textId="77777777" w:rsidR="008E7049" w:rsidRPr="00417E34" w:rsidRDefault="008E7049" w:rsidP="00417E34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417E34">
        <w:rPr>
          <w:szCs w:val="24"/>
        </w:rPr>
        <w:t>–</w:t>
      </w:r>
      <w:r w:rsidRPr="00417E34">
        <w:rPr>
          <w:szCs w:val="24"/>
        </w:rPr>
        <w:tab/>
        <w:t>s ohledem na prováděcí nařízení Komise (EU) 2023/814 ze dne 14. dubna 2023 o podrobných opatřeních pro vedení některých řízení Komisí podle nařízení Evropského parlamentu a Rady (EU) 2022/1925</w:t>
      </w:r>
      <w:r w:rsidRPr="00417E34">
        <w:rPr>
          <w:rFonts w:eastAsia="MS Mincho"/>
          <w:szCs w:val="24"/>
          <w:vertAlign w:val="superscript"/>
          <w:lang w:eastAsia="en-US"/>
        </w:rPr>
        <w:footnoteReference w:id="11"/>
      </w:r>
      <w:r w:rsidRPr="00417E34">
        <w:rPr>
          <w:szCs w:val="24"/>
        </w:rPr>
        <w:t>,</w:t>
      </w:r>
    </w:p>
    <w:p w14:paraId="518FB093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–</w:t>
      </w:r>
      <w:r w:rsidRPr="00417E34">
        <w:rPr>
          <w:szCs w:val="24"/>
        </w:rPr>
        <w:tab/>
        <w:t>s ohledem na čl. 142 odst. 5 a čl. 136 odst. 2 jednacího řádu,</w:t>
      </w:r>
    </w:p>
    <w:p w14:paraId="1075D152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A.</w:t>
      </w:r>
      <w:r w:rsidRPr="00417E34">
        <w:rPr>
          <w:szCs w:val="24"/>
        </w:rPr>
        <w:tab/>
        <w:t>vzhledem k tomu, že nařízení o digitálních trzích (DMA) zavádí harmonizovaný regulační rámec ex ante s cílem zajistit spravedlivé a otevřené digitální trhy v celé EU, které jsou otevřenější hospodářské soutěži, zabránit nekalým praktikám strážců přístupu, zajistit integritu a řádné fungování jednotného trhu, zajistit účinné a nediskriminační uplatňování povinností pro všechny označené strážce přístupu, odstranit překážky vstupu na trh a podpořit přeshraniční digitální služby, inovace, volbu pro spotřebitele a spravedlivou hospodářskou soutěž v celé EU;</w:t>
      </w:r>
    </w:p>
    <w:p w14:paraId="12EBE912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B.</w:t>
      </w:r>
      <w:r w:rsidRPr="00417E34">
        <w:rPr>
          <w:szCs w:val="24"/>
        </w:rPr>
        <w:tab/>
        <w:t>vzhledem k tomu, že cílem nařízení o digitálních trzích je přinést digitálním trhům skutečné výhody a zajistit, aby podnikatelští a koncoví uživatelé mohli účinně uplatňovat svá práva vyplývající z nařízení a aby praktiky „strážců přístupu“ již nevytvářely strukturální překážky vstupu na jednotný trh nebo možnosti růstu či inovací a aby se zabránilo „</w:t>
      </w:r>
      <w:proofErr w:type="spellStart"/>
      <w:r w:rsidRPr="00417E34">
        <w:rPr>
          <w:szCs w:val="24"/>
        </w:rPr>
        <w:t>lock</w:t>
      </w:r>
      <w:proofErr w:type="spellEnd"/>
      <w:r w:rsidRPr="00417E34">
        <w:rPr>
          <w:szCs w:val="24"/>
        </w:rPr>
        <w:t>-in“ efektu u spotřebitelů, který je odrazuje od přechodu k jiné službě;</w:t>
      </w:r>
    </w:p>
    <w:p w14:paraId="7F590671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C.</w:t>
      </w:r>
      <w:r w:rsidRPr="00417E34">
        <w:rPr>
          <w:szCs w:val="24"/>
        </w:rPr>
        <w:tab/>
        <w:t>vzhledem k tomu, že Parlament vykonává demokratickou kontrolu nad prováděním a prosazováním nařízení o digitálních trzích, zejména prostřednictvím svého Výboru pro vnitřní trh a ochranu spotřebitelů (IMCO);</w:t>
      </w:r>
    </w:p>
    <w:p w14:paraId="15591204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D.</w:t>
      </w:r>
      <w:r w:rsidRPr="00417E34">
        <w:rPr>
          <w:szCs w:val="24"/>
        </w:rPr>
        <w:tab/>
        <w:t>vzhledem k tomu, že včasné zavedení nařízení o digitálních trzích potvrzuje jeho význam jako jednoho z klíčových nástrojů pro zlepšení otevřenosti a spravedlnosti trhu, hospodářské soutěže a možnosti volby pro uživatele v EU a zdůrazňuje, že všechny podniky působící v EU bez ohledu na jejich velikost nebo původ musí plně respektovat a dodržovat právo EU;</w:t>
      </w:r>
    </w:p>
    <w:p w14:paraId="1514EBC3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E.</w:t>
      </w:r>
      <w:r w:rsidRPr="00417E34">
        <w:rPr>
          <w:szCs w:val="24"/>
        </w:rPr>
        <w:tab/>
        <w:t>vzhledem k tomu, že provádění nařízení o digitálních trzích je stále v počáteční fázi a že přináší výzvy týkající se včasného a účinného prosazování, schopnosti provádět monitorování a praktické účinnosti některých řešení pro zajištění souladu, zejména s ohledem na složitost základních technologií, návrhu uživatelského rozhraní a architektury výběru;</w:t>
      </w:r>
    </w:p>
    <w:p w14:paraId="5EA5562E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F.</w:t>
      </w:r>
      <w:r w:rsidRPr="00417E34">
        <w:rPr>
          <w:szCs w:val="24"/>
        </w:rPr>
        <w:tab/>
        <w:t xml:space="preserve">vzhledem k tomu, že menší podniky, včetně startupů a inovativních </w:t>
      </w:r>
      <w:proofErr w:type="spellStart"/>
      <w:r w:rsidRPr="00417E34">
        <w:rPr>
          <w:szCs w:val="24"/>
        </w:rPr>
        <w:t>scaleupů</w:t>
      </w:r>
      <w:proofErr w:type="spellEnd"/>
      <w:r w:rsidRPr="00417E34">
        <w:rPr>
          <w:szCs w:val="24"/>
        </w:rPr>
        <w:t>, se na digitálních trzích i nadále potýkají s bariérami a nespravedlivými překážkami, včetně diskriminačních praktik a omezení uvalených strážci přístupu, které mohou bránit inovacím a omezovat hospodářskou soutěž a příležitosti k růstu a v konečném důsledku zužovat výběr pro spotřebitele;</w:t>
      </w:r>
    </w:p>
    <w:p w14:paraId="07E80159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G.</w:t>
      </w:r>
      <w:r w:rsidRPr="00417E34">
        <w:rPr>
          <w:szCs w:val="24"/>
        </w:rPr>
        <w:tab/>
        <w:t xml:space="preserve">vzhledem k tomu, že informační asymetrie mezi strážci přístupu a regulačními orgány, </w:t>
      </w:r>
      <w:r w:rsidRPr="00417E34">
        <w:rPr>
          <w:szCs w:val="24"/>
        </w:rPr>
        <w:lastRenderedPageBreak/>
        <w:t>jakož i omezená transparentnost, pokud jde o opatření k zajištění souladu, mohou ohrozit účinný dohled, odpovědnost a důvěru v prosazování nařízení o digitálních trzích;</w:t>
      </w:r>
    </w:p>
    <w:p w14:paraId="6A88769E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H.</w:t>
      </w:r>
      <w:r w:rsidRPr="00417E34">
        <w:rPr>
          <w:szCs w:val="24"/>
        </w:rPr>
        <w:tab/>
        <w:t>vzhledem k tomu, že interoperabilita, přístup k údajům, přenositelnost údajů a předcházení tomu, aby podniky zvýhodňovaly vlastní služby, představují základní prvky nařízení o digitálních trzích a vyžadují trvalé a důsledné prosazování, včetně případů, kdy újma pro hospodářskou soutěž vzniká v důsledku výchozího nastavení, technické integrace nebo ekosystémových účinků;</w:t>
      </w:r>
    </w:p>
    <w:p w14:paraId="103B6996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I.</w:t>
      </w:r>
      <w:r w:rsidRPr="00417E34">
        <w:rPr>
          <w:szCs w:val="24"/>
        </w:rPr>
        <w:tab/>
        <w:t>vzhledem k tomu, že několik povinností podle nařízení o digitálních trzích závisí na aktivní volbě uživatele, včetně odepření souhlasu, odinstalace předinstalovaných aplikací, změny výchozího nastavení a </w:t>
      </w:r>
      <w:proofErr w:type="spellStart"/>
      <w:r w:rsidRPr="00417E34">
        <w:rPr>
          <w:szCs w:val="24"/>
        </w:rPr>
        <w:t>portování</w:t>
      </w:r>
      <w:proofErr w:type="spellEnd"/>
      <w:r w:rsidRPr="00417E34">
        <w:rPr>
          <w:szCs w:val="24"/>
        </w:rPr>
        <w:t xml:space="preserve"> dat, což z informovanosti uživatele a návrhu rozhraní činí klíčový prvek účinnosti nařízení;</w:t>
      </w:r>
    </w:p>
    <w:p w14:paraId="524E5F55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J.</w:t>
      </w:r>
      <w:r w:rsidRPr="00417E34">
        <w:rPr>
          <w:szCs w:val="24"/>
        </w:rPr>
        <w:tab/>
        <w:t>vzhledem k tomu, že od vstupu nařízení o digitálních trzích v platnost byly zaznamenány hmatatelné výsledky při vytváření spravedlivých a otevřených digitálních trhů, které podporují hospodářskou soutěž, neboť spotřebitelům jsou nyní nabízeny lepší a neutrálnější obrazovky pro výběr výchozích prohlížečů a aplikací, a to i během instalace zařízení a prostřednictvím nastavení systému, a mohou si nastavit služby třetích stran jako výchozí v kategoriích, které byly dříve omezeny na předinstalované služby;</w:t>
      </w:r>
    </w:p>
    <w:p w14:paraId="23AC106E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K.</w:t>
      </w:r>
      <w:r w:rsidRPr="00417E34">
        <w:rPr>
          <w:szCs w:val="24"/>
        </w:rPr>
        <w:tab/>
        <w:t>vzhledem k tomu, že zvýšené požadavky na interoperabilitu rovněž rozšiřují možnosti volby pro spotřebitele tím, že umožňují fungování širšího spektra připojených a nositelných zařízení a služeb s hlavními službami platformy, čímž snižují závislost na předinstalovaných ekosystémech a přispívají k větší konkurenceschopnosti a autonomii spotřebitelů;</w:t>
      </w:r>
    </w:p>
    <w:p w14:paraId="1AFF098E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L.</w:t>
      </w:r>
      <w:r w:rsidRPr="00417E34">
        <w:rPr>
          <w:szCs w:val="24"/>
        </w:rPr>
        <w:tab/>
        <w:t>vzhledem k tomu, že úspěšnost nařízení o digitálních trzích by měla být posuzována nejen na základě formálního souladu, ale také podle toho, zda je jeho cílů dosahováno v praxi a zda je koncoví uživatelé, podnikatelští uživatelé a širší veřejnost vnímají jako legitimní;</w:t>
      </w:r>
    </w:p>
    <w:p w14:paraId="451E4BE6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M.</w:t>
      </w:r>
      <w:r w:rsidRPr="00417E34">
        <w:rPr>
          <w:szCs w:val="24"/>
        </w:rPr>
        <w:tab/>
        <w:t>vzhledem k tomu, že nařízení o digitálních trzích stanoví řadu nástrojů k prosazování práva, včetně regulačního dialogu, šetření trhu a řízení v případě nedodržování povinností, které slouží k odhalování, řešení a ukládání pokut za nedodržování povinností; vzhledem k tomu, že účinné a přiměřené pokuty mají zásadní význam pro zajištění odrazujícího účinku a zajištění účinnosti nařízení o digitálních trzích; vzhledem k tomu, že technologický vývoj, včetně funkcí založených na umělé inteligenci a cloudových služeb, přináší nové výzvy týkající se spravedlnosti a otevřenosti hospodářské soutěži, které je třeba řešit včasným, jednotným a soudržným uplatňováním ustanovení nařízení o digitálních trzích;</w:t>
      </w:r>
    </w:p>
    <w:p w14:paraId="3652A30D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N.</w:t>
      </w:r>
      <w:r w:rsidRPr="00417E34">
        <w:rPr>
          <w:szCs w:val="24"/>
        </w:rPr>
        <w:tab/>
        <w:t>vzhledem k tomu, že rychlý vývoj systémů generativní umělé inteligence a virtuálních asistentů řízených umělou inteligencí významně mění dynamiku hospodářské soutěže, tržní struktury, hodnotové řetězce a přístup uživatelů k digitálním službám v celé EU, což může mít dopad na konkurenceschopnost a spravedlnost na digitálních trzích;</w:t>
      </w:r>
    </w:p>
    <w:p w14:paraId="1B46042A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O.</w:t>
      </w:r>
      <w:r w:rsidRPr="00417E34">
        <w:rPr>
          <w:szCs w:val="24"/>
        </w:rPr>
        <w:tab/>
        <w:t xml:space="preserve">vzhledem k tomu, že nařízení o digitálních trzích obsahuje několik ustanovení, která jsou relevantní pro zabránění tomu, aby strážci přístupu omezovali schopnost nově </w:t>
      </w:r>
      <w:r w:rsidRPr="00417E34">
        <w:rPr>
          <w:szCs w:val="24"/>
        </w:rPr>
        <w:lastRenderedPageBreak/>
        <w:t>vznikajících vývojářů umělé inteligence konkurovat a inovovat, včetně povinností týkajících se spravedlivého a nediskriminačního určování pořadí, transparentnosti reklamních služeb a přístupu k datům;</w:t>
      </w:r>
    </w:p>
    <w:p w14:paraId="681A7BF3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P.</w:t>
      </w:r>
      <w:r w:rsidRPr="00417E34">
        <w:rPr>
          <w:szCs w:val="24"/>
        </w:rPr>
        <w:tab/>
        <w:t xml:space="preserve">vzhledem k tomu, že služby cloud </w:t>
      </w:r>
      <w:proofErr w:type="spellStart"/>
      <w:r w:rsidRPr="00417E34">
        <w:rPr>
          <w:szCs w:val="24"/>
        </w:rPr>
        <w:t>computingu</w:t>
      </w:r>
      <w:proofErr w:type="spellEnd"/>
      <w:r w:rsidRPr="00417E34">
        <w:rPr>
          <w:szCs w:val="24"/>
        </w:rPr>
        <w:t xml:space="preserve"> v některých případech stále více představují kritickou vrstvu digitálních ekosystémů, a to i pro vývoj, nasazení a škálování aplikací umělé inteligence; vzhledem k tomu, že vysoká míra koncentrace, náklady na změnu poskytovatele, omezení interoperability a rizika závislosti v některých segmentech trhu s cloudovými službami mohou vyvolat obavy podobné těm, kterými se zabývá nařízení o digitálních trzích; vzhledem k tomu, že v listopadu 2025 bylo zahájeno šetření s cílem posoudit, zda by společnosti Amazon a Microsoft měly být určeny jako strážci přístupu pro své služby cloud </w:t>
      </w:r>
      <w:proofErr w:type="spellStart"/>
      <w:r w:rsidRPr="00417E34">
        <w:rPr>
          <w:szCs w:val="24"/>
        </w:rPr>
        <w:t>computingu</w:t>
      </w:r>
      <w:proofErr w:type="spellEnd"/>
      <w:r w:rsidRPr="00417E34">
        <w:rPr>
          <w:szCs w:val="24"/>
        </w:rPr>
        <w:t xml:space="preserve">, tj. Amazon Web </w:t>
      </w:r>
      <w:proofErr w:type="spellStart"/>
      <w:r w:rsidRPr="00417E34">
        <w:rPr>
          <w:szCs w:val="24"/>
        </w:rPr>
        <w:t>Services</w:t>
      </w:r>
      <w:proofErr w:type="spellEnd"/>
      <w:r w:rsidRPr="00417E34">
        <w:rPr>
          <w:szCs w:val="24"/>
        </w:rPr>
        <w:t xml:space="preserve"> a Microsoft Azure, a vzhledem k tomu, že bylo zahájeno další šetření s cílem posoudit, zda jsou stávající povinnosti podle nařízení o digitálních trzích účinné při řešení praktik, které omezují konkurenceschopnost nebo se jedná o nekalé praktiky v odvětví cloud </w:t>
      </w:r>
      <w:proofErr w:type="spellStart"/>
      <w:r w:rsidRPr="00417E34">
        <w:rPr>
          <w:szCs w:val="24"/>
        </w:rPr>
        <w:t>computingu</w:t>
      </w:r>
      <w:proofErr w:type="spellEnd"/>
      <w:r w:rsidRPr="00417E34">
        <w:rPr>
          <w:szCs w:val="24"/>
        </w:rPr>
        <w:t xml:space="preserve">; vzhledem k tomu, že doposud nebyl žádný poskytovatel služeb cloud </w:t>
      </w:r>
      <w:proofErr w:type="spellStart"/>
      <w:r w:rsidRPr="00417E34">
        <w:rPr>
          <w:szCs w:val="24"/>
        </w:rPr>
        <w:t>computingu</w:t>
      </w:r>
      <w:proofErr w:type="spellEnd"/>
      <w:r w:rsidRPr="00417E34">
        <w:rPr>
          <w:szCs w:val="24"/>
        </w:rPr>
        <w:t xml:space="preserve"> označen za strážce přístupu podle tohoto nařízení;</w:t>
      </w:r>
    </w:p>
    <w:p w14:paraId="5B11F80F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Q.</w:t>
      </w:r>
      <w:r w:rsidRPr="00417E34">
        <w:rPr>
          <w:szCs w:val="24"/>
        </w:rPr>
        <w:tab/>
        <w:t xml:space="preserve">vzhledem k tomu, že přístup k rozsáhlému výpočetnímu výkonu, pokročilým modelům umělé inteligence a datové a cloudové infrastruktuře může vytvářet nové strukturální závislosti a ekosystémové </w:t>
      </w:r>
      <w:proofErr w:type="spellStart"/>
      <w:r w:rsidRPr="00417E34">
        <w:rPr>
          <w:szCs w:val="24"/>
        </w:rPr>
        <w:t>lock</w:t>
      </w:r>
      <w:proofErr w:type="spellEnd"/>
      <w:r w:rsidRPr="00417E34">
        <w:rPr>
          <w:szCs w:val="24"/>
        </w:rPr>
        <w:t>-in efekty, které by mohly omezit konkurenceschopnost, pokud by nebyly náležitě ošetřeny v regulačním rámci EU;</w:t>
      </w:r>
    </w:p>
    <w:p w14:paraId="5B664F09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R.</w:t>
      </w:r>
      <w:r w:rsidRPr="00417E34">
        <w:rPr>
          <w:szCs w:val="24"/>
        </w:rPr>
        <w:tab/>
        <w:t>vzhledem k tomu, že k zajištění účinného, nezávislého a včasného prosazování nařízení o digitálních trzích a k zachování jeho důvěryhodnosti a odrazujícího účinku musí Komise disponovat nezbytnou odpovídající institucionální kapacitou, technickými znalostmi a zdroji;</w:t>
      </w:r>
    </w:p>
    <w:p w14:paraId="7EF2E235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S.</w:t>
      </w:r>
      <w:r w:rsidRPr="00417E34">
        <w:rPr>
          <w:szCs w:val="24"/>
        </w:rPr>
        <w:tab/>
        <w:t>vzhledem k tomu, že v souladu s nařízením o digitálních trzích je Komise povinna provádět pravidelný přezkum tohoto nařízení, čímž se otvírá příležitost posoudit účinnost prosazování a jeho přínosy pro spotřebitele, identifikovat problémy při provádění a zajistit, aby nařízení o digitálních trzích bylo i nadále vhodné pro daný účel s ohledem na technologický a tržní vývoj a vyvíjející se formy ekosystémů založených na umělé inteligenci;</w:t>
      </w:r>
    </w:p>
    <w:p w14:paraId="46DD1892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1.</w:t>
      </w:r>
      <w:r w:rsidRPr="00417E34">
        <w:rPr>
          <w:szCs w:val="24"/>
        </w:rPr>
        <w:tab/>
        <w:t>znovu potvrzuje, že účinné, včasné a důsledné prosazování nařízení o digitálních trzích, jakož i politická podpora Komise jsou nezbytné pro zajištění fungování jednotného trhu a pro zajištění hmatatelných výhod pro spotřebitele, podnikatelské uživatele a inovátory v celé EU;</w:t>
      </w:r>
    </w:p>
    <w:p w14:paraId="2B0462B2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2.</w:t>
      </w:r>
      <w:r w:rsidRPr="00417E34">
        <w:rPr>
          <w:szCs w:val="24"/>
        </w:rPr>
        <w:tab/>
        <w:t>vyjadřuje znepokojení nad politickým tlakem ze strany třetích zemí, které naléhají na EU, aby přehodnotila nebo oslabila nařízení o digitálních trzích, a zdůrazňuje, že tyto vnější zásahy nesmí ohrozit svrchovanost EU a její autonomii při definování a prosazování vlastních pravidel; zdůrazňuje, že povinnosti stanovené v nařízení o digitálních trzích se vztahují stejně na všechny určené strážce přístupu poskytující služby v EU bez ohledu na místo jejich usazení nebo státní příslušnost;</w:t>
      </w:r>
    </w:p>
    <w:p w14:paraId="624B0F58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3.</w:t>
      </w:r>
      <w:r w:rsidRPr="00417E34">
        <w:rPr>
          <w:szCs w:val="24"/>
        </w:rPr>
        <w:tab/>
        <w:t>vyzývá Komisi, aby plně a proaktivně využívala všechny nástroje pro prosazování práva stanovené v nařízení o digitálních trzích, šetření trhu, včetně řízení v případě nedodržování povinností, inspekcí, předběžných opatření, pokut a pravidelných plateb penále, aby se zabránilo obcházení a zajistilo účinné dodržování předpisů;</w:t>
      </w:r>
    </w:p>
    <w:p w14:paraId="74988426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lastRenderedPageBreak/>
        <w:t>4.</w:t>
      </w:r>
      <w:r w:rsidRPr="00417E34">
        <w:rPr>
          <w:szCs w:val="24"/>
        </w:rPr>
        <w:tab/>
        <w:t>zdůrazňuje, že ačkoli si Komise ponechává výlučnou pravomoc k prosazování nařízení o digitálních trzích, účinné, včasné a soudržné uplatňování nařízení v celé EU vyžaduje strukturovanou a úzkou spolupráci s vnitrostátními orgány pro hospodářskou soutěž a dalšími příslušnými vnitrostátními veřejnými orgány; zdůrazňuje, že v rámci stanoveném v nařízení o digitálních trzích hrají tyto orgány zásadní podpůrnou úlohu, a to mimo jiné tím, že pomáhají při šetřeních a kontrolách, přispívají k monitorování trhu a usnadňují výměnu informací, čímž posilují účinné a soudržné prosazování nařízení o digitálních trzích a zajišťují spravedlivé a konkurenceschopné digitální trhy v celé EU;</w:t>
      </w:r>
    </w:p>
    <w:p w14:paraId="1A129633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5.</w:t>
      </w:r>
      <w:r w:rsidRPr="00417E34">
        <w:rPr>
          <w:szCs w:val="24"/>
        </w:rPr>
        <w:tab/>
        <w:t>zdůrazňuje, že zajištění otevřenosti trhu, mimo jiné prostřednictvím účinného uplatňování nařízení o digitálních trzích, je zásadním prvkem úspěchu Strategie pro využívání umělé inteligence, jejímž cílem je podpořit zavádění a inovace v oblasti umělé inteligence v celé Evropě, neboť otevřenost hospodářské soutěži na digitálních trzích je jedním z předpokladů otevřeného a spravedlivého evropského ekosystému umělé inteligence;</w:t>
      </w:r>
    </w:p>
    <w:p w14:paraId="5618E7AF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6.</w:t>
      </w:r>
      <w:r w:rsidRPr="00417E34">
        <w:rPr>
          <w:szCs w:val="24"/>
        </w:rPr>
        <w:tab/>
        <w:t>vyzývá Komisi, aby bez zbytečného odkladu uzavírala řízení v případě nedodržování povinností a zajistila včasné prosazování podle nařízení o digitálních trzích, zejména dodržováním závazných i orientačních lhůt, a aby řádně informovala Parlament o pokroku v oblasti prosazování; zdůrazňuje, že je zapotřebí větší transparentnosti procesních kroků a lhůt, aby Parlament, a zejména pracovní skupina výboru IMCO pro nařízení o digitálních trzích, mohl vykonávat své kontrolní pravomoci; vyzývá Komisi, aby proaktivně a pravidelně informovala Parlament o stavu prosazování nařízení o digitálních trzích, včetně aktuálního stavu regulačního dialogu, činnosti a programu skupiny na vysoké úrovni, příslušných studií zadaných Komisí a veškerých dalších informací, které Parlament potřebuje k výkonu své kontrolní úlohy;</w:t>
      </w:r>
    </w:p>
    <w:p w14:paraId="147D1784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7.</w:t>
      </w:r>
      <w:r w:rsidRPr="00417E34">
        <w:rPr>
          <w:szCs w:val="24"/>
        </w:rPr>
        <w:tab/>
        <w:t>vyzývá Komisi, aby plně využívala skupinu na vysoké úrovni; zdůrazňuje význam účinné koordinace mezi regulačními orgány s ohledem na vysoký počet nových pravidel a regulačních orgánů působících na digitálních trzích;</w:t>
      </w:r>
    </w:p>
    <w:p w14:paraId="1DFBEEDC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8.</w:t>
      </w:r>
      <w:r w:rsidRPr="00417E34">
        <w:rPr>
          <w:szCs w:val="24"/>
        </w:rPr>
        <w:tab/>
        <w:t>zdůrazňuje, že soulad s nařízením o digitálních trzích musí být posuzován na základě jeho praktických a reálných dopadů na otevřenost hospodářské soutěži, hospodářskou soutěž, inovace a možnost volby pro uživatele, čímž se zajistí právní jistota, předvídatelnost a rovné zacházení;</w:t>
      </w:r>
    </w:p>
    <w:p w14:paraId="65072178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9.</w:t>
      </w:r>
      <w:r w:rsidRPr="00417E34">
        <w:rPr>
          <w:szCs w:val="24"/>
        </w:rPr>
        <w:tab/>
        <w:t>vyzývá Komisi, aby zakročila proti informační asymetrii, a to posílením mechanismů, které podnikatelským a koncovým uživatelům umožní účinně uplatňovat jejich práva podle nařízení o digitálních trzích, včetně práv týkajících se možnosti volby, přístupu k datům, interoperability, nediskriminace a práva nebýt terčem odvetných opatření, a to prostřednictvím dostupných a bezpečných kanálů pro podávání zpráv a stížností, ochranných opatření proti odvetným opatřením a lepší informovanosti o právech a opravných prostředcích stanovených v nařízení o digitálních trzích, přičemž uznává, že účinnost nařízení o digitálních trzích závisí na posílení postavení koncových uživatelů;</w:t>
      </w:r>
    </w:p>
    <w:p w14:paraId="5D9BF799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10.</w:t>
      </w:r>
      <w:r w:rsidRPr="00417E34">
        <w:rPr>
          <w:szCs w:val="24"/>
        </w:rPr>
        <w:tab/>
        <w:t xml:space="preserve">naléhavě vyzývá Komisi, aby upřednostnila důsledné prosazování povinností v oblasti interoperability, přístupu k údajům, přenositelnosti údajů, zákazu navádění uživatelů k vlastním službám a zákazu zvýhodňování vlastních služeb, a to i v případech, kdy dochází k narušení hospodářské soutěže v důsledku výchozího nastavení, technické </w:t>
      </w:r>
      <w:r w:rsidRPr="00417E34">
        <w:rPr>
          <w:szCs w:val="24"/>
        </w:rPr>
        <w:lastRenderedPageBreak/>
        <w:t>integrace nebo návrhu ekosystémů platforem; vyzývá Komisi, aby při stanovování priorit v oblasti prosazování řádně zohlednila příslušný vývoj na trhu a vzájemné působení příslušných nástrojů EU, včetně nařízení o digitálních trzích</w:t>
      </w:r>
      <w:r w:rsidRPr="00417E34">
        <w:rPr>
          <w:rStyle w:val="FootnoteReference"/>
          <w:szCs w:val="24"/>
        </w:rPr>
        <w:footnoteReference w:id="12"/>
      </w:r>
      <w:r w:rsidRPr="00417E34">
        <w:rPr>
          <w:szCs w:val="24"/>
        </w:rPr>
        <w:t>; konstatuje, že v některých případech může být účinné provádění a prosazování nařízení o digitálních trzích ovlivněno spoluprací strážců přístupu s konkurenty a obchodními partnery, zejména v situacích, kdy byly vyjádřeny obavy ohledně spravedlivosti obchodních praktik;</w:t>
      </w:r>
    </w:p>
    <w:p w14:paraId="43767DDA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11.</w:t>
      </w:r>
      <w:r w:rsidRPr="00417E34">
        <w:rPr>
          <w:szCs w:val="24"/>
        </w:rPr>
        <w:tab/>
        <w:t>vyzývá Komisi, aby dál usilovala o interoperabilitu služeb zasílání zpráv s menšími aplikacemi pro zasílání zpráv třetích stran na vyžádání, což uživatelům umožní vyměňovat si text a soubory a provádět hlasové/video hovory napříč platformami při zachování koncového šifrování;</w:t>
      </w:r>
    </w:p>
    <w:p w14:paraId="33C6E2CC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12.</w:t>
      </w:r>
      <w:r w:rsidRPr="00417E34">
        <w:rPr>
          <w:szCs w:val="24"/>
        </w:rPr>
        <w:tab/>
        <w:t xml:space="preserve">vyjadřuje vážné znepokojení nad přetrvávajícími praktikami společnosti Google v oblasti zvýhodňování vlastních služeb, pokud jde o vyhledávání, nakupování, cestování a video služby, které nadále narušují hospodářskou soutěž a omezují výběr pro spotřebitele; konstatuje, že služba </w:t>
      </w:r>
      <w:proofErr w:type="spellStart"/>
      <w:r w:rsidRPr="00417E34">
        <w:rPr>
          <w:szCs w:val="24"/>
        </w:rPr>
        <w:t>Product</w:t>
      </w:r>
      <w:proofErr w:type="spellEnd"/>
      <w:r w:rsidRPr="00417E34">
        <w:rPr>
          <w:szCs w:val="24"/>
        </w:rPr>
        <w:t xml:space="preserve"> </w:t>
      </w:r>
      <w:proofErr w:type="spellStart"/>
      <w:r w:rsidRPr="00417E34">
        <w:rPr>
          <w:szCs w:val="24"/>
        </w:rPr>
        <w:t>Listing</w:t>
      </w:r>
      <w:proofErr w:type="spellEnd"/>
      <w:r w:rsidRPr="00417E34">
        <w:rPr>
          <w:szCs w:val="24"/>
        </w:rPr>
        <w:t xml:space="preserve"> </w:t>
      </w:r>
      <w:proofErr w:type="spellStart"/>
      <w:r w:rsidRPr="00417E34">
        <w:rPr>
          <w:szCs w:val="24"/>
        </w:rPr>
        <w:t>Ads</w:t>
      </w:r>
      <w:proofErr w:type="spellEnd"/>
      <w:r w:rsidRPr="00417E34">
        <w:rPr>
          <w:szCs w:val="24"/>
        </w:rPr>
        <w:t xml:space="preserve"> je i nadále ve výsledcích vyhledávání umístěna na nápadných prvních místech, čímž se upevňuje systematická dominance a nedostatečná transparentnost, což je v rozporu se záměrem nařízení o digitálních trzích; připomíná, že předběžná zjištění podle čl. 6 odst. 5 nařízení o digitálních trzích svědčí o tom, že společnost Google využívá vizuální výhody a přednostní umístění ke zvýhodnění svých vlastních služeb, včetně služeb Google Nákupy, Letenky a Hotely, čímž omezuje spravedlivý přístup konkurentů a posiluje svou tržní sílu; připomíná, že v nedávných řízeních před vnitrostátními soudy se potvrdilo, že praktiky společnosti Google v oblasti zvýhodňování vlastních služeb ve vyhledávacích službách poškodily konkurenční srovnávací platformy, jak dokládá rozsudek ve věci </w:t>
      </w:r>
      <w:proofErr w:type="spellStart"/>
      <w:r w:rsidRPr="007272B9">
        <w:rPr>
          <w:iCs/>
          <w:szCs w:val="24"/>
        </w:rPr>
        <w:t>Idealo</w:t>
      </w:r>
      <w:proofErr w:type="spellEnd"/>
      <w:r w:rsidRPr="00417E34">
        <w:rPr>
          <w:iCs/>
          <w:szCs w:val="24"/>
        </w:rPr>
        <w:t xml:space="preserve"> v. </w:t>
      </w:r>
      <w:r w:rsidRPr="007272B9">
        <w:rPr>
          <w:iCs/>
          <w:szCs w:val="24"/>
        </w:rPr>
        <w:t>Google</w:t>
      </w:r>
      <w:r w:rsidRPr="00417E34">
        <w:rPr>
          <w:iCs/>
          <w:szCs w:val="24"/>
        </w:rPr>
        <w:t>, který</w:t>
      </w:r>
      <w:r w:rsidRPr="00417E34">
        <w:rPr>
          <w:szCs w:val="24"/>
        </w:rPr>
        <w:t xml:space="preserve"> vynesl Zemský soud v Berlíně v roce 2025; zdůrazňuje, že pokusy strážců přístupu o zachování nebo prodlužování nedodržování povinností podle nařízení o digitálních trzích je mohou následně vystavit značné finanční odpovědnosti prostřednictvím následných žalob o náhradu škody;</w:t>
      </w:r>
    </w:p>
    <w:p w14:paraId="6FF77456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13.</w:t>
      </w:r>
      <w:r w:rsidRPr="00417E34">
        <w:rPr>
          <w:szCs w:val="24"/>
        </w:rPr>
        <w:tab/>
        <w:t>zdůrazňuje, že integrace umělé inteligence do procesů vyhledávání a zjišťování informací umožňuje společnosti Google stále více kontrolovat celou cestu spotřebitele – od vyhledávání a doporučení až po záměr nákupu – a dále tak marginalizuje konkurenční služby a snižuje schopnost spotřebitelů činit nezávislá rozhodnutí; zdůrazňuje, že při této dynamice hrozí, že se nezávislí obchodníci stanou pouhými kanály pro realizaci objednávek společnosti Google, což se podobá dřívějším pokusům o ovládnutí obchodu, které byly v minulosti zastaveny, a že bez jasných záruk v rámci nařízení o digitálních trzích se tyto praktiky mohou ještě více rozmoci;</w:t>
      </w:r>
    </w:p>
    <w:p w14:paraId="03370B58" w14:textId="77777777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14.</w:t>
      </w:r>
      <w:r w:rsidRPr="00417E34">
        <w:rPr>
          <w:szCs w:val="24"/>
        </w:rPr>
        <w:tab/>
        <w:t xml:space="preserve">bere na vědomí vznik alternativních tržišť s aplikacemi pro iOS na jednotném trhu, ale vyjadřuje obavy, že jejich praktická životaschopnost a škálovatelnost zůstávají omezené kvůli tomu, jak je navržena cesta uživatele, a kvůli svazujícím ekonomickým a smluvním podmínkám; upozorňuje na to, že strážci přístupu provádějí restrukturalizaci svých poplatků tak, aby vývojáři na tom byli hůře než v době před zavedením nařízení o digitálních trzích; vyzývá Komisi, aby posoudila, zda jsou </w:t>
      </w:r>
      <w:r w:rsidRPr="00417E34">
        <w:rPr>
          <w:szCs w:val="24"/>
        </w:rPr>
        <w:lastRenderedPageBreak/>
        <w:t>podmínky přístupu společnosti Apple spravedlivé a nediskriminační, jak to ukládá čl. 6 odst. 12 nařízení o digitálních trzích;</w:t>
      </w:r>
    </w:p>
    <w:p w14:paraId="2825059F" w14:textId="3DB910C1" w:rsidR="00A8351F" w:rsidRDefault="00A8351F" w:rsidP="00417E34">
      <w:pPr>
        <w:pStyle w:val="NormalHanging12a"/>
        <w:rPr>
          <w:szCs w:val="24"/>
        </w:rPr>
      </w:pPr>
      <w:r w:rsidRPr="00A8351F">
        <w:rPr>
          <w:szCs w:val="24"/>
        </w:rPr>
        <w:t>1</w:t>
      </w:r>
      <w:r w:rsidR="00596227">
        <w:rPr>
          <w:szCs w:val="24"/>
        </w:rPr>
        <w:t>5</w:t>
      </w:r>
      <w:r w:rsidRPr="00A8351F">
        <w:rPr>
          <w:szCs w:val="24"/>
        </w:rPr>
        <w:t>.</w:t>
      </w:r>
      <w:r w:rsidRPr="00A8351F">
        <w:rPr>
          <w:szCs w:val="24"/>
        </w:rPr>
        <w:tab/>
        <w:t>konstatuje, že jak nedávno oznámila například společnost Google, někteří strážci přístupu se s odvoláním na odůvodnění týkající se bezpečnosti včetně kybernetické bezpečnosti snaží vnutit vývojářům aplikací požadavky na registraci a identifikaci, čímž omezují účinný přístup k alternativním kanálům distribuce aplikací způsobem, který může být v rozporu s čl. 6 odst. 4 nařízení o digitálních trzích; vyzývá proto Komisi, aby prošetřila, zda jsou uplatňovaná bezpečnostní opatření nezbytně nutná a přiměřená, a aby zajistila, že nebudou využívána jako záminka k obcházení cíle nařízení o digitálních trzích, kterým je umožnit skutečný přístup k softwaru třetích stran, zajistit spravedlivé, přiměřené a nediskriminační podmínky přístupu a zároveň zachovat možnost vývojářů směrovat uživatele k alternativním distribučním kanálům</w:t>
      </w:r>
      <w:r>
        <w:rPr>
          <w:szCs w:val="24"/>
        </w:rPr>
        <w:t>;</w:t>
      </w:r>
    </w:p>
    <w:p w14:paraId="71BAEB6F" w14:textId="6D4467E0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1</w:t>
      </w:r>
      <w:r w:rsidR="00596227">
        <w:rPr>
          <w:szCs w:val="24"/>
        </w:rPr>
        <w:t>6</w:t>
      </w:r>
      <w:r w:rsidRPr="00417E34">
        <w:rPr>
          <w:szCs w:val="24"/>
        </w:rPr>
        <w:t>.</w:t>
      </w:r>
      <w:r w:rsidRPr="00417E34">
        <w:rPr>
          <w:szCs w:val="24"/>
        </w:rPr>
        <w:tab/>
        <w:t xml:space="preserve">připomíná, že podle čl. 5 odst. 4 nařízení o digitálních trzích by měli mít podnikatelští uživatelé možnost bezplatně informovat koncové uživatele o alternativních nabídkách, navádět je na ně a uzavírat s nimi smlouvy; konstatuje, že ve 40. bodě odůvodnění nařízení o digitálních trzích se uznává možnost odměny za usnadnění prvotního získání koncového uživatele, přičemž se zdůrazňuje, že jakákoli taková odměna musí být přísně omezena na prvotní získání, musí být přiměřená a úměrná a nesmí narušovat navádění v praxi; vyzývá Komisi, aby zajistila, že přepracované podmínky společnosti Apple budou důsledně posouzeny z hlediska požadavku uvedeného v nařízení o digitálních trzích ohledně jakýchkoli poplatků spojených s naváděním a že jakékoli pokusy o obcházení budou pečlivě prověřeny a v případě potřeby sankcionovány, aniž by se čekalo na výsledek probíhajícího soudního řízení v USA ve věci </w:t>
      </w:r>
      <w:proofErr w:type="spellStart"/>
      <w:r w:rsidRPr="00417E34">
        <w:rPr>
          <w:i/>
          <w:szCs w:val="24"/>
        </w:rPr>
        <w:t>Epic</w:t>
      </w:r>
      <w:proofErr w:type="spellEnd"/>
      <w:r w:rsidRPr="00417E34">
        <w:rPr>
          <w:i/>
          <w:szCs w:val="24"/>
        </w:rPr>
        <w:t xml:space="preserve"> </w:t>
      </w:r>
      <w:proofErr w:type="spellStart"/>
      <w:r w:rsidRPr="00417E34">
        <w:rPr>
          <w:i/>
          <w:szCs w:val="24"/>
        </w:rPr>
        <w:t>Games</w:t>
      </w:r>
      <w:proofErr w:type="spellEnd"/>
      <w:r w:rsidRPr="00417E34">
        <w:rPr>
          <w:szCs w:val="24"/>
        </w:rPr>
        <w:t xml:space="preserve"> v. </w:t>
      </w:r>
      <w:r w:rsidRPr="00417E34">
        <w:rPr>
          <w:i/>
          <w:szCs w:val="24"/>
        </w:rPr>
        <w:t>Apple</w:t>
      </w:r>
      <w:r w:rsidRPr="00417E34">
        <w:rPr>
          <w:szCs w:val="24"/>
        </w:rPr>
        <w:t>; zdůrazňuje, že prosazování práva EU by mělo probíhat nezávisle na soudních sporech ve třetích zemích;</w:t>
      </w:r>
    </w:p>
    <w:p w14:paraId="2AE6F192" w14:textId="7451FED3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1</w:t>
      </w:r>
      <w:r w:rsidR="00596227">
        <w:rPr>
          <w:szCs w:val="24"/>
        </w:rPr>
        <w:t>7</w:t>
      </w:r>
      <w:r w:rsidRPr="00417E34">
        <w:rPr>
          <w:szCs w:val="24"/>
        </w:rPr>
        <w:t>.</w:t>
      </w:r>
      <w:r w:rsidRPr="00417E34">
        <w:rPr>
          <w:szCs w:val="24"/>
        </w:rPr>
        <w:tab/>
        <w:t xml:space="preserve">vyjadřuje znepokojení nad službou </w:t>
      </w:r>
      <w:proofErr w:type="spellStart"/>
      <w:r w:rsidRPr="00417E34">
        <w:rPr>
          <w:szCs w:val="24"/>
        </w:rPr>
        <w:t>TikTok</w:t>
      </w:r>
      <w:proofErr w:type="spellEnd"/>
      <w:r w:rsidRPr="00417E34">
        <w:rPr>
          <w:szCs w:val="24"/>
        </w:rPr>
        <w:t xml:space="preserve">, kterou provozuje společnost </w:t>
      </w:r>
      <w:proofErr w:type="spellStart"/>
      <w:r w:rsidRPr="00417E34">
        <w:rPr>
          <w:szCs w:val="24"/>
        </w:rPr>
        <w:t>ByteDance</w:t>
      </w:r>
      <w:proofErr w:type="spellEnd"/>
      <w:r w:rsidRPr="00417E34">
        <w:rPr>
          <w:szCs w:val="24"/>
        </w:rPr>
        <w:t xml:space="preserve">, a obrazovkami pro potvrzení souhlasu, které se na její platformě používají a které při získávání souhlasu uživatelů do značné míry využívají behaviorální techniky; upozorňuje, že takové praktiky mohou narušit zásady informovaného a svobodně uděleného souhlasu a mohou představovat porušení čl. 5 odst. 2 nařízení o digitálních trzích; zdůrazňuje, že mechanismy souhlasu musí být transparentní, uživatelsky přívětivé a skutečně dobrovolné a nesmí být navrženy jako manipulativní nebo jako psychologický nátlak; vyzývá Komisi, aby pečlivě sledovala postupy společnosti </w:t>
      </w:r>
      <w:proofErr w:type="spellStart"/>
      <w:r w:rsidRPr="00417E34">
        <w:rPr>
          <w:szCs w:val="24"/>
        </w:rPr>
        <w:t>TikTok</w:t>
      </w:r>
      <w:proofErr w:type="spellEnd"/>
      <w:r w:rsidRPr="00417E34">
        <w:rPr>
          <w:szCs w:val="24"/>
        </w:rPr>
        <w:t xml:space="preserve"> v oblasti udělování souhlasu a zajistila, aby byly veškeré mechanismy, které nejsou v souladu s povinnostmi, neprodleně napraveny a byla tak zachována autonomie uživatelů a digitální práva;</w:t>
      </w:r>
    </w:p>
    <w:p w14:paraId="78CE3C56" w14:textId="08A9C7A3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1</w:t>
      </w:r>
      <w:r w:rsidR="00596227">
        <w:rPr>
          <w:szCs w:val="24"/>
        </w:rPr>
        <w:t>8</w:t>
      </w:r>
      <w:r w:rsidRPr="00417E34">
        <w:rPr>
          <w:szCs w:val="24"/>
        </w:rPr>
        <w:t>.</w:t>
      </w:r>
      <w:r w:rsidRPr="00417E34">
        <w:rPr>
          <w:szCs w:val="24"/>
        </w:rPr>
        <w:tab/>
        <w:t xml:space="preserve">konstatuje, že je důležité, aby společnost Microsoft účinně dodržovala čl. 6 odst. 3 nařízení o digitálních trzích, zejména pokud jde o povinnost umožnit koncovým uživatelům, a to i technicky, snadnou změnu výchozího nastavení svého operačního systému Windows pro osobní počítače a přístup ke konkurenčním službám bez zbytečných komplikací; upozorňuje, že integrace služby Bing jako výchozího poskytovatele výsledků online vyhledávání na hlavním panelu systému Windows a obtížnost přepínání mohou uživatele nepatřičně navádět k vlastním službám společnosti Microsoft a omezit jejich faktickou možnost výběru; připomíná, že společnost Microsoft předložila Komisi opatření ke splnění povinností, ale vyjadřuje obavy ohledně jejich praktických účinků, včetně možných překážek pro účinnou interoperabilitu v rámci ekosystému Windows; připomíná, že tato opatření by měla </w:t>
      </w:r>
      <w:r w:rsidRPr="00417E34">
        <w:rPr>
          <w:szCs w:val="24"/>
        </w:rPr>
        <w:lastRenderedPageBreak/>
        <w:t>Komise i nadále pečlivě posuzovat, aby v praxi zajistila účinnou možnost volby pro uživatele a spravedlivé a konkurenční prostředí pro poskytovatele třetích stran, zejména tam, kde omezené nebo pomalé zpřístupnění rozhraní pro programování aplikací (API) pro služby jiných výrobců než společnosti Microsoft může vývojářům třetích stran bránit v tom, aby mohli koncovým uživatelům poskytovat srovnatelnou úroveň služeb;</w:t>
      </w:r>
    </w:p>
    <w:p w14:paraId="1AEDA854" w14:textId="745C69BD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1</w:t>
      </w:r>
      <w:r w:rsidR="00596227">
        <w:rPr>
          <w:szCs w:val="24"/>
        </w:rPr>
        <w:t>9</w:t>
      </w:r>
      <w:r w:rsidRPr="00417E34">
        <w:rPr>
          <w:szCs w:val="24"/>
        </w:rPr>
        <w:t>.</w:t>
      </w:r>
      <w:r w:rsidRPr="00417E34">
        <w:rPr>
          <w:szCs w:val="24"/>
        </w:rPr>
        <w:tab/>
        <w:t>se znepokojením bere na vědomí zprávy od různých zúčastněných stran v odvětví cestovního ruchu o přetrvávajících vysokých provizích společnosti Booking.com a o tom, že i nadále využívá praktiky, které podle všeho mají stejný dopad jako zakázané paritní doložky, včetně výkonnostních programů pro hotely založených na netransparentních kritériích a přetrvávajících obtížích při nevyužívání sponzorovaných platebních systémů společnosti Booking.com; připomíná, že vnitrostátní orgány pro hospodářskou soutěž, včetně orgánů ve Francii a Španělsku, uložily společnosti Booking.com v souvislosti s paritními doložkami sankce; vyzývá Komisi, aby vyhodnotila současnou úroveň otevřenosti hospodářské soutěži v odvětví online cestovního ruchu od doby, kdy byla společnost Booking.com označena za „správce přístupu“, a aby přijala náležitá rozhodná opatření;</w:t>
      </w:r>
    </w:p>
    <w:p w14:paraId="2A5F6660" w14:textId="18517A56" w:rsidR="008E7049" w:rsidRPr="00417E34" w:rsidRDefault="00596227" w:rsidP="00417E34">
      <w:pPr>
        <w:pStyle w:val="NormalHanging12a"/>
        <w:rPr>
          <w:szCs w:val="24"/>
        </w:rPr>
      </w:pPr>
      <w:r>
        <w:rPr>
          <w:szCs w:val="24"/>
        </w:rPr>
        <w:t>20</w:t>
      </w:r>
      <w:r w:rsidR="008E7049" w:rsidRPr="00417E34">
        <w:rPr>
          <w:szCs w:val="24"/>
        </w:rPr>
        <w:t>.</w:t>
      </w:r>
      <w:r w:rsidR="008E7049" w:rsidRPr="00417E34">
        <w:rPr>
          <w:szCs w:val="24"/>
        </w:rPr>
        <w:tab/>
        <w:t>bere na vědomí, že společnost Meta v návaznosti na pokutu udělenou Komisí v dubnu 2025 zavedla novou třetí možnost „zaplať nebo uděl souhlas“ omezující personalizovanou reklamu, která byla spuštěna v červenci 2025; vyzývá Komisi, aby zajistila, že společnost Meta bude nyní uživatelům skutečně poskytovat neutrální možnost volby, že přístup třetích stran ke službám společnosti Meta bude spravedlivý a bez překážek a že jakékoli obcházení požadavků nařízení o digitálních trzích bude důsledně kontrolováno a případně sankcionováno;</w:t>
      </w:r>
    </w:p>
    <w:p w14:paraId="28E72BC5" w14:textId="08CF06B1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2</w:t>
      </w:r>
      <w:r w:rsidR="00596227">
        <w:rPr>
          <w:szCs w:val="24"/>
        </w:rPr>
        <w:t>1</w:t>
      </w:r>
      <w:r w:rsidRPr="00417E34">
        <w:rPr>
          <w:szCs w:val="24"/>
        </w:rPr>
        <w:t>.</w:t>
      </w:r>
      <w:r w:rsidRPr="00417E34">
        <w:rPr>
          <w:szCs w:val="24"/>
        </w:rPr>
        <w:tab/>
        <w:t>vyjadřuje obavy ohledně praktik, které u televizí s internetem kopírují praktiky podkopávající hospodářskou soutěž, jež dříve uplatňoval systém Android u chytrých telefonů; zdůrazňuje, že přístup k audiovizuálním mediálním službám na televizích s internetem nesmí být pod kontrolou malého počtu velkých technologických společností a že pro pluralitní a rozmanité mediální prostředí je zásadní otevřený a spravedlivý trh otevřený hospodářské soutěži; v souvislosti s operačními systémy televizí s internetem zdůrazňuje, že hlavní poskytovatelé těchto operačních systémů kontrolují přístup na mnohostranné trhy se sledovaností, reklamou a daty; připomíná, že podobná kontrola uživatelských přístupových bodů ze strany správce přístupu může vzniknout i v jiných prostředích s internetech, kde operační systémy nebo virtuální asistenti zprostředkovávají přístup ke službám, včetně informačních a zábavních systémů ve vozidlech; vyzývá Komisi, aby tento segment trhu pečlivě sledovala a v případě potřeby přijala vhodná opatření;</w:t>
      </w:r>
    </w:p>
    <w:p w14:paraId="4786F590" w14:textId="094078CA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2</w:t>
      </w:r>
      <w:r w:rsidR="00596227">
        <w:rPr>
          <w:szCs w:val="24"/>
        </w:rPr>
        <w:t>2</w:t>
      </w:r>
      <w:r w:rsidRPr="00417E34">
        <w:rPr>
          <w:szCs w:val="24"/>
        </w:rPr>
        <w:t>.</w:t>
      </w:r>
      <w:r w:rsidRPr="00417E34">
        <w:rPr>
          <w:szCs w:val="24"/>
        </w:rPr>
        <w:tab/>
        <w:t>zdůrazňuje důležitou úlohu koncových uživatelů při dosahování cílů nařízení o digitálních trzích a zdůrazňuje, že je důležité zajistit, aby uživatelská rozhraní, mechanismy souhlasu a architektury volby byly neutrální, snadno použitelné, srozumitelné a nemanipulativní, aby uživatelé mohli účinně a bez zbytečných komplikací uplatňovat svá práva;</w:t>
      </w:r>
    </w:p>
    <w:p w14:paraId="1F877CB7" w14:textId="0966919D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2</w:t>
      </w:r>
      <w:r w:rsidR="00596227">
        <w:rPr>
          <w:szCs w:val="24"/>
        </w:rPr>
        <w:t>3</w:t>
      </w:r>
      <w:r w:rsidRPr="00417E34">
        <w:rPr>
          <w:szCs w:val="24"/>
        </w:rPr>
        <w:t>.</w:t>
      </w:r>
      <w:r w:rsidRPr="00417E34">
        <w:rPr>
          <w:szCs w:val="24"/>
        </w:rPr>
        <w:tab/>
        <w:t xml:space="preserve">vyzývá Komisi, aby zajistila soudržné uplatňování nařízení o digitálních trzích na technologický vývoj, které obstojí i v budoucnosti, a to tím, že se bude včas zabývat službami založenými na umělé inteligenci a cloudovou infrastrukturou, aby se zabránilo novým formám </w:t>
      </w:r>
      <w:proofErr w:type="spellStart"/>
      <w:r w:rsidRPr="00417E34">
        <w:rPr>
          <w:szCs w:val="24"/>
        </w:rPr>
        <w:t>lock</w:t>
      </w:r>
      <w:proofErr w:type="spellEnd"/>
      <w:r w:rsidRPr="00417E34">
        <w:rPr>
          <w:szCs w:val="24"/>
        </w:rPr>
        <w:t xml:space="preserve">-in efektu, uzavírání trhu nebo praktikám „strážce přístupu“, včetně případů, kdy „strážci přístupu“ využívají kontrolu nad daty, výpočetními zdroji nebo </w:t>
      </w:r>
      <w:r w:rsidRPr="00417E34">
        <w:rPr>
          <w:szCs w:val="24"/>
        </w:rPr>
        <w:lastRenderedPageBreak/>
        <w:t>integrovanými službami na úkor začínajících vývojářů umělé inteligence a inovativních nových účastníků vstupujících na trh;</w:t>
      </w:r>
    </w:p>
    <w:p w14:paraId="2BC8456F" w14:textId="3EECD84D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2</w:t>
      </w:r>
      <w:r w:rsidR="00596227">
        <w:rPr>
          <w:szCs w:val="24"/>
        </w:rPr>
        <w:t>4</w:t>
      </w:r>
      <w:r w:rsidRPr="00417E34">
        <w:rPr>
          <w:szCs w:val="24"/>
        </w:rPr>
        <w:t>.</w:t>
      </w:r>
      <w:r w:rsidRPr="00417E34">
        <w:rPr>
          <w:szCs w:val="24"/>
        </w:rPr>
        <w:tab/>
        <w:t>vyzývá Komisi, aby zajistila doplňkovost, soudržnost a právní jistotu mezi nařízením o digitálních trzích, nařízením o datech a aktem o umělé inteligenci</w:t>
      </w:r>
      <w:r w:rsidRPr="00417E34">
        <w:rPr>
          <w:rStyle w:val="FootnoteReference"/>
          <w:szCs w:val="24"/>
        </w:rPr>
        <w:footnoteReference w:id="13"/>
      </w:r>
      <w:r w:rsidRPr="00417E34">
        <w:rPr>
          <w:szCs w:val="24"/>
        </w:rPr>
        <w:t>, a to i prostřednictvím koordinovaných pokynů a provádění;</w:t>
      </w:r>
    </w:p>
    <w:p w14:paraId="3D1C7BB5" w14:textId="1F32D884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2</w:t>
      </w:r>
      <w:r w:rsidR="00596227">
        <w:rPr>
          <w:szCs w:val="24"/>
        </w:rPr>
        <w:t>5</w:t>
      </w:r>
      <w:r w:rsidRPr="00417E34">
        <w:rPr>
          <w:szCs w:val="24"/>
        </w:rPr>
        <w:t>.</w:t>
      </w:r>
      <w:r w:rsidRPr="00417E34">
        <w:rPr>
          <w:szCs w:val="24"/>
        </w:rPr>
        <w:tab/>
        <w:t>vítá první rozhodnutí Komise o nedodržování povinností podle nařízení o digitálních trzích jako důležitý krok k zajištění účinného prosazování, ale lituje, že tato rozhodnutí mají stále omezený rozsah a zatím se nezabývají celou řadou problematických praktik správců přístupu, na které upozornili podnikatelští uživatelé a další zúčastněné strany; dále lituje, že uložené pokuty jsou v porovnání s rozsahem porušených povinností a ekonomickou silou určených strážců přístupu poměrně nízké, což může mít nedostatečný odrazující účinek a neodpovídá ambicím nařízení; zdůrazňuje, že celkový rámec pro vymáhání by měl zajistit, aby očekávané náklady na nedodržení povinností, včetně pokut a pravidelných plateb penále, od počátku systematicky převyšovaly náklady na dodržování povinností, aby se tedy zabránilo strategickému odkládání a zajistil se skutečný odrazující účinek;</w:t>
      </w:r>
    </w:p>
    <w:p w14:paraId="08C29411" w14:textId="7CA911EC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2</w:t>
      </w:r>
      <w:r w:rsidR="00596227">
        <w:rPr>
          <w:szCs w:val="24"/>
        </w:rPr>
        <w:t>6</w:t>
      </w:r>
      <w:r w:rsidRPr="00417E34">
        <w:rPr>
          <w:szCs w:val="24"/>
        </w:rPr>
        <w:t>.</w:t>
      </w:r>
      <w:r w:rsidRPr="00417E34">
        <w:rPr>
          <w:szCs w:val="24"/>
        </w:rPr>
        <w:tab/>
        <w:t xml:space="preserve">vyzývá Komisi, aby vzhledem k rostoucímu strategickému významu služeb cloud </w:t>
      </w:r>
      <w:proofErr w:type="spellStart"/>
      <w:r w:rsidRPr="00417E34">
        <w:rPr>
          <w:szCs w:val="24"/>
        </w:rPr>
        <w:t>computingu</w:t>
      </w:r>
      <w:proofErr w:type="spellEnd"/>
      <w:r w:rsidRPr="00417E34">
        <w:rPr>
          <w:szCs w:val="24"/>
        </w:rPr>
        <w:t xml:space="preserve"> a jejich úloze v digitálních ekosystémech a ekosystémech umělé inteligence pečlivě posoudila, zda poskytovatelé těchto služeb splňují kritéria pro jejich určení za strážce přístupu podle nařízení o digitálních trzích, a to i prostřednictvím šetření trhu; vyzývá Komisi, aby při provádění šetření trhu a posuzování možných označení v oblasti cloud </w:t>
      </w:r>
      <w:proofErr w:type="spellStart"/>
      <w:r w:rsidRPr="00417E34">
        <w:rPr>
          <w:szCs w:val="24"/>
        </w:rPr>
        <w:t>computingu</w:t>
      </w:r>
      <w:proofErr w:type="spellEnd"/>
      <w:r w:rsidRPr="00417E34">
        <w:rPr>
          <w:szCs w:val="24"/>
        </w:rPr>
        <w:t xml:space="preserve"> uplatňovala kritéria nařízení o digitálních trzích soudržně, transparentně a na základě důkazů na všechny poskytovatele, pokud je to odůvodněno ukazateli trhu, aby se zabránilo narušení hospodářské soutěže a byly ochráněny inovace; vítá nedávná šetření trhu provedená Komise týkající se poskytovatelů cloudových služeb, jako jsou Amazon Web </w:t>
      </w:r>
      <w:proofErr w:type="spellStart"/>
      <w:r w:rsidRPr="00417E34">
        <w:rPr>
          <w:szCs w:val="24"/>
        </w:rPr>
        <w:t>Services</w:t>
      </w:r>
      <w:proofErr w:type="spellEnd"/>
      <w:r w:rsidRPr="00417E34">
        <w:rPr>
          <w:szCs w:val="24"/>
        </w:rPr>
        <w:t xml:space="preserve"> a Microsoft Azure;</w:t>
      </w:r>
    </w:p>
    <w:p w14:paraId="2BB70454" w14:textId="7D217FFE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2</w:t>
      </w:r>
      <w:r w:rsidR="00596227">
        <w:rPr>
          <w:szCs w:val="24"/>
        </w:rPr>
        <w:t>7</w:t>
      </w:r>
      <w:r w:rsidRPr="00417E34">
        <w:rPr>
          <w:szCs w:val="24"/>
        </w:rPr>
        <w:t>.</w:t>
      </w:r>
      <w:r w:rsidRPr="00417E34">
        <w:rPr>
          <w:szCs w:val="24"/>
        </w:rPr>
        <w:tab/>
        <w:t xml:space="preserve">zdůrazňuje, že nástroje pro vyhledávání a asistenti založení na umělé inteligenci, pokud jsou tyto služby nabízeny jako označené hlavní služby platformy nebo v jejich rámci, jako jsou například AI </w:t>
      </w:r>
      <w:proofErr w:type="spellStart"/>
      <w:r w:rsidRPr="00417E34">
        <w:rPr>
          <w:szCs w:val="24"/>
        </w:rPr>
        <w:t>Overviews</w:t>
      </w:r>
      <w:proofErr w:type="spellEnd"/>
      <w:r w:rsidRPr="00417E34">
        <w:rPr>
          <w:szCs w:val="24"/>
        </w:rPr>
        <w:t xml:space="preserve"> společnosti Google, </w:t>
      </w:r>
      <w:proofErr w:type="spellStart"/>
      <w:r w:rsidRPr="00417E34">
        <w:rPr>
          <w:szCs w:val="24"/>
        </w:rPr>
        <w:t>Gemini</w:t>
      </w:r>
      <w:proofErr w:type="spellEnd"/>
      <w:r w:rsidRPr="00417E34">
        <w:rPr>
          <w:szCs w:val="24"/>
        </w:rPr>
        <w:t xml:space="preserve"> společnosti Google, Siri společnosti Apple, WhatsApp AI společnosti Meta, </w:t>
      </w:r>
      <w:proofErr w:type="spellStart"/>
      <w:r w:rsidRPr="00417E34">
        <w:rPr>
          <w:szCs w:val="24"/>
        </w:rPr>
        <w:t>Rufus</w:t>
      </w:r>
      <w:proofErr w:type="spellEnd"/>
      <w:r w:rsidRPr="00417E34">
        <w:rPr>
          <w:szCs w:val="24"/>
        </w:rPr>
        <w:t xml:space="preserve"> společnosti Amazon nebo </w:t>
      </w:r>
      <w:proofErr w:type="spellStart"/>
      <w:r w:rsidRPr="00417E34">
        <w:rPr>
          <w:szCs w:val="24"/>
        </w:rPr>
        <w:t>Copilot</w:t>
      </w:r>
      <w:proofErr w:type="spellEnd"/>
      <w:r w:rsidRPr="00417E34">
        <w:rPr>
          <w:szCs w:val="24"/>
        </w:rPr>
        <w:t xml:space="preserve"> společnosti Microsoft, se stále více stávají novými vstupními branami k informacím, obchodu a digitálním službám; vyzývá Komisi, aby včas prověřila, zda a jakým způsobem jsou tyto funkce využívány strážci přístupu způsoby, které mohou narušit otevřenost hospodářské soutěži a spravedlnost, včetně výchozího nastavení, předběžného výběru nebo diskriminační prezentace či výběru výsledků;</w:t>
      </w:r>
    </w:p>
    <w:p w14:paraId="272DCE2D" w14:textId="09383DD2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2</w:t>
      </w:r>
      <w:r w:rsidR="00596227">
        <w:rPr>
          <w:szCs w:val="24"/>
        </w:rPr>
        <w:t>8</w:t>
      </w:r>
      <w:r w:rsidRPr="00417E34">
        <w:rPr>
          <w:szCs w:val="24"/>
        </w:rPr>
        <w:t>.</w:t>
      </w:r>
      <w:r w:rsidRPr="00417E34">
        <w:rPr>
          <w:szCs w:val="24"/>
        </w:rPr>
        <w:tab/>
        <w:t xml:space="preserve">zdůrazňuje, že integrované digitální ekosystémy některých strážců přístupu, které se skládají z více hlavních služeb platforem a souvisejících služeb, jim mohou poskytnout strukturální konkurenční výhodu při vývoji, výcviku a zavádění systémů umělé inteligence, zejména pokud lze napříč ekosystémy využít přístup k rozsáhlým datovým </w:t>
      </w:r>
      <w:r w:rsidRPr="00417E34">
        <w:rPr>
          <w:szCs w:val="24"/>
        </w:rPr>
        <w:lastRenderedPageBreak/>
        <w:t>tokům, uživatelským rozhraním, distribučním kanálům nebo doplňkovým službám; zdůrazňuje proto, že je třeba důsledně prosazovat čl. 6 odst. 10 nařízení o digitálních trzích, aby byla zajištěna účinná práva na přístup k údajům pro podnikatelské uživatele a aby se zabránilo využívání výhod v podobě dat v rámci celého ekosystému způsobem, který narušuje hospodářskou soutěž a není spravedlivý, včetně případů, kdy jsou funkce umělé inteligence začleněny do hlavních služeb platformy nebo se mohou stát novými vstupními branami k informacím, obchodu a digitálním službám;</w:t>
      </w:r>
    </w:p>
    <w:p w14:paraId="234B6F03" w14:textId="4DA84F38" w:rsidR="008E7049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2</w:t>
      </w:r>
      <w:r w:rsidR="00596227">
        <w:rPr>
          <w:szCs w:val="24"/>
        </w:rPr>
        <w:t>9</w:t>
      </w:r>
      <w:r w:rsidRPr="00417E34">
        <w:rPr>
          <w:szCs w:val="24"/>
        </w:rPr>
        <w:t>.</w:t>
      </w:r>
      <w:r w:rsidRPr="00417E34">
        <w:rPr>
          <w:szCs w:val="24"/>
        </w:rPr>
        <w:tab/>
        <w:t>vyzývá Komisi, aby zajistila dostatečné lidské a finanční zdroje pro prosazování nařízení o digitálních trzích v souladu s rozsahem, složitostí a strategickým významem tohoto nařízení, a požaduje výrazné posílení personálu;</w:t>
      </w:r>
    </w:p>
    <w:p w14:paraId="1FEE97B0" w14:textId="4CF3FE72" w:rsidR="008E7049" w:rsidRPr="00417E34" w:rsidRDefault="00596227" w:rsidP="00417E34">
      <w:pPr>
        <w:pStyle w:val="NormalHanging12a"/>
        <w:rPr>
          <w:szCs w:val="24"/>
        </w:rPr>
      </w:pPr>
      <w:r>
        <w:rPr>
          <w:szCs w:val="24"/>
        </w:rPr>
        <w:t>30</w:t>
      </w:r>
      <w:r w:rsidR="008E7049" w:rsidRPr="00417E34">
        <w:rPr>
          <w:szCs w:val="24"/>
        </w:rPr>
        <w:t>.</w:t>
      </w:r>
      <w:r w:rsidR="008E7049" w:rsidRPr="00417E34">
        <w:rPr>
          <w:szCs w:val="24"/>
        </w:rPr>
        <w:tab/>
        <w:t>očekává, že nadcházející přezkum nařízení o digitálních trzích bude transparentní a bude důsledně vycházet ze zkušeností s prosazováním a důkazů o jeho uplatňování, včetně posouzení výsledků pro uživatele a trhy v reálném světě, jakož i praktického dopadu provádění na spotřebitele, zejména pokud jde o přístup k inovacím, použitelnost, soukromí a bezpečnost, přičemž bude náležitě zohledněn technologický vývoj a potřeba zajistit, aby rámec obstál i v budoucnosti; vyzývá Komisi, aby při procesu přezkumu zohlednila zejména zpětnou vazbu od malých a středních podniků;</w:t>
      </w:r>
    </w:p>
    <w:p w14:paraId="1F3E0D5C" w14:textId="477532DB" w:rsidR="008E7049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t>3</w:t>
      </w:r>
      <w:r w:rsidR="00596227">
        <w:rPr>
          <w:szCs w:val="24"/>
        </w:rPr>
        <w:t>1</w:t>
      </w:r>
      <w:r w:rsidRPr="00417E34">
        <w:rPr>
          <w:szCs w:val="24"/>
        </w:rPr>
        <w:t>.</w:t>
      </w:r>
      <w:r w:rsidRPr="00417E34">
        <w:rPr>
          <w:szCs w:val="24"/>
        </w:rPr>
        <w:tab/>
        <w:t>zdůrazňuje, že přezkum by se měl zaměřit na posílení účinnosti a vymahatelnosti stávajícího rámce a zároveň řešit výzvy, které přinášejí rychle se vyvíjející technologie a ekosystémy, a to s plným využitím pravomocí dostupných v rámci stávajícího rámce, v případě potřeby i prostřednictvím vyjasnění a pokynů, a je třeba se vyhnout opětovnému projednávání hlavních cílů, oblasti působnosti nebo struktury nařízení o digitálních trzích, pokud to není jasně odůvodněno prokázanými nedostatky v prosazování nebo významnými změnami na trhu;</w:t>
      </w:r>
    </w:p>
    <w:p w14:paraId="2A193152" w14:textId="18B7A4CD" w:rsidR="00A8351F" w:rsidRPr="00417E34" w:rsidRDefault="00A8351F" w:rsidP="00417E34">
      <w:pPr>
        <w:pStyle w:val="NormalHanging12a"/>
        <w:rPr>
          <w:szCs w:val="24"/>
        </w:rPr>
      </w:pPr>
      <w:r w:rsidRPr="00A8351F">
        <w:rPr>
          <w:szCs w:val="24"/>
        </w:rPr>
        <w:t>3</w:t>
      </w:r>
      <w:r w:rsidR="00596227">
        <w:rPr>
          <w:szCs w:val="24"/>
        </w:rPr>
        <w:t>2</w:t>
      </w:r>
      <w:r w:rsidRPr="00A8351F">
        <w:rPr>
          <w:szCs w:val="24"/>
        </w:rPr>
        <w:t>.</w:t>
      </w:r>
      <w:r w:rsidRPr="00A8351F">
        <w:rPr>
          <w:szCs w:val="24"/>
        </w:rPr>
        <w:tab/>
        <w:t xml:space="preserve">zdůrazňuje, že účinné prosazování nařízení o digitálních trzích vyžaduje doplňkové využívání obecné politiky hospodářské soutěže a všech dalších nástrojů EU na ochranu obchodu a dohledu nad trhem, neboť systémová rizika pro spravedlnost a hospodářskou bezpečnost mohou vyplývat i z transakcí mimo oblast působnosti nařízení o digitálních trzích; v této souvislosti poukazuje na obavy týkající se akvizice společnosti </w:t>
      </w:r>
      <w:proofErr w:type="spellStart"/>
      <w:r w:rsidRPr="00A8351F">
        <w:rPr>
          <w:szCs w:val="24"/>
        </w:rPr>
        <w:t>Ceconomy</w:t>
      </w:r>
      <w:proofErr w:type="spellEnd"/>
      <w:r w:rsidRPr="00A8351F">
        <w:rPr>
          <w:szCs w:val="24"/>
        </w:rPr>
        <w:t xml:space="preserve"> AG společností JD.com, která by převedla kontrolu nad významnou evropskou maloobchodní a distribuční sítí na subjekt mimo EU, což by zvýšilo riziko přístupu států mimo EU k citlivým údajům o spotřebitelích a potenciálního narušení souvisejícího se státem poskytovanou finanční podporou; vyzývá Komisi, aby důsledně uplatňovala nařízení o zahraničních subvencích</w:t>
      </w:r>
      <w:r>
        <w:rPr>
          <w:rStyle w:val="FootnoteReference"/>
          <w:szCs w:val="24"/>
        </w:rPr>
        <w:footnoteReference w:id="14"/>
      </w:r>
      <w:r w:rsidRPr="00A8351F">
        <w:rPr>
          <w:szCs w:val="24"/>
        </w:rPr>
        <w:t xml:space="preserve"> a aby prozkoumala veškeré zahraniční subvence, které jsou základem této transakce i budoucích transakcí; vyzývá Komisi, aby posoudila rizika pro údaje evropských spotřebitelů podle nařízení o prověřování přímých zahraničních investic</w:t>
      </w:r>
      <w:r>
        <w:rPr>
          <w:rStyle w:val="FootnoteReference"/>
          <w:szCs w:val="24"/>
        </w:rPr>
        <w:footnoteReference w:id="15"/>
      </w:r>
      <w:r w:rsidRPr="00A8351F">
        <w:rPr>
          <w:szCs w:val="24"/>
        </w:rPr>
        <w:t xml:space="preserve"> a zajistila účinnou lokalizaci údajů v souladu se svrchovaností EU v oblasti údajů a rámcem pro prosazování nařízení o digitálních trzích</w:t>
      </w:r>
      <w:r>
        <w:rPr>
          <w:szCs w:val="24"/>
        </w:rPr>
        <w:t>;</w:t>
      </w:r>
    </w:p>
    <w:p w14:paraId="07FAEC53" w14:textId="762CD46C" w:rsidR="00E365E1" w:rsidRPr="00417E34" w:rsidRDefault="008E7049" w:rsidP="00417E34">
      <w:pPr>
        <w:pStyle w:val="NormalHanging12a"/>
        <w:rPr>
          <w:szCs w:val="24"/>
        </w:rPr>
      </w:pPr>
      <w:r w:rsidRPr="00417E34">
        <w:rPr>
          <w:szCs w:val="24"/>
        </w:rPr>
        <w:lastRenderedPageBreak/>
        <w:t>3</w:t>
      </w:r>
      <w:r w:rsidR="00596227">
        <w:rPr>
          <w:szCs w:val="24"/>
        </w:rPr>
        <w:t>3</w:t>
      </w:r>
      <w:r w:rsidRPr="00417E34">
        <w:rPr>
          <w:szCs w:val="24"/>
        </w:rPr>
        <w:t>.</w:t>
      </w:r>
      <w:r w:rsidRPr="00417E34">
        <w:rPr>
          <w:szCs w:val="24"/>
        </w:rPr>
        <w:tab/>
        <w:t>pověřuje svou předsedkyni, aby předala toto usnesení Komisi.</w:t>
      </w:r>
    </w:p>
    <w:sectPr w:rsidR="00E365E1" w:rsidRPr="00417E34" w:rsidSect="000C7E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650B3" w14:textId="77777777" w:rsidR="0047198C" w:rsidRPr="000C7E6C" w:rsidRDefault="0047198C">
      <w:r w:rsidRPr="000C7E6C">
        <w:separator/>
      </w:r>
    </w:p>
  </w:endnote>
  <w:endnote w:type="continuationSeparator" w:id="0">
    <w:p w14:paraId="2A16F593" w14:textId="77777777" w:rsidR="0047198C" w:rsidRPr="000C7E6C" w:rsidRDefault="0047198C">
      <w:r w:rsidRPr="000C7E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84EE6" w14:textId="77777777" w:rsidR="00064002" w:rsidRPr="000C7E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590EF" w14:textId="77777777" w:rsidR="00064002" w:rsidRPr="000C7E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ECED" w14:textId="77777777" w:rsidR="00064002" w:rsidRPr="000C7E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2B029" w14:textId="77777777" w:rsidR="0047198C" w:rsidRPr="000C7E6C" w:rsidRDefault="0047198C">
      <w:r w:rsidRPr="000C7E6C">
        <w:separator/>
      </w:r>
    </w:p>
  </w:footnote>
  <w:footnote w:type="continuationSeparator" w:id="0">
    <w:p w14:paraId="78D06CB9" w14:textId="77777777" w:rsidR="0047198C" w:rsidRPr="000C7E6C" w:rsidRDefault="0047198C">
      <w:r w:rsidRPr="000C7E6C">
        <w:continuationSeparator/>
      </w:r>
    </w:p>
  </w:footnote>
  <w:footnote w:id="1">
    <w:p w14:paraId="2021176A" w14:textId="619B678D" w:rsidR="008E7049" w:rsidRPr="000C7E6C" w:rsidRDefault="008E7049" w:rsidP="000C7E6C">
      <w:pPr>
        <w:pStyle w:val="FootnoteText"/>
        <w:ind w:left="567" w:hanging="567"/>
        <w:rPr>
          <w:sz w:val="24"/>
          <w:lang w:val="cs-CZ"/>
        </w:rPr>
      </w:pPr>
      <w:r w:rsidRPr="000C7E6C">
        <w:rPr>
          <w:rStyle w:val="FootnoteReference"/>
          <w:sz w:val="24"/>
          <w:lang w:val="cs-CZ"/>
        </w:rPr>
        <w:footnoteRef/>
      </w:r>
      <w:r w:rsidR="000C7E6C" w:rsidRPr="000C7E6C">
        <w:rPr>
          <w:sz w:val="24"/>
          <w:lang w:val="cs-CZ"/>
        </w:rPr>
        <w:t xml:space="preserve"> </w:t>
      </w:r>
      <w:r w:rsidR="000C7E6C" w:rsidRPr="000C7E6C">
        <w:rPr>
          <w:sz w:val="24"/>
          <w:lang w:val="cs-CZ"/>
        </w:rPr>
        <w:tab/>
      </w:r>
      <w:proofErr w:type="spellStart"/>
      <w:r w:rsidRPr="000C7E6C">
        <w:rPr>
          <w:sz w:val="24"/>
          <w:lang w:val="cs-CZ"/>
        </w:rPr>
        <w:t>Úř</w:t>
      </w:r>
      <w:proofErr w:type="spellEnd"/>
      <w:r w:rsidRPr="000C7E6C">
        <w:rPr>
          <w:sz w:val="24"/>
          <w:lang w:val="cs-CZ"/>
        </w:rPr>
        <w:t xml:space="preserve">. </w:t>
      </w:r>
      <w:proofErr w:type="spellStart"/>
      <w:r w:rsidRPr="000C7E6C">
        <w:rPr>
          <w:sz w:val="24"/>
          <w:lang w:val="cs-CZ"/>
        </w:rPr>
        <w:t>věst</w:t>
      </w:r>
      <w:proofErr w:type="spellEnd"/>
      <w:r w:rsidRPr="000C7E6C">
        <w:rPr>
          <w:sz w:val="24"/>
          <w:lang w:val="cs-CZ"/>
        </w:rPr>
        <w:t>. L 265, 12.10.2022, s. 1, ELI: </w:t>
      </w:r>
      <w:hyperlink r:id="rId1" w:tooltip="Umožňuje přístup k tomuto dokumentu prostřednictvím jeho identifikátoru ELI v rámci URI." w:history="1">
        <w:r w:rsidRPr="000C7E6C">
          <w:rPr>
            <w:rStyle w:val="Hyperlink"/>
            <w:sz w:val="24"/>
            <w:lang w:val="cs-CZ"/>
          </w:rPr>
          <w:t>http://data.europa.eu/eli/reg/2022/1925/oj</w:t>
        </w:r>
      </w:hyperlink>
      <w:r w:rsidRPr="000C7E6C">
        <w:rPr>
          <w:sz w:val="24"/>
          <w:lang w:val="cs-CZ"/>
        </w:rPr>
        <w:t>.</w:t>
      </w:r>
    </w:p>
  </w:footnote>
  <w:footnote w:id="2">
    <w:p w14:paraId="308C0CB5" w14:textId="3A2B14CD" w:rsidR="008E7049" w:rsidRPr="000C7E6C" w:rsidRDefault="008E7049" w:rsidP="000C7E6C">
      <w:pPr>
        <w:pStyle w:val="FootnoteText"/>
        <w:ind w:left="567" w:hanging="567"/>
        <w:rPr>
          <w:sz w:val="24"/>
          <w:lang w:val="cs-CZ"/>
        </w:rPr>
      </w:pPr>
      <w:r w:rsidRPr="000C7E6C">
        <w:rPr>
          <w:rStyle w:val="FootnoteReference"/>
          <w:sz w:val="24"/>
          <w:lang w:val="cs-CZ"/>
        </w:rPr>
        <w:footnoteRef/>
      </w:r>
      <w:r w:rsidR="000C7E6C" w:rsidRPr="000C7E6C">
        <w:rPr>
          <w:sz w:val="24"/>
          <w:lang w:val="cs-CZ"/>
        </w:rPr>
        <w:t xml:space="preserve"> </w:t>
      </w:r>
      <w:r w:rsidR="000C7E6C" w:rsidRPr="000C7E6C">
        <w:rPr>
          <w:sz w:val="24"/>
          <w:lang w:val="cs-CZ"/>
        </w:rPr>
        <w:tab/>
      </w:r>
      <w:proofErr w:type="spellStart"/>
      <w:r w:rsidRPr="000C7E6C">
        <w:rPr>
          <w:sz w:val="24"/>
          <w:lang w:val="cs-CZ"/>
        </w:rPr>
        <w:t>Úř</w:t>
      </w:r>
      <w:proofErr w:type="spellEnd"/>
      <w:r w:rsidRPr="000C7E6C">
        <w:rPr>
          <w:sz w:val="24"/>
          <w:lang w:val="cs-CZ"/>
        </w:rPr>
        <w:t xml:space="preserve">. </w:t>
      </w:r>
      <w:proofErr w:type="spellStart"/>
      <w:r w:rsidRPr="000C7E6C">
        <w:rPr>
          <w:sz w:val="24"/>
          <w:lang w:val="cs-CZ"/>
        </w:rPr>
        <w:t>věst</w:t>
      </w:r>
      <w:proofErr w:type="spellEnd"/>
      <w:r w:rsidRPr="000C7E6C">
        <w:rPr>
          <w:sz w:val="24"/>
          <w:lang w:val="cs-CZ"/>
        </w:rPr>
        <w:t>. C, C/2023/549, 27.10.2023, ELI: </w:t>
      </w:r>
      <w:hyperlink r:id="rId2" w:tgtFrame="_blank" w:tooltip="Umožňuje přístup k tomuto dokumentu prostřednictvím jeho identifikátoru ELI v rámci URI." w:history="1">
        <w:r w:rsidRPr="000C7E6C">
          <w:rPr>
            <w:rStyle w:val="Hyperlink"/>
            <w:sz w:val="24"/>
            <w:lang w:val="cs-CZ"/>
          </w:rPr>
          <w:t>http://data.europa.eu/eli/C/2023/549/oj</w:t>
        </w:r>
      </w:hyperlink>
      <w:r w:rsidRPr="000C7E6C">
        <w:rPr>
          <w:sz w:val="24"/>
          <w:lang w:val="cs-CZ"/>
        </w:rPr>
        <w:t>.</w:t>
      </w:r>
    </w:p>
  </w:footnote>
  <w:footnote w:id="3">
    <w:p w14:paraId="07D0555F" w14:textId="57F02412" w:rsidR="008E7049" w:rsidRPr="000C7E6C" w:rsidRDefault="008E7049" w:rsidP="000C7E6C">
      <w:pPr>
        <w:pStyle w:val="FootnoteText"/>
        <w:ind w:left="567" w:hanging="567"/>
        <w:rPr>
          <w:sz w:val="24"/>
          <w:lang w:val="cs-CZ"/>
        </w:rPr>
      </w:pPr>
      <w:r w:rsidRPr="000C7E6C">
        <w:rPr>
          <w:rStyle w:val="FootnoteReference"/>
          <w:sz w:val="24"/>
          <w:lang w:val="cs-CZ"/>
        </w:rPr>
        <w:footnoteRef/>
      </w:r>
      <w:r w:rsidR="000C7E6C" w:rsidRPr="000C7E6C">
        <w:rPr>
          <w:sz w:val="24"/>
          <w:lang w:val="cs-CZ"/>
        </w:rPr>
        <w:t xml:space="preserve"> </w:t>
      </w:r>
      <w:r w:rsidR="000C7E6C" w:rsidRPr="000C7E6C">
        <w:rPr>
          <w:sz w:val="24"/>
          <w:lang w:val="cs-CZ"/>
        </w:rPr>
        <w:tab/>
      </w:r>
      <w:proofErr w:type="spellStart"/>
      <w:r w:rsidRPr="000C7E6C">
        <w:rPr>
          <w:sz w:val="24"/>
          <w:lang w:val="cs-CZ"/>
        </w:rPr>
        <w:t>Úř</w:t>
      </w:r>
      <w:proofErr w:type="spellEnd"/>
      <w:r w:rsidRPr="000C7E6C">
        <w:rPr>
          <w:sz w:val="24"/>
          <w:lang w:val="cs-CZ"/>
        </w:rPr>
        <w:t xml:space="preserve">. </w:t>
      </w:r>
      <w:proofErr w:type="spellStart"/>
      <w:r w:rsidRPr="000C7E6C">
        <w:rPr>
          <w:sz w:val="24"/>
          <w:lang w:val="cs-CZ"/>
        </w:rPr>
        <w:t>věst</w:t>
      </w:r>
      <w:proofErr w:type="spellEnd"/>
      <w:r w:rsidRPr="000C7E6C">
        <w:rPr>
          <w:sz w:val="24"/>
          <w:lang w:val="cs-CZ"/>
        </w:rPr>
        <w:t>. C, C/2023/905, 15.11.2023, ELI: </w:t>
      </w:r>
      <w:hyperlink r:id="rId3" w:tgtFrame="_blank" w:tooltip="Umožňuje přístup k tomuto dokumentu prostřednictvím jeho identifikátoru ELI v rámci URI." w:history="1">
        <w:r w:rsidRPr="000C7E6C">
          <w:rPr>
            <w:rStyle w:val="Hyperlink"/>
            <w:sz w:val="24"/>
            <w:lang w:val="cs-CZ"/>
          </w:rPr>
          <w:t>http://data.europa.eu/eli/C/2023/905/oj</w:t>
        </w:r>
      </w:hyperlink>
      <w:r w:rsidRPr="000C7E6C">
        <w:rPr>
          <w:sz w:val="24"/>
          <w:lang w:val="cs-CZ"/>
        </w:rPr>
        <w:t>.</w:t>
      </w:r>
    </w:p>
  </w:footnote>
  <w:footnote w:id="4">
    <w:p w14:paraId="5E67DA47" w14:textId="6F75E8BF" w:rsidR="008E7049" w:rsidRPr="000C7E6C" w:rsidRDefault="008E7049" w:rsidP="000C7E6C">
      <w:pPr>
        <w:pStyle w:val="FootnoteText"/>
        <w:ind w:left="567" w:hanging="567"/>
        <w:rPr>
          <w:sz w:val="24"/>
          <w:lang w:val="cs-CZ"/>
        </w:rPr>
      </w:pPr>
      <w:r w:rsidRPr="000C7E6C">
        <w:rPr>
          <w:rStyle w:val="FootnoteReference"/>
          <w:sz w:val="24"/>
          <w:lang w:val="cs-CZ"/>
        </w:rPr>
        <w:footnoteRef/>
      </w:r>
      <w:r w:rsidR="000C7E6C" w:rsidRPr="000C7E6C">
        <w:rPr>
          <w:sz w:val="24"/>
          <w:lang w:val="cs-CZ"/>
        </w:rPr>
        <w:t xml:space="preserve"> </w:t>
      </w:r>
      <w:r w:rsidR="000C7E6C" w:rsidRPr="000C7E6C">
        <w:rPr>
          <w:sz w:val="24"/>
          <w:lang w:val="cs-CZ"/>
        </w:rPr>
        <w:tab/>
      </w:r>
      <w:proofErr w:type="spellStart"/>
      <w:r w:rsidRPr="000C7E6C">
        <w:rPr>
          <w:sz w:val="24"/>
          <w:lang w:val="cs-CZ"/>
        </w:rPr>
        <w:t>Úř</w:t>
      </w:r>
      <w:proofErr w:type="spellEnd"/>
      <w:r w:rsidRPr="000C7E6C">
        <w:rPr>
          <w:sz w:val="24"/>
          <w:lang w:val="cs-CZ"/>
        </w:rPr>
        <w:t xml:space="preserve">. </w:t>
      </w:r>
      <w:proofErr w:type="spellStart"/>
      <w:r w:rsidRPr="000C7E6C">
        <w:rPr>
          <w:sz w:val="24"/>
          <w:lang w:val="cs-CZ"/>
        </w:rPr>
        <w:t>věst</w:t>
      </w:r>
      <w:proofErr w:type="spellEnd"/>
      <w:r w:rsidRPr="000C7E6C">
        <w:rPr>
          <w:sz w:val="24"/>
          <w:lang w:val="cs-CZ"/>
        </w:rPr>
        <w:t>. C, C/2025/4646, 14.8.2025, ELI: </w:t>
      </w:r>
      <w:hyperlink r:id="rId4" w:tgtFrame="_blank" w:tooltip="Umožňuje přístup k tomuto dokumentu prostřednictvím jeho identifikátoru ELI v rámci URI." w:history="1">
        <w:r w:rsidRPr="000C7E6C">
          <w:rPr>
            <w:rStyle w:val="Hyperlink"/>
            <w:sz w:val="24"/>
            <w:lang w:val="cs-CZ"/>
          </w:rPr>
          <w:t>http://data.europa.eu/eli/C/2025/4646/oj</w:t>
        </w:r>
      </w:hyperlink>
      <w:r w:rsidRPr="000C7E6C">
        <w:rPr>
          <w:sz w:val="24"/>
          <w:lang w:val="cs-CZ"/>
        </w:rPr>
        <w:t>.</w:t>
      </w:r>
    </w:p>
  </w:footnote>
  <w:footnote w:id="5">
    <w:p w14:paraId="512DBB8B" w14:textId="4BBD9FF3" w:rsidR="008E7049" w:rsidRPr="000C7E6C" w:rsidRDefault="008E7049" w:rsidP="000C7E6C">
      <w:pPr>
        <w:pStyle w:val="FootnoteText"/>
        <w:ind w:left="567" w:hanging="567"/>
        <w:rPr>
          <w:sz w:val="24"/>
          <w:lang w:val="cs-CZ"/>
        </w:rPr>
      </w:pPr>
      <w:r w:rsidRPr="000C7E6C">
        <w:rPr>
          <w:rStyle w:val="FootnoteReference"/>
          <w:sz w:val="24"/>
          <w:lang w:val="cs-CZ"/>
        </w:rPr>
        <w:footnoteRef/>
      </w:r>
      <w:r w:rsidR="000C7E6C" w:rsidRPr="000C7E6C">
        <w:rPr>
          <w:sz w:val="24"/>
          <w:lang w:val="cs-CZ"/>
        </w:rPr>
        <w:t xml:space="preserve"> </w:t>
      </w:r>
      <w:r w:rsidR="000C7E6C" w:rsidRPr="000C7E6C">
        <w:rPr>
          <w:sz w:val="24"/>
          <w:lang w:val="cs-CZ"/>
        </w:rPr>
        <w:tab/>
      </w:r>
      <w:proofErr w:type="spellStart"/>
      <w:r w:rsidRPr="000C7E6C">
        <w:rPr>
          <w:sz w:val="24"/>
          <w:lang w:val="cs-CZ"/>
        </w:rPr>
        <w:t>Úř</w:t>
      </w:r>
      <w:proofErr w:type="spellEnd"/>
      <w:r w:rsidRPr="000C7E6C">
        <w:rPr>
          <w:sz w:val="24"/>
          <w:lang w:val="cs-CZ"/>
        </w:rPr>
        <w:t xml:space="preserve">. </w:t>
      </w:r>
      <w:proofErr w:type="spellStart"/>
      <w:r w:rsidRPr="000C7E6C">
        <w:rPr>
          <w:sz w:val="24"/>
          <w:lang w:val="cs-CZ"/>
        </w:rPr>
        <w:t>věst</w:t>
      </w:r>
      <w:proofErr w:type="spellEnd"/>
      <w:r w:rsidRPr="000C7E6C">
        <w:rPr>
          <w:sz w:val="24"/>
          <w:lang w:val="cs-CZ"/>
        </w:rPr>
        <w:t>. C, C/2023/552, 27.10.2023, ELI: </w:t>
      </w:r>
      <w:hyperlink r:id="rId5" w:tgtFrame="_blank" w:tooltip="Umožňuje přístup k tomuto dokumentu prostřednictvím jeho identifikátoru ELI v rámci URI." w:history="1">
        <w:r w:rsidRPr="000C7E6C">
          <w:rPr>
            <w:rStyle w:val="Hyperlink"/>
            <w:sz w:val="24"/>
            <w:lang w:val="cs-CZ"/>
          </w:rPr>
          <w:t>http://data.europa.eu/eli/C/2023/552/oj</w:t>
        </w:r>
      </w:hyperlink>
      <w:r w:rsidRPr="000C7E6C">
        <w:rPr>
          <w:sz w:val="24"/>
          <w:lang w:val="cs-CZ"/>
        </w:rPr>
        <w:t>.</w:t>
      </w:r>
    </w:p>
  </w:footnote>
  <w:footnote w:id="6">
    <w:p w14:paraId="6280B6F5" w14:textId="62488799" w:rsidR="008E7049" w:rsidRPr="000C7E6C" w:rsidRDefault="008E7049" w:rsidP="000C7E6C">
      <w:pPr>
        <w:pStyle w:val="FootnoteText"/>
        <w:ind w:left="567" w:hanging="567"/>
        <w:rPr>
          <w:sz w:val="24"/>
          <w:lang w:val="cs-CZ"/>
        </w:rPr>
      </w:pPr>
      <w:r w:rsidRPr="000C7E6C">
        <w:rPr>
          <w:rStyle w:val="FootnoteReference"/>
          <w:sz w:val="24"/>
          <w:lang w:val="cs-CZ"/>
        </w:rPr>
        <w:footnoteRef/>
      </w:r>
      <w:r w:rsidR="000C7E6C" w:rsidRPr="000C7E6C">
        <w:rPr>
          <w:sz w:val="24"/>
          <w:lang w:val="cs-CZ"/>
        </w:rPr>
        <w:t xml:space="preserve"> </w:t>
      </w:r>
      <w:r w:rsidR="000C7E6C" w:rsidRPr="000C7E6C">
        <w:rPr>
          <w:sz w:val="24"/>
          <w:lang w:val="cs-CZ"/>
        </w:rPr>
        <w:tab/>
      </w:r>
      <w:proofErr w:type="spellStart"/>
      <w:r w:rsidRPr="000C7E6C">
        <w:rPr>
          <w:sz w:val="24"/>
          <w:lang w:val="cs-CZ"/>
        </w:rPr>
        <w:t>Úř</w:t>
      </w:r>
      <w:proofErr w:type="spellEnd"/>
      <w:r w:rsidRPr="000C7E6C">
        <w:rPr>
          <w:sz w:val="24"/>
          <w:lang w:val="cs-CZ"/>
        </w:rPr>
        <w:t xml:space="preserve">. </w:t>
      </w:r>
      <w:proofErr w:type="spellStart"/>
      <w:r w:rsidRPr="000C7E6C">
        <w:rPr>
          <w:sz w:val="24"/>
          <w:lang w:val="cs-CZ"/>
        </w:rPr>
        <w:t>věst</w:t>
      </w:r>
      <w:proofErr w:type="spellEnd"/>
      <w:r w:rsidRPr="000C7E6C">
        <w:rPr>
          <w:sz w:val="24"/>
          <w:lang w:val="cs-CZ"/>
        </w:rPr>
        <w:t>. C, C/2023/1092, 23.11.2023, ELI: </w:t>
      </w:r>
      <w:hyperlink r:id="rId6" w:tgtFrame="_blank" w:tooltip="Umožňuje přístup k tomuto dokumentu prostřednictvím jeho identifikátoru ELI v rámci URI." w:history="1">
        <w:r w:rsidRPr="000C7E6C">
          <w:rPr>
            <w:rStyle w:val="Hyperlink"/>
            <w:sz w:val="24"/>
            <w:lang w:val="cs-CZ"/>
          </w:rPr>
          <w:t>http://data.europa.eu/eli/C/2023/1092/oj</w:t>
        </w:r>
      </w:hyperlink>
      <w:r w:rsidRPr="000C7E6C">
        <w:rPr>
          <w:sz w:val="24"/>
          <w:lang w:val="cs-CZ"/>
        </w:rPr>
        <w:t xml:space="preserve">. </w:t>
      </w:r>
    </w:p>
  </w:footnote>
  <w:footnote w:id="7">
    <w:p w14:paraId="7EF7D1AE" w14:textId="3623AC54" w:rsidR="008E7049" w:rsidRPr="000C7E6C" w:rsidRDefault="008E7049" w:rsidP="000C7E6C">
      <w:pPr>
        <w:pStyle w:val="FootnoteText"/>
        <w:ind w:left="567" w:hanging="567"/>
        <w:rPr>
          <w:sz w:val="24"/>
          <w:lang w:val="cs-CZ"/>
        </w:rPr>
      </w:pPr>
      <w:r w:rsidRPr="000C7E6C">
        <w:rPr>
          <w:rStyle w:val="FootnoteReference"/>
          <w:sz w:val="24"/>
          <w:lang w:val="cs-CZ"/>
        </w:rPr>
        <w:footnoteRef/>
      </w:r>
      <w:r w:rsidR="000C7E6C" w:rsidRPr="000C7E6C">
        <w:rPr>
          <w:sz w:val="24"/>
          <w:lang w:val="cs-CZ"/>
        </w:rPr>
        <w:t xml:space="preserve"> </w:t>
      </w:r>
      <w:r w:rsidR="000C7E6C" w:rsidRPr="000C7E6C">
        <w:rPr>
          <w:sz w:val="24"/>
          <w:lang w:val="cs-CZ"/>
        </w:rPr>
        <w:tab/>
      </w:r>
      <w:proofErr w:type="spellStart"/>
      <w:r w:rsidRPr="000C7E6C">
        <w:rPr>
          <w:sz w:val="24"/>
          <w:lang w:val="cs-CZ"/>
        </w:rPr>
        <w:t>Úř</w:t>
      </w:r>
      <w:proofErr w:type="spellEnd"/>
      <w:r w:rsidRPr="000C7E6C">
        <w:rPr>
          <w:sz w:val="24"/>
          <w:lang w:val="cs-CZ"/>
        </w:rPr>
        <w:t xml:space="preserve">. </w:t>
      </w:r>
      <w:proofErr w:type="spellStart"/>
      <w:r w:rsidRPr="000C7E6C">
        <w:rPr>
          <w:sz w:val="24"/>
          <w:lang w:val="cs-CZ"/>
        </w:rPr>
        <w:t>věst</w:t>
      </w:r>
      <w:proofErr w:type="spellEnd"/>
      <w:r w:rsidRPr="000C7E6C">
        <w:rPr>
          <w:sz w:val="24"/>
          <w:lang w:val="cs-CZ"/>
        </w:rPr>
        <w:t>. C, C/2023/551, 27.10.2023, ELI: </w:t>
      </w:r>
      <w:hyperlink r:id="rId7" w:tgtFrame="_blank" w:tooltip="Umožňuje přístup k tomuto dokumentu prostřednictvím jeho identifikátoru ELI v rámci URI." w:history="1">
        <w:r w:rsidRPr="000C7E6C">
          <w:rPr>
            <w:rStyle w:val="Hyperlink"/>
            <w:sz w:val="24"/>
            <w:lang w:val="cs-CZ"/>
          </w:rPr>
          <w:t>http://data.europa.eu/eli/C/2023/551/oj</w:t>
        </w:r>
      </w:hyperlink>
      <w:r w:rsidRPr="000C7E6C">
        <w:rPr>
          <w:sz w:val="24"/>
          <w:lang w:val="cs-CZ"/>
        </w:rPr>
        <w:t xml:space="preserve">. </w:t>
      </w:r>
    </w:p>
  </w:footnote>
  <w:footnote w:id="8">
    <w:p w14:paraId="04340A02" w14:textId="30DE1D69" w:rsidR="008E7049" w:rsidRPr="000C7E6C" w:rsidRDefault="008E7049" w:rsidP="000C7E6C">
      <w:pPr>
        <w:pStyle w:val="FootnoteText"/>
        <w:ind w:left="567" w:hanging="567"/>
        <w:rPr>
          <w:sz w:val="24"/>
          <w:lang w:val="cs-CZ"/>
        </w:rPr>
      </w:pPr>
      <w:r w:rsidRPr="000C7E6C">
        <w:rPr>
          <w:rStyle w:val="FootnoteReference"/>
          <w:sz w:val="24"/>
          <w:lang w:val="cs-CZ"/>
        </w:rPr>
        <w:footnoteRef/>
      </w:r>
      <w:r w:rsidR="000C7E6C" w:rsidRPr="000C7E6C">
        <w:rPr>
          <w:sz w:val="24"/>
          <w:lang w:val="cs-CZ"/>
        </w:rPr>
        <w:t xml:space="preserve"> </w:t>
      </w:r>
      <w:r w:rsidR="000C7E6C" w:rsidRPr="000C7E6C">
        <w:rPr>
          <w:sz w:val="24"/>
          <w:lang w:val="cs-CZ"/>
        </w:rPr>
        <w:tab/>
      </w:r>
      <w:proofErr w:type="spellStart"/>
      <w:r w:rsidRPr="000C7E6C">
        <w:rPr>
          <w:sz w:val="24"/>
          <w:lang w:val="cs-CZ"/>
        </w:rPr>
        <w:t>Úř</w:t>
      </w:r>
      <w:proofErr w:type="spellEnd"/>
      <w:r w:rsidRPr="000C7E6C">
        <w:rPr>
          <w:sz w:val="24"/>
          <w:lang w:val="cs-CZ"/>
        </w:rPr>
        <w:t xml:space="preserve">. </w:t>
      </w:r>
      <w:proofErr w:type="spellStart"/>
      <w:r w:rsidRPr="000C7E6C">
        <w:rPr>
          <w:sz w:val="24"/>
          <w:lang w:val="cs-CZ"/>
        </w:rPr>
        <w:t>věst</w:t>
      </w:r>
      <w:proofErr w:type="spellEnd"/>
      <w:r w:rsidRPr="000C7E6C">
        <w:rPr>
          <w:sz w:val="24"/>
          <w:lang w:val="cs-CZ"/>
        </w:rPr>
        <w:t xml:space="preserve">. </w:t>
      </w:r>
      <w:r w:rsidRPr="00417E34">
        <w:rPr>
          <w:sz w:val="24"/>
          <w:lang w:val="cs-CZ"/>
        </w:rPr>
        <w:t>C, C/2024/4374</w:t>
      </w:r>
      <w:r w:rsidRPr="000C7E6C">
        <w:rPr>
          <w:sz w:val="24"/>
          <w:lang w:val="cs-CZ"/>
        </w:rPr>
        <w:t>, 4.7.2024, ELI: </w:t>
      </w:r>
      <w:hyperlink r:id="rId8" w:tgtFrame="_blank" w:tooltip="Umožňuje přístup k tomuto dokumentu prostřednictvím jeho identifikátoru ELI v rámci URI." w:history="1">
        <w:r w:rsidRPr="000C7E6C">
          <w:rPr>
            <w:rStyle w:val="Hyperlink"/>
            <w:sz w:val="24"/>
            <w:lang w:val="cs-CZ"/>
          </w:rPr>
          <w:t>http://data.europa.eu/</w:t>
        </w:r>
        <w:proofErr w:type="spellStart"/>
        <w:r w:rsidRPr="000C7E6C">
          <w:rPr>
            <w:rStyle w:val="Hyperlink"/>
            <w:sz w:val="24"/>
            <w:lang w:val="cs-CZ"/>
          </w:rPr>
          <w:t>eli</w:t>
        </w:r>
        <w:proofErr w:type="spellEnd"/>
        <w:r w:rsidRPr="000C7E6C">
          <w:rPr>
            <w:rStyle w:val="Hyperlink"/>
            <w:sz w:val="24"/>
            <w:lang w:val="cs-CZ"/>
          </w:rPr>
          <w:t>/C/2024/4374/oj</w:t>
        </w:r>
      </w:hyperlink>
      <w:r w:rsidRPr="000C7E6C">
        <w:rPr>
          <w:sz w:val="24"/>
          <w:lang w:val="cs-CZ"/>
        </w:rPr>
        <w:t xml:space="preserve">. </w:t>
      </w:r>
    </w:p>
  </w:footnote>
  <w:footnote w:id="9">
    <w:p w14:paraId="5B70A3B3" w14:textId="48B73305" w:rsidR="008E7049" w:rsidRPr="000C7E6C" w:rsidRDefault="008E7049" w:rsidP="000C7E6C">
      <w:pPr>
        <w:pStyle w:val="FootnoteText"/>
        <w:ind w:left="567" w:hanging="567"/>
        <w:rPr>
          <w:sz w:val="24"/>
          <w:lang w:val="cs-CZ"/>
        </w:rPr>
      </w:pPr>
      <w:r w:rsidRPr="000C7E6C">
        <w:rPr>
          <w:rStyle w:val="FootnoteReference"/>
          <w:sz w:val="24"/>
          <w:lang w:val="cs-CZ"/>
        </w:rPr>
        <w:footnoteRef/>
      </w:r>
      <w:r w:rsidR="000C7E6C" w:rsidRPr="000C7E6C">
        <w:rPr>
          <w:sz w:val="24"/>
          <w:lang w:val="cs-CZ"/>
        </w:rPr>
        <w:t xml:space="preserve"> </w:t>
      </w:r>
      <w:r w:rsidR="000C7E6C" w:rsidRPr="000C7E6C">
        <w:rPr>
          <w:sz w:val="24"/>
          <w:lang w:val="cs-CZ"/>
        </w:rPr>
        <w:tab/>
      </w:r>
      <w:proofErr w:type="spellStart"/>
      <w:r w:rsidRPr="000C7E6C">
        <w:rPr>
          <w:sz w:val="24"/>
          <w:lang w:val="cs-CZ"/>
        </w:rPr>
        <w:t>Úř</w:t>
      </w:r>
      <w:proofErr w:type="spellEnd"/>
      <w:r w:rsidRPr="000C7E6C">
        <w:rPr>
          <w:sz w:val="24"/>
          <w:lang w:val="cs-CZ"/>
        </w:rPr>
        <w:t xml:space="preserve">. </w:t>
      </w:r>
      <w:proofErr w:type="spellStart"/>
      <w:r w:rsidRPr="000C7E6C">
        <w:rPr>
          <w:sz w:val="24"/>
          <w:lang w:val="cs-CZ"/>
        </w:rPr>
        <w:t>věst</w:t>
      </w:r>
      <w:proofErr w:type="spellEnd"/>
      <w:r w:rsidRPr="000C7E6C">
        <w:rPr>
          <w:sz w:val="24"/>
          <w:lang w:val="cs-CZ"/>
        </w:rPr>
        <w:t>. C, C/2024/4360, 4.7.2024, ELI: </w:t>
      </w:r>
      <w:hyperlink r:id="rId9" w:tgtFrame="_blank" w:tooltip="Umožňuje přístup k tomuto dokumentu prostřednictvím jeho identifikátoru ELI v rámci URI." w:history="1">
        <w:r w:rsidRPr="000C7E6C">
          <w:rPr>
            <w:rStyle w:val="Hyperlink"/>
            <w:sz w:val="24"/>
            <w:lang w:val="cs-CZ"/>
          </w:rPr>
          <w:t>http://data.europa.eu/eli/C/2024/4360/oj</w:t>
        </w:r>
      </w:hyperlink>
      <w:r w:rsidRPr="000C7E6C">
        <w:rPr>
          <w:sz w:val="24"/>
          <w:lang w:val="cs-CZ"/>
        </w:rPr>
        <w:t>.</w:t>
      </w:r>
    </w:p>
  </w:footnote>
  <w:footnote w:id="10">
    <w:p w14:paraId="0B44F3FB" w14:textId="5742561C" w:rsidR="008E7049" w:rsidRPr="000C7E6C" w:rsidRDefault="008E7049" w:rsidP="000C7E6C">
      <w:pPr>
        <w:pStyle w:val="FootnoteText"/>
        <w:ind w:left="567" w:hanging="567"/>
        <w:rPr>
          <w:sz w:val="24"/>
          <w:lang w:val="cs-CZ"/>
        </w:rPr>
      </w:pPr>
      <w:r w:rsidRPr="000C7E6C">
        <w:rPr>
          <w:rStyle w:val="FootnoteReference"/>
          <w:sz w:val="24"/>
          <w:lang w:val="cs-CZ"/>
        </w:rPr>
        <w:footnoteRef/>
      </w:r>
      <w:r w:rsidR="000C7E6C" w:rsidRPr="000C7E6C">
        <w:rPr>
          <w:sz w:val="24"/>
          <w:lang w:val="cs-CZ"/>
        </w:rPr>
        <w:t xml:space="preserve"> </w:t>
      </w:r>
      <w:r w:rsidR="000C7E6C" w:rsidRPr="000C7E6C">
        <w:rPr>
          <w:sz w:val="24"/>
          <w:lang w:val="cs-CZ"/>
        </w:rPr>
        <w:tab/>
      </w:r>
      <w:proofErr w:type="spellStart"/>
      <w:r w:rsidRPr="000C7E6C">
        <w:rPr>
          <w:sz w:val="24"/>
          <w:lang w:val="cs-CZ"/>
        </w:rPr>
        <w:t>Úř</w:t>
      </w:r>
      <w:proofErr w:type="spellEnd"/>
      <w:r w:rsidRPr="000C7E6C">
        <w:rPr>
          <w:sz w:val="24"/>
          <w:lang w:val="cs-CZ"/>
        </w:rPr>
        <w:t xml:space="preserve">. </w:t>
      </w:r>
      <w:proofErr w:type="spellStart"/>
      <w:r w:rsidRPr="000C7E6C">
        <w:rPr>
          <w:sz w:val="24"/>
          <w:lang w:val="cs-CZ"/>
        </w:rPr>
        <w:t>věst</w:t>
      </w:r>
      <w:proofErr w:type="spellEnd"/>
      <w:r w:rsidRPr="000C7E6C">
        <w:rPr>
          <w:sz w:val="24"/>
          <w:lang w:val="cs-CZ"/>
        </w:rPr>
        <w:t>. C, C/2025/3466, 27.6.2025, ELI: </w:t>
      </w:r>
      <w:hyperlink r:id="rId10" w:tgtFrame="_blank" w:tooltip="Umožňuje přístup k tomuto dokumentu prostřednictvím jeho identifikátoru ELI v rámci URI." w:history="1">
        <w:r w:rsidRPr="000C7E6C">
          <w:rPr>
            <w:rStyle w:val="Hyperlink"/>
            <w:sz w:val="24"/>
            <w:lang w:val="cs-CZ"/>
          </w:rPr>
          <w:t>http://data.europa.eu/eli/C/2025/3466/oj</w:t>
        </w:r>
      </w:hyperlink>
      <w:r w:rsidRPr="000C7E6C">
        <w:rPr>
          <w:sz w:val="24"/>
          <w:lang w:val="cs-CZ"/>
        </w:rPr>
        <w:t xml:space="preserve">. </w:t>
      </w:r>
    </w:p>
  </w:footnote>
  <w:footnote w:id="11">
    <w:p w14:paraId="6F509183" w14:textId="21156A2F" w:rsidR="008E7049" w:rsidRPr="000C7E6C" w:rsidRDefault="008E7049" w:rsidP="000C7E6C">
      <w:pPr>
        <w:pStyle w:val="FootnoteText"/>
        <w:ind w:left="567" w:hanging="567"/>
        <w:rPr>
          <w:sz w:val="24"/>
          <w:lang w:val="cs-CZ"/>
        </w:rPr>
      </w:pPr>
      <w:r w:rsidRPr="000C7E6C">
        <w:rPr>
          <w:rStyle w:val="FootnoteReference"/>
          <w:sz w:val="24"/>
          <w:lang w:val="cs-CZ"/>
        </w:rPr>
        <w:footnoteRef/>
      </w:r>
      <w:r w:rsidR="000C7E6C" w:rsidRPr="000C7E6C">
        <w:rPr>
          <w:sz w:val="24"/>
          <w:lang w:val="cs-CZ"/>
        </w:rPr>
        <w:t xml:space="preserve"> </w:t>
      </w:r>
      <w:r w:rsidR="000C7E6C" w:rsidRPr="000C7E6C">
        <w:rPr>
          <w:sz w:val="24"/>
          <w:lang w:val="cs-CZ"/>
        </w:rPr>
        <w:tab/>
      </w:r>
      <w:proofErr w:type="spellStart"/>
      <w:r w:rsidRPr="000C7E6C">
        <w:rPr>
          <w:sz w:val="24"/>
          <w:lang w:val="cs-CZ"/>
        </w:rPr>
        <w:t>Úř</w:t>
      </w:r>
      <w:proofErr w:type="spellEnd"/>
      <w:r w:rsidRPr="000C7E6C">
        <w:rPr>
          <w:sz w:val="24"/>
          <w:lang w:val="cs-CZ"/>
        </w:rPr>
        <w:t xml:space="preserve">. </w:t>
      </w:r>
      <w:proofErr w:type="spellStart"/>
      <w:r w:rsidRPr="000C7E6C">
        <w:rPr>
          <w:sz w:val="24"/>
          <w:lang w:val="cs-CZ"/>
        </w:rPr>
        <w:t>věst</w:t>
      </w:r>
      <w:proofErr w:type="spellEnd"/>
      <w:r w:rsidRPr="000C7E6C">
        <w:rPr>
          <w:sz w:val="24"/>
          <w:lang w:val="cs-CZ"/>
        </w:rPr>
        <w:t>. L 102, 17.4.2023, s. 6, ELI: </w:t>
      </w:r>
      <w:hyperlink r:id="rId11" w:tooltip="Umožňuje přístup k tomuto dokumentu prostřednictvím jeho identifikátoru ELI v rámci URI." w:history="1">
        <w:r w:rsidRPr="000C7E6C">
          <w:rPr>
            <w:rStyle w:val="Hyperlink"/>
            <w:sz w:val="24"/>
            <w:lang w:val="cs-CZ"/>
          </w:rPr>
          <w:t>http://data.europa.eu/eli/reg_impl/2023/814/oj</w:t>
        </w:r>
      </w:hyperlink>
      <w:r w:rsidRPr="000C7E6C">
        <w:rPr>
          <w:sz w:val="24"/>
          <w:lang w:val="cs-CZ"/>
        </w:rPr>
        <w:t xml:space="preserve">. </w:t>
      </w:r>
    </w:p>
  </w:footnote>
  <w:footnote w:id="12">
    <w:p w14:paraId="00EB4AAD" w14:textId="207B7A2F" w:rsidR="008E7049" w:rsidRPr="000C7E6C" w:rsidRDefault="008E7049" w:rsidP="000C7E6C">
      <w:pPr>
        <w:pStyle w:val="FootnoteText"/>
        <w:ind w:left="567" w:hanging="567"/>
        <w:rPr>
          <w:sz w:val="24"/>
          <w:lang w:val="cs-CZ"/>
        </w:rPr>
      </w:pPr>
      <w:r w:rsidRPr="000C7E6C">
        <w:rPr>
          <w:rStyle w:val="FootnoteReference"/>
          <w:sz w:val="24"/>
          <w:lang w:val="cs-CZ"/>
        </w:rPr>
        <w:footnoteRef/>
      </w:r>
      <w:r w:rsidR="000C7E6C" w:rsidRPr="000C7E6C">
        <w:rPr>
          <w:sz w:val="24"/>
          <w:lang w:val="cs-CZ"/>
        </w:rPr>
        <w:t xml:space="preserve"> </w:t>
      </w:r>
      <w:r w:rsidR="000C7E6C" w:rsidRPr="000C7E6C">
        <w:rPr>
          <w:sz w:val="24"/>
          <w:lang w:val="cs-CZ"/>
        </w:rPr>
        <w:tab/>
      </w:r>
      <w:r w:rsidRPr="000C7E6C">
        <w:rPr>
          <w:sz w:val="24"/>
          <w:lang w:val="cs-CZ"/>
        </w:rPr>
        <w:t>Nařízení Evropského parlamentu a Rady (EU) 2023/2854 ze dne 13. prosince 2023 o harmonizovaných pravidlech pro spravedlivý přístup k datům a jejich využívání a o změně nařízení (EU) 2017/2394 a směrnice (EU) 2020/1828 (nařízení o datech)</w:t>
      </w:r>
      <w:r w:rsidR="00417E34">
        <w:rPr>
          <w:sz w:val="24"/>
          <w:lang w:val="cs-CZ"/>
        </w:rPr>
        <w:t xml:space="preserve"> </w:t>
      </w:r>
      <w:r w:rsidRPr="000C7E6C">
        <w:rPr>
          <w:sz w:val="24"/>
          <w:lang w:val="cs-CZ"/>
        </w:rPr>
        <w:t>(</w:t>
      </w:r>
      <w:proofErr w:type="spellStart"/>
      <w:r w:rsidRPr="000C7E6C">
        <w:rPr>
          <w:sz w:val="24"/>
          <w:lang w:val="cs-CZ"/>
        </w:rPr>
        <w:t>Úř</w:t>
      </w:r>
      <w:proofErr w:type="spellEnd"/>
      <w:r w:rsidRPr="000C7E6C">
        <w:rPr>
          <w:sz w:val="24"/>
          <w:lang w:val="cs-CZ"/>
        </w:rPr>
        <w:t xml:space="preserve">. </w:t>
      </w:r>
      <w:proofErr w:type="spellStart"/>
      <w:r w:rsidRPr="000C7E6C">
        <w:rPr>
          <w:sz w:val="24"/>
          <w:lang w:val="cs-CZ"/>
        </w:rPr>
        <w:t>věst</w:t>
      </w:r>
      <w:proofErr w:type="spellEnd"/>
      <w:r w:rsidRPr="000C7E6C">
        <w:rPr>
          <w:sz w:val="24"/>
          <w:lang w:val="cs-CZ"/>
        </w:rPr>
        <w:t xml:space="preserve">. L, 2023/2854, 22.12.2023, ELI: </w:t>
      </w:r>
      <w:hyperlink r:id="rId12" w:history="1">
        <w:r w:rsidRPr="000C7E6C">
          <w:rPr>
            <w:rStyle w:val="Hyperlink"/>
            <w:sz w:val="24"/>
            <w:lang w:val="cs-CZ"/>
          </w:rPr>
          <w:t>http://data.europa.eu/eli/reg/2023/2854/oj</w:t>
        </w:r>
      </w:hyperlink>
      <w:r w:rsidRPr="000C7E6C">
        <w:rPr>
          <w:sz w:val="24"/>
          <w:lang w:val="cs-CZ"/>
        </w:rPr>
        <w:t>).</w:t>
      </w:r>
    </w:p>
  </w:footnote>
  <w:footnote w:id="13">
    <w:p w14:paraId="5D9C7A88" w14:textId="77A2701A" w:rsidR="008E7049" w:rsidRPr="000C7E6C" w:rsidRDefault="008E7049" w:rsidP="000C7E6C">
      <w:pPr>
        <w:pStyle w:val="FootnoteText"/>
        <w:ind w:left="567" w:hanging="567"/>
        <w:rPr>
          <w:sz w:val="24"/>
          <w:lang w:val="cs-CZ"/>
        </w:rPr>
      </w:pPr>
      <w:r w:rsidRPr="000C7E6C">
        <w:rPr>
          <w:rStyle w:val="FootnoteReference"/>
          <w:sz w:val="24"/>
          <w:lang w:val="cs-CZ"/>
        </w:rPr>
        <w:footnoteRef/>
      </w:r>
      <w:r w:rsidR="000C7E6C" w:rsidRPr="000C7E6C">
        <w:rPr>
          <w:sz w:val="24"/>
          <w:lang w:val="cs-CZ"/>
        </w:rPr>
        <w:t xml:space="preserve"> </w:t>
      </w:r>
      <w:r w:rsidR="000C7E6C" w:rsidRPr="000C7E6C">
        <w:rPr>
          <w:sz w:val="24"/>
          <w:lang w:val="cs-CZ"/>
        </w:rPr>
        <w:tab/>
      </w:r>
      <w:r w:rsidRPr="000C7E6C">
        <w:rPr>
          <w:sz w:val="24"/>
          <w:lang w:val="cs-CZ"/>
        </w:rPr>
        <w:t>Nařízení Evropského parlamentu a Rady (EU) 2024/1689 ze dne 13. června 2024, kterým se stanoví harmonizovaná pravidla pro umělou inteligenci a mění nařízení (ES) č. 300/2008, (EU) č. 167/2013, (EU) č. 168/2013, (EU) 2018/858, (EU) 2018/1139 a (EU) 2019/2144 a směrnice 2014/90/EU, (EU) 2016/797 a (EU) 2020/1828 (akt o umělé inteligenci) (</w:t>
      </w:r>
      <w:proofErr w:type="spellStart"/>
      <w:r w:rsidRPr="000C7E6C">
        <w:rPr>
          <w:sz w:val="24"/>
          <w:lang w:val="cs-CZ"/>
        </w:rPr>
        <w:t>Úř</w:t>
      </w:r>
      <w:proofErr w:type="spellEnd"/>
      <w:r w:rsidRPr="000C7E6C">
        <w:rPr>
          <w:sz w:val="24"/>
          <w:lang w:val="cs-CZ"/>
        </w:rPr>
        <w:t xml:space="preserve">. </w:t>
      </w:r>
      <w:proofErr w:type="spellStart"/>
      <w:r w:rsidRPr="000C7E6C">
        <w:rPr>
          <w:sz w:val="24"/>
          <w:lang w:val="cs-CZ"/>
        </w:rPr>
        <w:t>věst</w:t>
      </w:r>
      <w:proofErr w:type="spellEnd"/>
      <w:r w:rsidRPr="000C7E6C">
        <w:rPr>
          <w:sz w:val="24"/>
          <w:lang w:val="cs-CZ"/>
        </w:rPr>
        <w:t xml:space="preserve">. L, 2024/1689, 12.7.2024, ELI: </w:t>
      </w:r>
      <w:hyperlink r:id="rId13" w:history="1">
        <w:r w:rsidRPr="000C7E6C">
          <w:rPr>
            <w:rStyle w:val="Hyperlink"/>
            <w:sz w:val="24"/>
            <w:lang w:val="cs-CZ"/>
          </w:rPr>
          <w:t>http://data.europa.eu/eli/reg/2024/1689/oj</w:t>
        </w:r>
      </w:hyperlink>
      <w:r w:rsidRPr="000C7E6C">
        <w:rPr>
          <w:sz w:val="24"/>
          <w:lang w:val="cs-CZ"/>
        </w:rPr>
        <w:t>).</w:t>
      </w:r>
    </w:p>
  </w:footnote>
  <w:footnote w:id="14">
    <w:p w14:paraId="2B6A4003" w14:textId="274FD855" w:rsidR="00A8351F" w:rsidRPr="007272B9" w:rsidRDefault="00A8351F" w:rsidP="007272B9">
      <w:pPr>
        <w:pStyle w:val="FootnoteText"/>
        <w:ind w:left="567" w:hanging="567"/>
        <w:rPr>
          <w:sz w:val="24"/>
          <w:szCs w:val="24"/>
          <w:lang w:val="cs-CZ"/>
        </w:rPr>
      </w:pPr>
      <w:r w:rsidRPr="007272B9">
        <w:rPr>
          <w:rStyle w:val="FootnoteReference"/>
          <w:sz w:val="24"/>
          <w:szCs w:val="24"/>
        </w:rPr>
        <w:footnoteRef/>
      </w:r>
      <w:r w:rsidRPr="007272B9">
        <w:rPr>
          <w:sz w:val="24"/>
          <w:szCs w:val="24"/>
          <w:lang w:val="cs-CZ"/>
        </w:rPr>
        <w:t xml:space="preserve"> </w:t>
      </w:r>
      <w:r w:rsidRPr="007272B9">
        <w:rPr>
          <w:sz w:val="24"/>
          <w:szCs w:val="24"/>
          <w:lang w:val="cs-CZ"/>
        </w:rPr>
        <w:tab/>
        <w:t>Nařízení Evropského parlamentu a Rady (EU) 2022/2560 ze dne 14. prosince 2022 o zahraničních subvencích narušujících vnitřní trh (</w:t>
      </w:r>
      <w:proofErr w:type="spellStart"/>
      <w:r w:rsidRPr="007272B9">
        <w:rPr>
          <w:sz w:val="24"/>
          <w:szCs w:val="24"/>
          <w:lang w:val="cs-CZ"/>
        </w:rPr>
        <w:t>Úř</w:t>
      </w:r>
      <w:proofErr w:type="spellEnd"/>
      <w:r w:rsidRPr="007272B9">
        <w:rPr>
          <w:sz w:val="24"/>
          <w:szCs w:val="24"/>
          <w:lang w:val="cs-CZ"/>
        </w:rPr>
        <w:t xml:space="preserve">. </w:t>
      </w:r>
      <w:proofErr w:type="spellStart"/>
      <w:r w:rsidRPr="007272B9">
        <w:rPr>
          <w:sz w:val="24"/>
          <w:szCs w:val="24"/>
          <w:lang w:val="cs-CZ"/>
        </w:rPr>
        <w:t>věst</w:t>
      </w:r>
      <w:proofErr w:type="spellEnd"/>
      <w:r w:rsidRPr="007272B9">
        <w:rPr>
          <w:sz w:val="24"/>
          <w:szCs w:val="24"/>
          <w:lang w:val="cs-CZ"/>
        </w:rPr>
        <w:t xml:space="preserve">. L 330, 23.12.2022, s. 1, ELI: </w:t>
      </w:r>
      <w:hyperlink r:id="rId14" w:history="1">
        <w:r w:rsidRPr="0064034E">
          <w:rPr>
            <w:rStyle w:val="Hyperlink"/>
            <w:sz w:val="24"/>
            <w:szCs w:val="24"/>
            <w:lang w:val="fi-FI"/>
          </w:rPr>
          <w:t>http://data.europa.eu/eli/reg/2022/2560/oj</w:t>
        </w:r>
      </w:hyperlink>
      <w:r w:rsidRPr="007272B9">
        <w:rPr>
          <w:sz w:val="24"/>
          <w:szCs w:val="24"/>
          <w:lang w:val="cs-CZ"/>
        </w:rPr>
        <w:t>).</w:t>
      </w:r>
    </w:p>
  </w:footnote>
  <w:footnote w:id="15">
    <w:p w14:paraId="217010B0" w14:textId="6D3A2D9A" w:rsidR="00A8351F" w:rsidRPr="007272B9" w:rsidRDefault="00A8351F" w:rsidP="007272B9">
      <w:pPr>
        <w:pStyle w:val="FootnoteText"/>
        <w:ind w:left="567" w:hanging="567"/>
        <w:rPr>
          <w:lang w:val="cs-CZ"/>
        </w:rPr>
      </w:pPr>
      <w:r w:rsidRPr="007272B9">
        <w:rPr>
          <w:rStyle w:val="FootnoteReference"/>
          <w:sz w:val="24"/>
          <w:szCs w:val="24"/>
        </w:rPr>
        <w:footnoteRef/>
      </w:r>
      <w:r w:rsidRPr="007272B9">
        <w:rPr>
          <w:sz w:val="24"/>
          <w:szCs w:val="24"/>
          <w:lang w:val="cs-CZ"/>
        </w:rPr>
        <w:t xml:space="preserve"> </w:t>
      </w:r>
      <w:r w:rsidRPr="007272B9">
        <w:rPr>
          <w:sz w:val="24"/>
          <w:szCs w:val="24"/>
          <w:lang w:val="cs-CZ"/>
        </w:rPr>
        <w:tab/>
        <w:t>Nařízení Evropského parlamentu a Rady (EU) 2019/452 ze dne 19. března 2019, kterým se stanoví rámec pro prověřování přímých zahraničních investic směřujících do Unie (</w:t>
      </w:r>
      <w:proofErr w:type="spellStart"/>
      <w:r w:rsidRPr="007272B9">
        <w:rPr>
          <w:sz w:val="24"/>
          <w:szCs w:val="24"/>
          <w:lang w:val="cs-CZ"/>
        </w:rPr>
        <w:t>Úř</w:t>
      </w:r>
      <w:proofErr w:type="spellEnd"/>
      <w:r w:rsidRPr="007272B9">
        <w:rPr>
          <w:sz w:val="24"/>
          <w:szCs w:val="24"/>
          <w:lang w:val="cs-CZ"/>
        </w:rPr>
        <w:t xml:space="preserve">. </w:t>
      </w:r>
      <w:proofErr w:type="spellStart"/>
      <w:r w:rsidRPr="007272B9">
        <w:rPr>
          <w:sz w:val="24"/>
          <w:szCs w:val="24"/>
          <w:lang w:val="cs-CZ"/>
        </w:rPr>
        <w:t>věst</w:t>
      </w:r>
      <w:proofErr w:type="spellEnd"/>
      <w:r w:rsidRPr="007272B9">
        <w:rPr>
          <w:sz w:val="24"/>
          <w:szCs w:val="24"/>
          <w:lang w:val="cs-CZ"/>
        </w:rPr>
        <w:t xml:space="preserve">. L 79 I, 21.3.2019, s. 1, ELI: </w:t>
      </w:r>
      <w:hyperlink r:id="rId15" w:history="1">
        <w:r w:rsidRPr="0064034E">
          <w:rPr>
            <w:rStyle w:val="Hyperlink"/>
            <w:sz w:val="24"/>
            <w:szCs w:val="24"/>
            <w:lang w:val="fi-FI"/>
          </w:rPr>
          <w:t>http://data.europa.eu/eli/reg/2019/452/oj</w:t>
        </w:r>
      </w:hyperlink>
      <w:r w:rsidRPr="007272B9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C217" w14:textId="77777777" w:rsidR="00064002" w:rsidRPr="000C7E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2443C" w14:textId="77777777" w:rsidR="00064002" w:rsidRPr="000C7E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E15E" w14:textId="77777777" w:rsidR="00064002" w:rsidRPr="000C7E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902594">
    <w:abstractNumId w:val="9"/>
  </w:num>
  <w:num w:numId="2" w16cid:durableId="1330061848">
    <w:abstractNumId w:val="9"/>
  </w:num>
  <w:num w:numId="3" w16cid:durableId="2136167789">
    <w:abstractNumId w:val="7"/>
  </w:num>
  <w:num w:numId="4" w16cid:durableId="1297416669">
    <w:abstractNumId w:val="7"/>
  </w:num>
  <w:num w:numId="5" w16cid:durableId="971442521">
    <w:abstractNumId w:val="6"/>
  </w:num>
  <w:num w:numId="6" w16cid:durableId="125006875">
    <w:abstractNumId w:val="6"/>
  </w:num>
  <w:num w:numId="7" w16cid:durableId="1812674906">
    <w:abstractNumId w:val="5"/>
  </w:num>
  <w:num w:numId="8" w16cid:durableId="603221832">
    <w:abstractNumId w:val="5"/>
  </w:num>
  <w:num w:numId="9" w16cid:durableId="45842354">
    <w:abstractNumId w:val="4"/>
  </w:num>
  <w:num w:numId="10" w16cid:durableId="533229754">
    <w:abstractNumId w:val="4"/>
  </w:num>
  <w:num w:numId="11" w16cid:durableId="1796562174">
    <w:abstractNumId w:val="8"/>
  </w:num>
  <w:num w:numId="12" w16cid:durableId="1383753808">
    <w:abstractNumId w:val="8"/>
  </w:num>
  <w:num w:numId="13" w16cid:durableId="1925650171">
    <w:abstractNumId w:val="3"/>
  </w:num>
  <w:num w:numId="14" w16cid:durableId="224487744">
    <w:abstractNumId w:val="3"/>
  </w:num>
  <w:num w:numId="15" w16cid:durableId="740179166">
    <w:abstractNumId w:val="2"/>
  </w:num>
  <w:num w:numId="16" w16cid:durableId="1447695343">
    <w:abstractNumId w:val="2"/>
  </w:num>
  <w:num w:numId="17" w16cid:durableId="1536313193">
    <w:abstractNumId w:val="1"/>
  </w:num>
  <w:num w:numId="18" w16cid:durableId="503472481">
    <w:abstractNumId w:val="1"/>
  </w:num>
  <w:num w:numId="19" w16cid:durableId="456681616">
    <w:abstractNumId w:val="0"/>
  </w:num>
  <w:num w:numId="20" w16cid:durableId="2028289494">
    <w:abstractNumId w:val="0"/>
  </w:num>
  <w:num w:numId="21" w16cid:durableId="660892158">
    <w:abstractNumId w:val="9"/>
  </w:num>
  <w:num w:numId="22" w16cid:durableId="682166593">
    <w:abstractNumId w:val="7"/>
  </w:num>
  <w:num w:numId="23" w16cid:durableId="1078939772">
    <w:abstractNumId w:val="6"/>
  </w:num>
  <w:num w:numId="24" w16cid:durableId="256986056">
    <w:abstractNumId w:val="5"/>
  </w:num>
  <w:num w:numId="25" w16cid:durableId="2019381418">
    <w:abstractNumId w:val="4"/>
  </w:num>
  <w:num w:numId="26" w16cid:durableId="1835611692">
    <w:abstractNumId w:val="8"/>
  </w:num>
  <w:num w:numId="27" w16cid:durableId="1109276851">
    <w:abstractNumId w:val="3"/>
  </w:num>
  <w:num w:numId="28" w16cid:durableId="1213224727">
    <w:abstractNumId w:val="2"/>
  </w:num>
  <w:num w:numId="29" w16cid:durableId="194276974">
    <w:abstractNumId w:val="1"/>
  </w:num>
  <w:num w:numId="30" w16cid:durableId="1603952137">
    <w:abstractNumId w:val="0"/>
  </w:num>
  <w:num w:numId="31" w16cid:durableId="1409576293">
    <w:abstractNumId w:val="9"/>
  </w:num>
  <w:num w:numId="32" w16cid:durableId="1456873660">
    <w:abstractNumId w:val="7"/>
  </w:num>
  <w:num w:numId="33" w16cid:durableId="1730155991">
    <w:abstractNumId w:val="6"/>
  </w:num>
  <w:num w:numId="34" w16cid:durableId="419452214">
    <w:abstractNumId w:val="5"/>
  </w:num>
  <w:num w:numId="35" w16cid:durableId="1906792549">
    <w:abstractNumId w:val="4"/>
  </w:num>
  <w:num w:numId="36" w16cid:durableId="1295672262">
    <w:abstractNumId w:val="8"/>
  </w:num>
  <w:num w:numId="37" w16cid:durableId="741370988">
    <w:abstractNumId w:val="3"/>
  </w:num>
  <w:num w:numId="38" w16cid:durableId="1202130313">
    <w:abstractNumId w:val="2"/>
  </w:num>
  <w:num w:numId="39" w16cid:durableId="1018505561">
    <w:abstractNumId w:val="1"/>
  </w:num>
  <w:num w:numId="40" w16cid:durableId="1634825384">
    <w:abstractNumId w:val="0"/>
  </w:num>
  <w:num w:numId="41" w16cid:durableId="958075490">
    <w:abstractNumId w:val="10"/>
  </w:num>
  <w:num w:numId="42" w16cid:durableId="1486900755">
    <w:abstractNumId w:val="10"/>
  </w:num>
  <w:num w:numId="43" w16cid:durableId="705373740">
    <w:abstractNumId w:val="10"/>
  </w:num>
  <w:num w:numId="44" w16cid:durableId="12468368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90/2026"/>
    <w:docVar w:name="dvlangue" w:val="CS"/>
    <w:docVar w:name="dvnumam" w:val="0"/>
    <w:docVar w:name="dvpe" w:val="785.295"/>
    <w:docVar w:name="dvtitre" w:val="Usnesení Evropského parlamentu ze dne 30. dubna 2026 o prosazování nařízení o digitálních trzích(2026/2596(RSP))"/>
  </w:docVars>
  <w:rsids>
    <w:rsidRoot w:val="0047198C"/>
    <w:rsid w:val="00002272"/>
    <w:rsid w:val="00064002"/>
    <w:rsid w:val="000677B9"/>
    <w:rsid w:val="000831BA"/>
    <w:rsid w:val="000A42CC"/>
    <w:rsid w:val="000C7E6C"/>
    <w:rsid w:val="000E7DD9"/>
    <w:rsid w:val="0010095E"/>
    <w:rsid w:val="00107D91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7E34"/>
    <w:rsid w:val="00421060"/>
    <w:rsid w:val="0047198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227"/>
    <w:rsid w:val="005C2568"/>
    <w:rsid w:val="005F1B17"/>
    <w:rsid w:val="006037C0"/>
    <w:rsid w:val="0064034E"/>
    <w:rsid w:val="006631B6"/>
    <w:rsid w:val="00680577"/>
    <w:rsid w:val="006F74FA"/>
    <w:rsid w:val="007272B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049"/>
    <w:rsid w:val="00930C23"/>
    <w:rsid w:val="0093193B"/>
    <w:rsid w:val="009509D8"/>
    <w:rsid w:val="00950B64"/>
    <w:rsid w:val="00965661"/>
    <w:rsid w:val="00981893"/>
    <w:rsid w:val="00A1687D"/>
    <w:rsid w:val="00A43E52"/>
    <w:rsid w:val="00A4678D"/>
    <w:rsid w:val="00A778C7"/>
    <w:rsid w:val="00A8351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E6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D69FE7"/>
  <w15:chartTrackingRefBased/>
  <w15:docId w15:val="{AA078320-63CA-4C06-8131-9D073FA4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E7049"/>
    <w:pPr>
      <w:spacing w:before="480" w:after="240"/>
    </w:pPr>
  </w:style>
  <w:style w:type="paragraph" w:customStyle="1" w:styleId="NormalHanging12a">
    <w:name w:val="NormalHanging12a"/>
    <w:basedOn w:val="Normal"/>
    <w:rsid w:val="008E704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8E704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17E34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A83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4374/oj" TargetMode="External"/><Relationship Id="rId13" Type="http://schemas.openxmlformats.org/officeDocument/2006/relationships/hyperlink" Target="http://data.europa.eu/eli/reg/2024/1689/oj" TargetMode="External"/><Relationship Id="rId3" Type="http://schemas.openxmlformats.org/officeDocument/2006/relationships/hyperlink" Target="http://data.europa.eu/eli/C/2023/905/oj" TargetMode="External"/><Relationship Id="rId7" Type="http://schemas.openxmlformats.org/officeDocument/2006/relationships/hyperlink" Target="http://data.europa.eu/eli/C/2023/551/oj" TargetMode="External"/><Relationship Id="rId12" Type="http://schemas.openxmlformats.org/officeDocument/2006/relationships/hyperlink" Target="http://data.europa.eu/eli/reg/2023/2854/oj" TargetMode="External"/><Relationship Id="rId2" Type="http://schemas.openxmlformats.org/officeDocument/2006/relationships/hyperlink" Target="http://data.europa.eu/eli/C/2023/549/oj" TargetMode="External"/><Relationship Id="rId1" Type="http://schemas.openxmlformats.org/officeDocument/2006/relationships/hyperlink" Target="http://data.europa.eu/eli/reg/2022/1925/oj" TargetMode="External"/><Relationship Id="rId6" Type="http://schemas.openxmlformats.org/officeDocument/2006/relationships/hyperlink" Target="http://data.europa.eu/eli/C/2023/1092/oj" TargetMode="External"/><Relationship Id="rId11" Type="http://schemas.openxmlformats.org/officeDocument/2006/relationships/hyperlink" Target="http://data.europa.eu/eli/reg_impl/2023/814/oj" TargetMode="External"/><Relationship Id="rId5" Type="http://schemas.openxmlformats.org/officeDocument/2006/relationships/hyperlink" Target="http://data.europa.eu/eli/C/2023/552/oj" TargetMode="External"/><Relationship Id="rId15" Type="http://schemas.openxmlformats.org/officeDocument/2006/relationships/hyperlink" Target="http://data.europa.eu/eli/reg/2019/452/oj" TargetMode="External"/><Relationship Id="rId10" Type="http://schemas.openxmlformats.org/officeDocument/2006/relationships/hyperlink" Target="http://data.europa.eu/eli/C/2025/3466/oj" TargetMode="External"/><Relationship Id="rId4" Type="http://schemas.openxmlformats.org/officeDocument/2006/relationships/hyperlink" Target="http://data.europa.eu/eli/C/2025/4646/oj" TargetMode="External"/><Relationship Id="rId9" Type="http://schemas.openxmlformats.org/officeDocument/2006/relationships/hyperlink" Target="http://data.europa.eu/eli/C/2024/4360/oj" TargetMode="External"/><Relationship Id="rId14" Type="http://schemas.openxmlformats.org/officeDocument/2006/relationships/hyperlink" Target="http://data.europa.eu/eli/reg/2022/25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4313</Words>
  <Characters>26893</Characters>
  <Application>Microsoft Office Word</Application>
  <DocSecurity>0</DocSecurity>
  <Lines>224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2026-04-30T12:57:00Z</dcterms:created>
  <dcterms:modified xsi:type="dcterms:W3CDTF">2026-04-30T12:57:00Z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B10-0190/2026</vt:lpwstr>
  </property>
  <property fmtid="{D5CDD505-2E9C-101B-9397-08002B2CF9AE}" pid="4" name="&lt;Type&gt;">
    <vt:lpwstr>RR</vt:lpwstr>
  </property>
</Properties>
</file>