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BC8" w14:paraId="3F9E2A9E" w14:textId="77777777" w:rsidTr="0010095E">
        <w:trPr>
          <w:trHeight w:hRule="exact" w:val="1418"/>
        </w:trPr>
        <w:tc>
          <w:tcPr>
            <w:tcW w:w="6804" w:type="dxa"/>
            <w:shd w:val="clear" w:color="auto" w:fill="auto"/>
            <w:vAlign w:val="center"/>
          </w:tcPr>
          <w:p w14:paraId="7559EA68" w14:textId="77777777" w:rsidR="00751A4A" w:rsidRPr="003E2BC8" w:rsidRDefault="00330656" w:rsidP="0010095E">
            <w:pPr>
              <w:pStyle w:val="EPName"/>
            </w:pPr>
            <w:r w:rsidRPr="003E2BC8">
              <w:t>Europa-Parlamentet</w:t>
            </w:r>
          </w:p>
          <w:p w14:paraId="158286E7" w14:textId="77777777" w:rsidR="00751A4A" w:rsidRPr="003E2BC8" w:rsidRDefault="005F1B17" w:rsidP="005F1B17">
            <w:pPr>
              <w:pStyle w:val="EPTerm"/>
              <w:rPr>
                <w:rStyle w:val="HideTWBExt"/>
                <w:noProof w:val="0"/>
                <w:vanish w:val="0"/>
                <w:color w:val="auto"/>
              </w:rPr>
            </w:pPr>
            <w:r w:rsidRPr="003E2BC8">
              <w:t>2024</w:t>
            </w:r>
            <w:r w:rsidR="00817416" w:rsidRPr="003E2BC8">
              <w:t>-202</w:t>
            </w:r>
            <w:r w:rsidRPr="003E2BC8">
              <w:t>9</w:t>
            </w:r>
          </w:p>
        </w:tc>
        <w:tc>
          <w:tcPr>
            <w:tcW w:w="2268" w:type="dxa"/>
            <w:shd w:val="clear" w:color="auto" w:fill="auto"/>
          </w:tcPr>
          <w:p w14:paraId="4B7E1952" w14:textId="77777777" w:rsidR="00751A4A" w:rsidRPr="003E2BC8" w:rsidRDefault="00187494" w:rsidP="0010095E">
            <w:pPr>
              <w:pStyle w:val="EPLogo"/>
            </w:pPr>
            <w:r w:rsidRPr="003E2BC8">
              <w:rPr>
                <w:noProof/>
                <w:lang w:eastAsia="ja-JP"/>
              </w:rPr>
              <w:drawing>
                <wp:inline distT="0" distB="0" distL="0" distR="0" wp14:anchorId="67F35542" wp14:editId="7D1AAD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D5C258" w14:textId="77777777" w:rsidR="00D058B8" w:rsidRPr="003E2BC8" w:rsidRDefault="00D058B8" w:rsidP="004C5D52">
      <w:pPr>
        <w:pStyle w:val="LineTop"/>
      </w:pPr>
    </w:p>
    <w:p w14:paraId="708D86BA" w14:textId="77777777" w:rsidR="00680577" w:rsidRPr="003E2BC8" w:rsidRDefault="00330656" w:rsidP="00680577">
      <w:pPr>
        <w:pStyle w:val="EPBodyTA1"/>
      </w:pPr>
      <w:r w:rsidRPr="003E2BC8">
        <w:t>VEDTAGNE TEKSTER</w:t>
      </w:r>
    </w:p>
    <w:p w14:paraId="007688D5" w14:textId="77777777" w:rsidR="00D058B8" w:rsidRPr="003E2BC8" w:rsidRDefault="00D058B8" w:rsidP="00D058B8">
      <w:pPr>
        <w:pStyle w:val="LineBottom"/>
      </w:pPr>
    </w:p>
    <w:p w14:paraId="5E6BFF36" w14:textId="1CFA20E6" w:rsidR="00330656" w:rsidRPr="003E2BC8" w:rsidRDefault="00330656" w:rsidP="00330656">
      <w:pPr>
        <w:pStyle w:val="ATHeading1"/>
      </w:pPr>
      <w:bookmarkStart w:id="0" w:name="TANumber"/>
      <w:r w:rsidRPr="003E2BC8">
        <w:t>P10_</w:t>
      </w:r>
      <w:proofErr w:type="gramStart"/>
      <w:r w:rsidRPr="003E2BC8">
        <w:t>TA(</w:t>
      </w:r>
      <w:proofErr w:type="gramEnd"/>
      <w:r w:rsidRPr="003E2BC8">
        <w:t>2026)0</w:t>
      </w:r>
      <w:bookmarkEnd w:id="0"/>
      <w:r w:rsidR="00A532F1">
        <w:t>160</w:t>
      </w:r>
    </w:p>
    <w:p w14:paraId="702A9E6C" w14:textId="30250F6B" w:rsidR="00330656" w:rsidRPr="002E3994" w:rsidRDefault="002E3994" w:rsidP="00330656">
      <w:pPr>
        <w:pStyle w:val="ATHeading2"/>
      </w:pPr>
      <w:r w:rsidRPr="002E3994">
        <w:rPr>
          <w:bCs/>
        </w:rPr>
        <w:t>Håndhævelse af forordningen om digitale markeder</w:t>
      </w:r>
    </w:p>
    <w:p w14:paraId="2E0C7871" w14:textId="77777777" w:rsidR="00330656" w:rsidRPr="003E2BC8" w:rsidRDefault="00330656" w:rsidP="00330656">
      <w:pPr>
        <w:rPr>
          <w:i/>
          <w:vanish/>
        </w:rPr>
      </w:pPr>
      <w:r w:rsidRPr="003E2BC8">
        <w:rPr>
          <w:i/>
        </w:rPr>
        <w:fldChar w:fldCharType="begin"/>
      </w:r>
      <w:r w:rsidRPr="003E2BC8">
        <w:rPr>
          <w:i/>
        </w:rPr>
        <w:instrText xml:space="preserve"> TC"(</w:instrText>
      </w:r>
      <w:bookmarkStart w:id="1" w:name="DocNumber"/>
      <w:r w:rsidRPr="003E2BC8">
        <w:rPr>
          <w:i/>
        </w:rPr>
        <w:instrText>B10-0190/2026</w:instrText>
      </w:r>
      <w:bookmarkEnd w:id="1"/>
      <w:r w:rsidRPr="003E2BC8">
        <w:rPr>
          <w:i/>
        </w:rPr>
        <w:instrText xml:space="preserve">)"\l3 \n&gt; \* MERGEFORMAT </w:instrText>
      </w:r>
      <w:r w:rsidRPr="003E2BC8">
        <w:rPr>
          <w:i/>
        </w:rPr>
        <w:fldChar w:fldCharType="end"/>
      </w:r>
    </w:p>
    <w:p w14:paraId="2F754D69" w14:textId="77777777" w:rsidR="00330656" w:rsidRPr="003E2BC8" w:rsidRDefault="00330656" w:rsidP="00330656">
      <w:pPr>
        <w:rPr>
          <w:vanish/>
        </w:rPr>
      </w:pPr>
      <w:bookmarkStart w:id="2" w:name="PE"/>
      <w:r w:rsidRPr="003E2BC8">
        <w:rPr>
          <w:vanish/>
        </w:rPr>
        <w:t>PE785.295</w:t>
      </w:r>
      <w:bookmarkEnd w:id="2"/>
    </w:p>
    <w:p w14:paraId="42277E20" w14:textId="73D34478" w:rsidR="00330656" w:rsidRPr="003E2BC8" w:rsidRDefault="00330656" w:rsidP="00330656">
      <w:pPr>
        <w:pStyle w:val="ATHeading3"/>
      </w:pPr>
      <w:bookmarkStart w:id="3" w:name="Sujet"/>
      <w:r w:rsidRPr="003E2BC8">
        <w:t xml:space="preserve">Europa-Parlamentets beslutning af </w:t>
      </w:r>
      <w:r w:rsidR="00550F67">
        <w:t>30. april</w:t>
      </w:r>
      <w:r w:rsidRPr="003E2BC8">
        <w:t xml:space="preserve"> 2026 om håndhævelse af forordningen om digitale markeder</w:t>
      </w:r>
      <w:bookmarkEnd w:id="3"/>
      <w:r w:rsidRPr="003E2BC8">
        <w:t xml:space="preserve"> </w:t>
      </w:r>
      <w:bookmarkStart w:id="4" w:name="References"/>
      <w:r w:rsidRPr="003E2BC8">
        <w:t>(2026/2596(RSP))</w:t>
      </w:r>
      <w:bookmarkEnd w:id="4"/>
    </w:p>
    <w:p w14:paraId="75BB7CC2" w14:textId="77777777" w:rsidR="0061639A" w:rsidRPr="003E2BC8" w:rsidRDefault="0061639A" w:rsidP="0061639A">
      <w:pPr>
        <w:pStyle w:val="EPComma"/>
      </w:pPr>
      <w:bookmarkStart w:id="5" w:name="TextBodyBegin"/>
      <w:bookmarkEnd w:id="5"/>
      <w:r w:rsidRPr="003E2BC8">
        <w:rPr>
          <w:i/>
          <w:iCs/>
        </w:rPr>
        <w:t>Europa-Parlamentet,</w:t>
      </w:r>
    </w:p>
    <w:p w14:paraId="34AE2712" w14:textId="77777777" w:rsidR="0061639A" w:rsidRPr="003E2BC8" w:rsidRDefault="0061639A" w:rsidP="0061639A">
      <w:pPr>
        <w:pStyle w:val="NormalHanging12a"/>
      </w:pPr>
      <w:r w:rsidRPr="003E2BC8">
        <w:t>–</w:t>
      </w:r>
      <w:r w:rsidRPr="003E2BC8">
        <w:tab/>
        <w:t>der henviser til Europa-Parlamentets og Rådets forordning (EU) 2022/1925 af 14. september 2022 om åbne og fair markeder i den digitale sektor og om ændring af direktiv (EU) 2019/1937 og (EU) 2020/1828 (forordningen om digitale markeder)</w:t>
      </w:r>
      <w:r w:rsidRPr="003E2BC8">
        <w:rPr>
          <w:rStyle w:val="FootnoteReference"/>
        </w:rPr>
        <w:footnoteReference w:id="1"/>
      </w:r>
      <w:r w:rsidRPr="003E2BC8">
        <w:t>, særlig artikel 53,</w:t>
      </w:r>
    </w:p>
    <w:p w14:paraId="181DBC7A" w14:textId="62FDA553" w:rsidR="0061639A" w:rsidRPr="003E2BC8" w:rsidRDefault="0061639A" w:rsidP="0061639A">
      <w:pPr>
        <w:pStyle w:val="NormalHanging12a"/>
      </w:pPr>
      <w:r w:rsidRPr="003E2BC8">
        <w:t>–</w:t>
      </w:r>
      <w:r w:rsidRPr="003E2BC8">
        <w:tab/>
        <w:t>der henviser til forespørgsel til Kommissionen om håndhævelse af forordningen om digitale markeder (</w:t>
      </w:r>
      <w:r w:rsidR="009F3F2B" w:rsidRPr="009F3F2B">
        <w:t>O-000016/2026</w:t>
      </w:r>
      <w:r w:rsidRPr="003E2BC8">
        <w:t xml:space="preserve"> – B10</w:t>
      </w:r>
      <w:r w:rsidRPr="003E2BC8">
        <w:noBreakHyphen/>
      </w:r>
      <w:r w:rsidR="009F3F2B" w:rsidRPr="009F3F2B">
        <w:t>0010/2026</w:t>
      </w:r>
      <w:r w:rsidRPr="003E2BC8">
        <w:t>),</w:t>
      </w:r>
    </w:p>
    <w:p w14:paraId="47D44D1E" w14:textId="77777777" w:rsidR="0061639A" w:rsidRPr="003E2BC8" w:rsidRDefault="0061639A" w:rsidP="0061639A">
      <w:pPr>
        <w:pStyle w:val="NormalHanging12a"/>
        <w:rPr>
          <w:rFonts w:eastAsia="Aptos"/>
          <w:kern w:val="2"/>
          <w:szCs w:val="24"/>
          <w14:ligatures w14:val="standardContextual"/>
        </w:rPr>
      </w:pPr>
      <w:r w:rsidRPr="003E2BC8">
        <w:t>–</w:t>
      </w:r>
      <w:r w:rsidRPr="003E2BC8">
        <w:tab/>
        <w:t xml:space="preserve">der henviser til Kommissionens afgørelser af 6. september 2023, der er vedtaget i henhold til artikel 3 i forordning (EU) 2022/1925, om udpegelse af </w:t>
      </w:r>
      <w:proofErr w:type="spellStart"/>
      <w:r w:rsidRPr="003E2BC8">
        <w:t>Alphabet</w:t>
      </w:r>
      <w:proofErr w:type="spellEnd"/>
      <w:r w:rsidRPr="003E2BC8">
        <w:rPr>
          <w:rFonts w:eastAsia="MS Mincho"/>
          <w:vertAlign w:val="superscript"/>
          <w:lang w:eastAsia="en-US"/>
        </w:rPr>
        <w:footnoteReference w:id="2"/>
      </w:r>
      <w:r w:rsidRPr="003E2BC8">
        <w:t>, Amazon</w:t>
      </w:r>
      <w:r w:rsidRPr="003E2BC8">
        <w:rPr>
          <w:rFonts w:eastAsia="MS Mincho"/>
          <w:vertAlign w:val="superscript"/>
          <w:lang w:eastAsia="en-US"/>
        </w:rPr>
        <w:footnoteReference w:id="3"/>
      </w:r>
      <w:r w:rsidRPr="003E2BC8">
        <w:t>, Apple</w:t>
      </w:r>
      <w:r w:rsidRPr="003E2BC8">
        <w:rPr>
          <w:rFonts w:eastAsia="MS Mincho"/>
          <w:vertAlign w:val="superscript"/>
          <w:lang w:eastAsia="en-US"/>
        </w:rPr>
        <w:footnoteReference w:id="4"/>
      </w:r>
      <w:r w:rsidRPr="003E2BC8">
        <w:t xml:space="preserve">, </w:t>
      </w:r>
      <w:proofErr w:type="spellStart"/>
      <w:r w:rsidRPr="003E2BC8">
        <w:t>ByteDance</w:t>
      </w:r>
      <w:proofErr w:type="spellEnd"/>
      <w:r w:rsidRPr="003E2BC8">
        <w:rPr>
          <w:rFonts w:eastAsia="MS Mincho"/>
          <w:vertAlign w:val="superscript"/>
          <w:lang w:eastAsia="en-US"/>
        </w:rPr>
        <w:footnoteReference w:id="5"/>
      </w:r>
      <w:r w:rsidRPr="003E2BC8">
        <w:t>, Meta</w:t>
      </w:r>
      <w:r w:rsidRPr="003E2BC8">
        <w:rPr>
          <w:rFonts w:eastAsia="MS Mincho"/>
          <w:vertAlign w:val="superscript"/>
          <w:lang w:eastAsia="en-US"/>
        </w:rPr>
        <w:footnoteReference w:id="6"/>
      </w:r>
      <w:r w:rsidRPr="003E2BC8">
        <w:t xml:space="preserve"> og Microsoft</w:t>
      </w:r>
      <w:r w:rsidRPr="003E2BC8">
        <w:rPr>
          <w:rFonts w:eastAsia="MS Mincho"/>
          <w:vertAlign w:val="superscript"/>
          <w:lang w:eastAsia="en-US"/>
        </w:rPr>
        <w:footnoteReference w:id="7"/>
      </w:r>
      <w:r w:rsidRPr="003E2BC8">
        <w:t xml:space="preserve"> som gatekeepere for så vidt angår en række centrale platformstjenester,</w:t>
      </w:r>
    </w:p>
    <w:p w14:paraId="369F459A" w14:textId="77777777" w:rsidR="0061639A" w:rsidRPr="003E2BC8" w:rsidRDefault="0061639A" w:rsidP="0061639A">
      <w:pPr>
        <w:pStyle w:val="NormalHanging12a"/>
        <w:rPr>
          <w:rFonts w:eastAsia="Aptos"/>
          <w:kern w:val="2"/>
          <w:szCs w:val="24"/>
          <w14:ligatures w14:val="standardContextual"/>
        </w:rPr>
      </w:pPr>
      <w:r w:rsidRPr="003E2BC8">
        <w:t>–</w:t>
      </w:r>
      <w:r w:rsidRPr="003E2BC8">
        <w:tab/>
        <w:t>der henviser til Kommissionens afgørelser af 29. april 2024</w:t>
      </w:r>
      <w:r w:rsidRPr="003E2BC8">
        <w:rPr>
          <w:rFonts w:eastAsia="MS Mincho"/>
          <w:szCs w:val="24"/>
          <w:vertAlign w:val="superscript"/>
          <w:lang w:eastAsia="en-US"/>
        </w:rPr>
        <w:footnoteReference w:id="8"/>
      </w:r>
      <w:r w:rsidRPr="003E2BC8">
        <w:t xml:space="preserve">, der er vedtaget i henhold til artikel 3 i forordning (EU) 2022/1925, hvori Apples operativsystem </w:t>
      </w:r>
      <w:proofErr w:type="spellStart"/>
      <w:r w:rsidRPr="003E2BC8">
        <w:t>iPadOS</w:t>
      </w:r>
      <w:proofErr w:type="spellEnd"/>
      <w:r w:rsidRPr="003E2BC8">
        <w:t xml:space="preserve"> udpeges som en central platformstjeneste,</w:t>
      </w:r>
    </w:p>
    <w:p w14:paraId="173DE649" w14:textId="77777777" w:rsidR="0061639A" w:rsidRPr="003E2BC8" w:rsidRDefault="0061639A" w:rsidP="0061639A">
      <w:pPr>
        <w:pStyle w:val="NormalHanging12a"/>
        <w:rPr>
          <w:rFonts w:eastAsia="Aptos"/>
          <w:kern w:val="2"/>
          <w:szCs w:val="24"/>
          <w14:ligatures w14:val="standardContextual"/>
        </w:rPr>
      </w:pPr>
      <w:r w:rsidRPr="003E2BC8">
        <w:t>–</w:t>
      </w:r>
      <w:r w:rsidRPr="003E2BC8">
        <w:tab/>
        <w:t>der henviser til Kommissionens afgørelser af 13. maj 2024</w:t>
      </w:r>
      <w:r w:rsidRPr="003E2BC8">
        <w:rPr>
          <w:rFonts w:eastAsia="MS Mincho"/>
          <w:szCs w:val="24"/>
          <w:vertAlign w:val="superscript"/>
          <w:lang w:eastAsia="en-US"/>
        </w:rPr>
        <w:footnoteReference w:id="9"/>
      </w:r>
      <w:r w:rsidRPr="003E2BC8">
        <w:t>, der er vedtaget i henhold til artikel 3 i forordning (EU) 2022/1925, hvori Booking.com udpeges som gatekeeper for så vidt angår dens onlineformidlingstjenester,</w:t>
      </w:r>
    </w:p>
    <w:p w14:paraId="3CB840FB" w14:textId="77777777" w:rsidR="0061639A" w:rsidRPr="003E2BC8" w:rsidRDefault="0061639A" w:rsidP="0061639A">
      <w:pPr>
        <w:pStyle w:val="NormalHanging12a"/>
        <w:rPr>
          <w:rFonts w:eastAsia="Aptos"/>
          <w:kern w:val="2"/>
          <w:szCs w:val="24"/>
          <w14:ligatures w14:val="standardContextual"/>
        </w:rPr>
      </w:pPr>
      <w:r w:rsidRPr="003E2BC8">
        <w:lastRenderedPageBreak/>
        <w:t>–</w:t>
      </w:r>
      <w:r w:rsidRPr="003E2BC8">
        <w:tab/>
        <w:t>der henviser til Kommissionens afgørelse af 23. april 2025</w:t>
      </w:r>
      <w:r w:rsidRPr="003E2BC8">
        <w:rPr>
          <w:rFonts w:eastAsia="MS Mincho"/>
          <w:szCs w:val="24"/>
          <w:vertAlign w:val="superscript"/>
          <w:lang w:eastAsia="en-US"/>
        </w:rPr>
        <w:footnoteReference w:id="10"/>
      </w:r>
      <w:r w:rsidRPr="003E2BC8">
        <w:t>, der er vedtaget i henhold til artikel 29, stk. 1, litra a), artikel 30, stk. 1, litra a), og artikel 31, stk. 1, litra h), i forordning (EU) 2022/1925, der trækker udpegelsen af Metas Facebook Marketplace som en central platformstjeneste tilbage,</w:t>
      </w:r>
    </w:p>
    <w:p w14:paraId="03A1BB73" w14:textId="77777777" w:rsidR="0061639A" w:rsidRPr="003E2BC8" w:rsidRDefault="0061639A" w:rsidP="0061639A">
      <w:pPr>
        <w:pStyle w:val="NormalHanging12a"/>
        <w:rPr>
          <w:rFonts w:eastAsia="Aptos"/>
          <w:kern w:val="2"/>
          <w:szCs w:val="24"/>
          <w14:ligatures w14:val="standardContextual"/>
        </w:rPr>
      </w:pPr>
      <w:r w:rsidRPr="003E2BC8">
        <w:t>–</w:t>
      </w:r>
      <w:r w:rsidRPr="003E2BC8">
        <w:tab/>
        <w:t>Kommissionens gennemførelsesforordning (EU) 2023/814 af 14. april 2023 om nærmere bestemmelser for Kommissionens gennemførelse af visse procedurer i henhold til Europa-Parlamentets og Rådets forordning (EU) 2022/1925</w:t>
      </w:r>
      <w:r w:rsidRPr="003E2BC8">
        <w:rPr>
          <w:rFonts w:eastAsia="MS Mincho"/>
          <w:szCs w:val="24"/>
          <w:vertAlign w:val="superscript"/>
          <w:lang w:eastAsia="en-US"/>
        </w:rPr>
        <w:footnoteReference w:id="11"/>
      </w:r>
      <w:r w:rsidRPr="003E2BC8">
        <w:t>,</w:t>
      </w:r>
    </w:p>
    <w:p w14:paraId="29A11623" w14:textId="77777777" w:rsidR="0061639A" w:rsidRPr="003E2BC8" w:rsidRDefault="0061639A" w:rsidP="0061639A">
      <w:pPr>
        <w:pStyle w:val="NormalHanging12a"/>
      </w:pPr>
      <w:r w:rsidRPr="003E2BC8">
        <w:t>–</w:t>
      </w:r>
      <w:r w:rsidRPr="003E2BC8">
        <w:tab/>
        <w:t>der henviser til forretningsordenens artikel 142, stk. 5, og artikel 136, stk. 2,</w:t>
      </w:r>
    </w:p>
    <w:p w14:paraId="23DAFAAF" w14:textId="77777777" w:rsidR="0061639A" w:rsidRPr="003E2BC8" w:rsidRDefault="0061639A" w:rsidP="0061639A">
      <w:pPr>
        <w:pStyle w:val="NormalHanging12a"/>
      </w:pPr>
      <w:r w:rsidRPr="003E2BC8">
        <w:t>A.</w:t>
      </w:r>
      <w:r w:rsidRPr="003E2BC8">
        <w:tab/>
        <w:t>der henviser til, at forordningen om digitale markeder fastsætter en harmoniseret forudgående lovgivningsmæssig ramme for at sikre fair, åbne og konkurrencedygtige digitale markeder i hele EU, forhindre urimelig gatekeeperpraksis, sikre det indre markeds integritet og korrekte funktion, sikre effektiv og ikkediskriminerende anvendelse af forpligtelser over for alle udpegede gatekeepere, fjerne hindringer for adgang og fremme grænseoverskridende digitale tjenester, innovation, forbrugervalgmuligheder og fair konkurrence i hele EU;</w:t>
      </w:r>
    </w:p>
    <w:p w14:paraId="22CFC75E" w14:textId="77777777" w:rsidR="0061639A" w:rsidRPr="003E2BC8" w:rsidRDefault="0061639A" w:rsidP="0061639A">
      <w:pPr>
        <w:pStyle w:val="NormalHanging12a"/>
      </w:pPr>
      <w:r w:rsidRPr="003E2BC8">
        <w:t>B.</w:t>
      </w:r>
      <w:r w:rsidRPr="003E2BC8">
        <w:tab/>
        <w:t>der henviser til, at forordningen om digitale markeder har til formål at skabe reelle fordele for digitale markeder og sikre, at erhvervsbrugere og slutbrugere effektivt kan udøve deres rettigheder i henhold til forordningen, og at gatekeeperes praksis ikke længere skaber strukturelle hindringer for adgang eller evne til at vokse eller innovere på det indre marked og forhindrer "forbrugerfastlåsning", der afholder forbrugerne fra at skifte til en anden tjeneste;</w:t>
      </w:r>
    </w:p>
    <w:p w14:paraId="1820390B" w14:textId="77777777" w:rsidR="0061639A" w:rsidRPr="003E2BC8" w:rsidRDefault="0061639A" w:rsidP="0061639A">
      <w:pPr>
        <w:pStyle w:val="NormalHanging12a"/>
      </w:pPr>
      <w:r w:rsidRPr="003E2BC8">
        <w:t>C.</w:t>
      </w:r>
      <w:r w:rsidRPr="003E2BC8">
        <w:tab/>
        <w:t>der henviser til, at Parlamentet udøver demokratisk kontrol med gennemførelsen og håndhævelsen af forordningen om digitale markeder, navnlig gennem Udvalget om det Indre Marked og Forbrugerbeskyttelse (IMCO);</w:t>
      </w:r>
    </w:p>
    <w:p w14:paraId="273910F2" w14:textId="77777777" w:rsidR="0061639A" w:rsidRPr="003E2BC8" w:rsidRDefault="0061639A" w:rsidP="0061639A">
      <w:pPr>
        <w:pStyle w:val="NormalHanging12a"/>
      </w:pPr>
      <w:r w:rsidRPr="003E2BC8">
        <w:t>D.</w:t>
      </w:r>
      <w:r w:rsidRPr="003E2BC8">
        <w:tab/>
        <w:t>der henviser til, at den tidlige gennemførelse af forordningen om digitale markeder bekræfter dens betydning som et centralt instrument til at forbedre markedets åbenhed og retfærdighed, konkurrencen og brugernes valgmuligheder i EU, og understreger, at alle virksomheder, der opererer i EU, uanset størrelse eller oprindelse, fuldt ud skal respektere og overholde EU-retten;</w:t>
      </w:r>
    </w:p>
    <w:p w14:paraId="534BE55C" w14:textId="77777777" w:rsidR="0061639A" w:rsidRPr="003E2BC8" w:rsidRDefault="0061639A" w:rsidP="0061639A">
      <w:pPr>
        <w:pStyle w:val="NormalHanging12a"/>
      </w:pPr>
      <w:r w:rsidRPr="003E2BC8">
        <w:t>E.</w:t>
      </w:r>
      <w:r w:rsidRPr="003E2BC8">
        <w:tab/>
        <w:t>der henviser til, at gennemførelsen af forordningen om digitale markeder stadig befinder sig i en tidlig fase, og at den indebærer udfordringer med hensyn til rettidig og effektiv håndhævelse, overvågningskapacitet og visse overholdelsesløsningers praktiske effektivitet, navnlig i betragtning af kompleksiteten af de underliggende teknologier, udformningen af brugergrænseflader og valgarkitekturen;</w:t>
      </w:r>
    </w:p>
    <w:p w14:paraId="21AAE546" w14:textId="77777777" w:rsidR="0061639A" w:rsidRPr="003E2BC8" w:rsidRDefault="0061639A" w:rsidP="0061639A">
      <w:pPr>
        <w:pStyle w:val="NormalHanging12a"/>
      </w:pPr>
      <w:r w:rsidRPr="003E2BC8">
        <w:t>F.</w:t>
      </w:r>
      <w:r w:rsidRPr="003E2BC8">
        <w:tab/>
        <w:t>der henviser til, at mindre virksomheder, herunder nystartede virksomheder og innovative vækstvirksomheder, fortsat står over for barrierer og urimelige hindringer på digitale markeder, herunder diskriminerende praksis og restriktioner pålagt af gatekeepere, som kan hæmme innovation, begrænse konkurrencen og mindske mulighederne for vækst og i sidste ende reducere forbrugernes valgmuligheder;</w:t>
      </w:r>
    </w:p>
    <w:p w14:paraId="342A62A8" w14:textId="77777777" w:rsidR="0061639A" w:rsidRPr="003E2BC8" w:rsidRDefault="0061639A" w:rsidP="0061639A">
      <w:pPr>
        <w:pStyle w:val="NormalHanging12a"/>
      </w:pPr>
      <w:r w:rsidRPr="003E2BC8">
        <w:t>G.</w:t>
      </w:r>
      <w:r w:rsidRPr="003E2BC8">
        <w:tab/>
        <w:t xml:space="preserve">der henviser til, at informationsasymmetrier mellem gatekeepere og tilsynsmyndigheder samt begrænset gennemsigtighed med hensyn til overholdelsesforanstaltninger risikerer </w:t>
      </w:r>
      <w:r w:rsidRPr="003E2BC8">
        <w:lastRenderedPageBreak/>
        <w:t>at underminere effektivt tilsyn, ansvarlighed og tillid til håndhævelsen af forordningen om digitale markeder;</w:t>
      </w:r>
    </w:p>
    <w:p w14:paraId="591791A9" w14:textId="77777777" w:rsidR="0061639A" w:rsidRPr="003E2BC8" w:rsidRDefault="0061639A" w:rsidP="0061639A">
      <w:pPr>
        <w:pStyle w:val="NormalHanging12a"/>
      </w:pPr>
      <w:r w:rsidRPr="003E2BC8">
        <w:t>H.</w:t>
      </w:r>
      <w:r w:rsidRPr="003E2BC8">
        <w:tab/>
        <w:t xml:space="preserve">der henviser til, at </w:t>
      </w:r>
      <w:proofErr w:type="spellStart"/>
      <w:r w:rsidRPr="003E2BC8">
        <w:t>interoperabilitet</w:t>
      </w:r>
      <w:proofErr w:type="spellEnd"/>
      <w:r w:rsidRPr="003E2BC8">
        <w:t xml:space="preserve">, adgang til data, </w:t>
      </w:r>
      <w:proofErr w:type="spellStart"/>
      <w:r w:rsidRPr="003E2BC8">
        <w:t>dataportabilitet</w:t>
      </w:r>
      <w:proofErr w:type="spellEnd"/>
      <w:r w:rsidRPr="003E2BC8">
        <w:t xml:space="preserve"> og forebyggelse af selvbegunstigelse udgør centrale elementer i forordningen om digitale markeder og kræver vedvarende og streng håndhævelse, herunder når der opstår konkurrencemæssige skader som følge af standardindstillinger, teknisk integration eller økosystemvirkninger;</w:t>
      </w:r>
    </w:p>
    <w:p w14:paraId="783BD6EF" w14:textId="77777777" w:rsidR="0061639A" w:rsidRPr="003E2BC8" w:rsidRDefault="0061639A" w:rsidP="0061639A">
      <w:pPr>
        <w:pStyle w:val="NormalHanging12a"/>
      </w:pPr>
      <w:r w:rsidRPr="003E2BC8">
        <w:t>I.</w:t>
      </w:r>
      <w:r w:rsidRPr="003E2BC8">
        <w:tab/>
        <w:t xml:space="preserve">der henviser til, at flere forpligtelser i henhold til forordningen om digitale markeder afhænger af aktive brugervalg såsom at nægte samtykke, afinstallere </w:t>
      </w:r>
      <w:proofErr w:type="spellStart"/>
      <w:r w:rsidRPr="003E2BC8">
        <w:t>forudinstallerede</w:t>
      </w:r>
      <w:proofErr w:type="spellEnd"/>
      <w:r w:rsidRPr="003E2BC8">
        <w:t xml:space="preserve"> applikationer, ændre standardindstillinger og portere data, hvilket gør brugerbevidsthed og grænsefladedesign centralt for forordningens effektivitet;</w:t>
      </w:r>
    </w:p>
    <w:p w14:paraId="2AB18729" w14:textId="77777777" w:rsidR="0061639A" w:rsidRPr="003E2BC8" w:rsidRDefault="0061639A" w:rsidP="0061639A">
      <w:pPr>
        <w:pStyle w:val="NormalHanging12a"/>
      </w:pPr>
      <w:r w:rsidRPr="003E2BC8">
        <w:t>J.</w:t>
      </w:r>
      <w:r w:rsidRPr="003E2BC8">
        <w:tab/>
        <w:t xml:space="preserve">der henviser til, at der er observeret håndgribelige resultater med hensyn til at skabe fair, åbne og konkurrencedygtige digitale markeder, siden forordningen om digitale markeder trådte i kraft, da forbrugerne nu tilbydes forbedrede og mere neutrale valgskærme, når de vælger standardbrowsere og -applikationer, herunder under opsætning af enheder og gennem systemindstillinger, og er i stand til at indstille tredjepartstjenester som standardindstillinger i kategorier, der tidligere var begrænset til </w:t>
      </w:r>
      <w:proofErr w:type="spellStart"/>
      <w:r w:rsidRPr="003E2BC8">
        <w:t>forudinstallerede</w:t>
      </w:r>
      <w:proofErr w:type="spellEnd"/>
      <w:r w:rsidRPr="003E2BC8">
        <w:t xml:space="preserve"> tjenester;</w:t>
      </w:r>
    </w:p>
    <w:p w14:paraId="779AFEF1" w14:textId="77777777" w:rsidR="0061639A" w:rsidRPr="003E2BC8" w:rsidRDefault="0061639A" w:rsidP="0061639A">
      <w:pPr>
        <w:pStyle w:val="NormalHanging12a"/>
      </w:pPr>
      <w:r w:rsidRPr="003E2BC8">
        <w:t>K.</w:t>
      </w:r>
      <w:r w:rsidRPr="003E2BC8">
        <w:tab/>
        <w:t xml:space="preserve">der henviser til, at øgede </w:t>
      </w:r>
      <w:proofErr w:type="spellStart"/>
      <w:r w:rsidRPr="003E2BC8">
        <w:t>interoperabilitetskrav</w:t>
      </w:r>
      <w:proofErr w:type="spellEnd"/>
      <w:r w:rsidRPr="003E2BC8">
        <w:t xml:space="preserve"> også udvider forbrugernes valgmuligheder ved at gøre det muligt for en bredere vifte af forbundne og bærbare enheder og tjenester at fungere med centrale platformstjenester og dermed mindske afhængigheden af </w:t>
      </w:r>
      <w:proofErr w:type="spellStart"/>
      <w:r w:rsidRPr="003E2BC8">
        <w:t>forudinstallerede</w:t>
      </w:r>
      <w:proofErr w:type="spellEnd"/>
      <w:r w:rsidRPr="003E2BC8">
        <w:t xml:space="preserve"> økosystemer og bidrage til større fri markedsadgang og forbrugerautonomi;</w:t>
      </w:r>
    </w:p>
    <w:p w14:paraId="10335598" w14:textId="77777777" w:rsidR="0061639A" w:rsidRPr="003E2BC8" w:rsidRDefault="0061639A" w:rsidP="0061639A">
      <w:pPr>
        <w:pStyle w:val="NormalHanging12a"/>
      </w:pPr>
      <w:r w:rsidRPr="003E2BC8">
        <w:t>L.</w:t>
      </w:r>
      <w:r w:rsidRPr="003E2BC8">
        <w:tab/>
        <w:t>der henviser til, at succesen med forordningen om digitale markeder ikke kun bør vurderes på grundlag af formel overholdelse, men også på grundlag af, om dens mål nås i praksis og opfattes som legitime af slutbrugere, erhvervsbrugere og den brede offentlighed;</w:t>
      </w:r>
    </w:p>
    <w:p w14:paraId="1C676D61" w14:textId="77777777" w:rsidR="0061639A" w:rsidRPr="003E2BC8" w:rsidRDefault="0061639A" w:rsidP="0061639A">
      <w:pPr>
        <w:pStyle w:val="NormalHanging12a"/>
      </w:pPr>
      <w:r w:rsidRPr="003E2BC8">
        <w:t>M.</w:t>
      </w:r>
      <w:r w:rsidRPr="003E2BC8">
        <w:tab/>
        <w:t>der henviser til, at forordningen om digitale markeder indeholder en række håndhævelsesværktøjer, herunder reguleringsdialog, markedsundersøgelser og procedurer for manglende overholdelse, til at opdage, håndtere og pålægge bøder for overtrædelser; der henviser til, at effektive og forholdsmæssige bøder er afgørende for at sikre afskrækkelse og beskytte effektiviteten af forordningen om digitale markeder; der henviser til, at den teknologiske udvikling, herunder AI-drevne funktioner og cloudbaserede tjenester, skaber nye udfordringer for den frie markedsadgang og retfærdighed, som skal imødegås med en rettidig, ensartet og konsekvent anvendelse af bestemmelserne i forordningen om digitale markeder;</w:t>
      </w:r>
    </w:p>
    <w:p w14:paraId="46DBEED1" w14:textId="77777777" w:rsidR="0061639A" w:rsidRPr="003E2BC8" w:rsidRDefault="0061639A" w:rsidP="0061639A">
      <w:pPr>
        <w:pStyle w:val="NormalHanging12a"/>
      </w:pPr>
      <w:r w:rsidRPr="003E2BC8">
        <w:t>N.</w:t>
      </w:r>
      <w:r w:rsidRPr="003E2BC8">
        <w:tab/>
        <w:t>der henviser til, at den hurtige udvikling af generative AI-systemer og AI-drevne virtuelle assistenter i væsentlig grad ændrer konkurrencedynamikken, markedsstrukturerne, værdikæderne og brugernes adgang til digitale tjenester i hele EU med potentielle konsekvenser for den frie markedsadgang og retfærdigheden på de digitale markeder;</w:t>
      </w:r>
    </w:p>
    <w:p w14:paraId="7E6593D3" w14:textId="77777777" w:rsidR="0061639A" w:rsidRPr="003E2BC8" w:rsidRDefault="0061639A" w:rsidP="0061639A">
      <w:pPr>
        <w:pStyle w:val="NormalHanging12a"/>
      </w:pPr>
      <w:r w:rsidRPr="003E2BC8">
        <w:t>O.</w:t>
      </w:r>
      <w:r w:rsidRPr="003E2BC8">
        <w:tab/>
        <w:t xml:space="preserve">der henviser til, at forordningen om digitale markeder indeholder flere bestemmelser, der er relevante for at forhindre gatekeepere i at begrænse nye AI-udvikleres evne til at konkurrere og innovere, herunder forpligtelser vedrørende fair og ikkediskriminerende </w:t>
      </w:r>
      <w:r w:rsidRPr="003E2BC8">
        <w:lastRenderedPageBreak/>
        <w:t>rangordning, gennemsigtighed i reklametjenester og adgang til data;</w:t>
      </w:r>
    </w:p>
    <w:p w14:paraId="19E505EF" w14:textId="77777777" w:rsidR="0061639A" w:rsidRPr="003E2BC8" w:rsidRDefault="0061639A" w:rsidP="0061639A">
      <w:pPr>
        <w:pStyle w:val="NormalHanging12a"/>
      </w:pPr>
      <w:r w:rsidRPr="003E2BC8">
        <w:t>P.</w:t>
      </w:r>
      <w:r w:rsidRPr="003E2BC8">
        <w:tab/>
        <w:t xml:space="preserve">der henviser til, at cloud computing-tjenester i nogle tilfælde i stigende grad udgør et kritisk lag af digitale økosystemer, herunder til udvikling, udbredelse og skalering af AI-applikationer; der henviser til, at høje koncentrationsniveauer, skifteomkostninger, </w:t>
      </w:r>
      <w:proofErr w:type="spellStart"/>
      <w:r w:rsidRPr="003E2BC8">
        <w:t>interoperabilitetsbegrænsninger</w:t>
      </w:r>
      <w:proofErr w:type="spellEnd"/>
      <w:r w:rsidRPr="003E2BC8">
        <w:t xml:space="preserve"> og afhængighedsrisici i visse cloud-markedssegmenter kan give anledning til bekymringer svarende til dem, der behandles i forordningen om digitale markeder; der henviser til, at der blev indledt en undersøgelse i november 2025 for at vurdere, om Amazon og Microsoft bør udpeges som gatekeepere for deres cloud computing-tjenester, Amazon Web Services og Microsoft </w:t>
      </w:r>
      <w:proofErr w:type="spellStart"/>
      <w:r w:rsidRPr="003E2BC8">
        <w:t>Azure</w:t>
      </w:r>
      <w:proofErr w:type="spellEnd"/>
      <w:r w:rsidRPr="003E2BC8">
        <w:t>, og der henviser til, at der blev indledt en anden undersøgelse for at vurdere, om de nuværende forpligtelser i henhold til forordningen om digitale markeder er effektive med hensyn til at imødegå praksis, der begrænser konkurrenceevnen eller er urimelige i cloudsektoren; der henviser til, at ingen udbydere af cloud computing-tjenester hidtil er blevet udpeget som gatekeepere i henhold til forordningen;</w:t>
      </w:r>
    </w:p>
    <w:p w14:paraId="0221541B" w14:textId="77777777" w:rsidR="0061639A" w:rsidRPr="003E2BC8" w:rsidRDefault="0061639A" w:rsidP="0061639A">
      <w:pPr>
        <w:pStyle w:val="NormalHanging12a"/>
      </w:pPr>
      <w:r w:rsidRPr="003E2BC8">
        <w:t>Q.</w:t>
      </w:r>
      <w:r w:rsidRPr="003E2BC8">
        <w:tab/>
        <w:t>der henviser til, at adgang til computerkraft i stor skala, avancerede AI-modeller og data- og cloudinfrastruktur kan skabe nye strukturelle afhængighedsforhold og fastlåsningsvirkninger for økosystemer, der kan begrænse den frie markedsadgang, hvis de ikke håndteres korrekt i henhold til EU's lovgivningsmæssige ramme;</w:t>
      </w:r>
    </w:p>
    <w:p w14:paraId="53A43EB6" w14:textId="77777777" w:rsidR="0061639A" w:rsidRPr="003E2BC8" w:rsidRDefault="0061639A" w:rsidP="0061639A">
      <w:pPr>
        <w:pStyle w:val="NormalHanging12a"/>
      </w:pPr>
      <w:r w:rsidRPr="003E2BC8">
        <w:t>R.</w:t>
      </w:r>
      <w:r w:rsidRPr="003E2BC8">
        <w:tab/>
        <w:t>der henviser til, at tilstrækkelig institutionel kapacitet, teknisk ekspertise og ressourcer i Kommissionen er uundværlige for at sikre en effektiv, uafhængig og rettidig håndhævelse af forordningen om digitale markeder og for at bevare dens troværdighed og afskrækkende virkning;</w:t>
      </w:r>
    </w:p>
    <w:p w14:paraId="5F06C115" w14:textId="77777777" w:rsidR="0061639A" w:rsidRPr="003E2BC8" w:rsidRDefault="0061639A" w:rsidP="0061639A">
      <w:pPr>
        <w:pStyle w:val="NormalHanging12a"/>
      </w:pPr>
      <w:r w:rsidRPr="003E2BC8">
        <w:t>S.</w:t>
      </w:r>
      <w:r w:rsidRPr="003E2BC8">
        <w:tab/>
        <w:t>der henviser til, at Kommissionen i henhold til forordningen om digitale markeder er forpligtet til at foretage en periodisk revision af forordningen, hvilket giver mulighed for at vurdere håndhævelseseffektiviteten og dens fordele for forbrugerne, identificere gennemførelsesudfordringer og sikre, at forordningen om digitale markeder fortsat er egnet til formålet i lyset af den teknologiske udvikling, markedsudviklingen og nye former for AI-drevne økosystemer;</w:t>
      </w:r>
    </w:p>
    <w:p w14:paraId="212A21DD" w14:textId="77777777" w:rsidR="0061639A" w:rsidRPr="003E2BC8" w:rsidRDefault="0061639A" w:rsidP="0061639A">
      <w:pPr>
        <w:pStyle w:val="NormalHanging12a"/>
      </w:pPr>
      <w:r w:rsidRPr="003E2BC8">
        <w:t>1.</w:t>
      </w:r>
      <w:r w:rsidRPr="003E2BC8">
        <w:tab/>
        <w:t>bekræfter på ny, at en effektiv, rettidig og konsekvent håndhævelse af forordningen om digitale markeder samt Kommissionens politiske støtte er afgørende for at sikre et velfungerende indre marked og sikre håndgribelige fordele for forbrugere, erhvervsbrugere og innovatorer i hele EU;</w:t>
      </w:r>
    </w:p>
    <w:p w14:paraId="6861EFF4" w14:textId="77777777" w:rsidR="0061639A" w:rsidRPr="003E2BC8" w:rsidRDefault="0061639A" w:rsidP="0061639A">
      <w:pPr>
        <w:pStyle w:val="NormalHanging12a"/>
      </w:pPr>
      <w:r w:rsidRPr="003E2BC8">
        <w:t>2.</w:t>
      </w:r>
      <w:r w:rsidRPr="003E2BC8">
        <w:tab/>
        <w:t>udtrykker bekymring over politisk pres fra tredjelande, der indtrængende opfordrer EU til at genoverveje eller svække forordningen om digitale markeder, og understreger, at en sådan ekstern indblanding ikke må bringe EU's suverænitet og autonomi til at definere og håndhæve sine egne regler i fare; understreger, at forpligtelserne i forordningen om digitale markeder gælder på samme måde for alle udpegede gatekeepere, der leverer tjenester i EU, uanset deres etableringssted eller nationalitet;</w:t>
      </w:r>
    </w:p>
    <w:p w14:paraId="103F4739" w14:textId="77777777" w:rsidR="0061639A" w:rsidRPr="003E2BC8" w:rsidRDefault="0061639A" w:rsidP="0061639A">
      <w:pPr>
        <w:pStyle w:val="NormalHanging12a"/>
      </w:pPr>
      <w:r w:rsidRPr="003E2BC8">
        <w:t>3.</w:t>
      </w:r>
      <w:r w:rsidRPr="003E2BC8">
        <w:tab/>
        <w:t>opfordrer Kommissionen til at gøre fuld og proaktiv brug af alle de håndhævelsesinstrumenter, der er fastsat i forordningen om digitale markeder, markedsundersøgelser, herunder procedurer for manglende overholdelse, inspektioner, foreløbige foranstaltninger, bøder og tvangsbøder, for at forhindre omgåelse og sikre effektiv overholdelse;</w:t>
      </w:r>
    </w:p>
    <w:p w14:paraId="669C188B" w14:textId="77777777" w:rsidR="0061639A" w:rsidRPr="003E2BC8" w:rsidRDefault="0061639A" w:rsidP="0061639A">
      <w:pPr>
        <w:pStyle w:val="NormalHanging12a"/>
      </w:pPr>
      <w:r w:rsidRPr="003E2BC8">
        <w:t>4.</w:t>
      </w:r>
      <w:r w:rsidRPr="003E2BC8">
        <w:tab/>
        <w:t xml:space="preserve">understreger, at selv om Kommissionen fortsat har enekompetence til at håndhæve </w:t>
      </w:r>
      <w:r w:rsidRPr="003E2BC8">
        <w:lastRenderedPageBreak/>
        <w:t>forordningen om digitale markeder, kræver en effektiv, rettidig og konsekvent anvendelse af forordningen i hele EU et struktureret og tæt samarbejde med de nationale konkurrencemyndigheder og andre relevante nationale offentlige organer; understreger, at disse myndigheder inden for den ramme, der er fastsat i forordningen om digitale markeder, spiller en afgørende understøttende rolle, herunder ved at bistå undersøgelser og inspektioner, bidrage til markedsovervågning og lette udvekslingen af oplysninger og dermed styrke en effektiv og ensartet håndhævelse af forordningen om digitale markeder og sikre fair og åbne digitale markeder i hele EU;</w:t>
      </w:r>
    </w:p>
    <w:p w14:paraId="0D66673D" w14:textId="77777777" w:rsidR="0061639A" w:rsidRPr="003E2BC8" w:rsidRDefault="0061639A" w:rsidP="0061639A">
      <w:pPr>
        <w:pStyle w:val="NormalHanging12a"/>
      </w:pPr>
      <w:r w:rsidRPr="003E2BC8">
        <w:t>5.</w:t>
      </w:r>
      <w:r w:rsidRPr="003E2BC8">
        <w:tab/>
        <w:t>fremhæver, at sikring af åbenhed på markedet, herunder gennem effektiv anvendelse af forordningen om digitale markeder, er et væsentligt element i succesen med strategien for anvendelse af kunstig intelligens, der har til formål at fremme indførelsen og innovationen af AI i hele Europa, da effektiv fri markedsadgang på digitale markeder er en forudsætning for et åbent og retfærdigt europæisk AI-økosystem;</w:t>
      </w:r>
    </w:p>
    <w:p w14:paraId="2C93415D" w14:textId="77777777" w:rsidR="0061639A" w:rsidRPr="003E2BC8" w:rsidRDefault="0061639A" w:rsidP="0061639A">
      <w:pPr>
        <w:pStyle w:val="NormalHanging12a"/>
      </w:pPr>
      <w:r w:rsidRPr="003E2BC8">
        <w:t>6.</w:t>
      </w:r>
      <w:r w:rsidRPr="003E2BC8">
        <w:tab/>
        <w:t>opfordrer Kommissionen til at afslutte procedurerne for manglende overholdelse uden unødig forsinkelse og til at sikre rettidig håndhævelse i henhold til forordningen om digitale markeder, navnlig ved at overholde både bindende og vejledende frister, og til at holde Parlamentet behørigt underrettet om fremskridtene med håndhævelsen; understreger, at der er behov for større gennemsigtighed med hensyn til proceduremæssige skridt og tidsfrister for at sætte Parlamentet og navnlig IMCO-arbejdsgruppen om digitale markeder i stand til at udøve sine kontrolbeføjelser; opfordrer Kommissionen til proaktivt og regelmæssigt at underrette Parlamentet om status for håndhævelsen af forordningen om digitale markeder, herunder udviklingen i reguleringsdialogen, aktiviteterne og dagsordenen i gruppen på højt plan, relevante undersøgelser bestilt af Kommissionen og alle andre oplysninger, der er nødvendige for, at Parlamentet kan udøve sin tilsynsfunktion;</w:t>
      </w:r>
    </w:p>
    <w:p w14:paraId="283F5B16" w14:textId="77777777" w:rsidR="0061639A" w:rsidRPr="003E2BC8" w:rsidRDefault="0061639A" w:rsidP="0061639A">
      <w:pPr>
        <w:pStyle w:val="NormalHanging12a"/>
      </w:pPr>
      <w:r w:rsidRPr="003E2BC8">
        <w:t>7.</w:t>
      </w:r>
      <w:r w:rsidRPr="003E2BC8">
        <w:tab/>
        <w:t>opfordrer Kommissionen til at gøre fuld brug af gruppen på højt plan; fremhæver betydningen af en effektiv koordinering mellem tilsynsmyndighederne i lyset af det store antal nye regler og tilsynsmyndigheder, der er aktive på de digitale markeder;</w:t>
      </w:r>
    </w:p>
    <w:p w14:paraId="21962DB7" w14:textId="77777777" w:rsidR="0061639A" w:rsidRPr="003E2BC8" w:rsidRDefault="0061639A" w:rsidP="0061639A">
      <w:pPr>
        <w:pStyle w:val="NormalHanging12a"/>
      </w:pPr>
      <w:r w:rsidRPr="003E2BC8">
        <w:t>8.</w:t>
      </w:r>
      <w:r w:rsidRPr="003E2BC8">
        <w:tab/>
        <w:t>understreger, at overholdelsen af forordningen om digitale markeder skal vurderes på grundlag af dens praktiske og faktiske indvirkning på markedets åbenhed, konkurrence, innovation og brugernes valgmuligheder og dermed sikre retssikkerhed, forudsigelighed og ligebehandling;</w:t>
      </w:r>
    </w:p>
    <w:p w14:paraId="19648D57" w14:textId="77777777" w:rsidR="0061639A" w:rsidRPr="003E2BC8" w:rsidRDefault="0061639A" w:rsidP="0061639A">
      <w:pPr>
        <w:pStyle w:val="NormalHanging12a"/>
      </w:pPr>
      <w:r w:rsidRPr="003E2BC8">
        <w:t>9.</w:t>
      </w:r>
      <w:r w:rsidRPr="003E2BC8">
        <w:tab/>
        <w:t xml:space="preserve">opfordrer Kommissionen til at afhjælpe informationsasymmetrier ved at styrke mekanismer, der gør det muligt for erhvervsbrugere og slutbrugere effektivt at udøve deres rettigheder i henhold til forordningen om digitale markeder, herunder rettigheder vedrørende valgmuligheder, adgang til data, </w:t>
      </w:r>
      <w:proofErr w:type="spellStart"/>
      <w:r w:rsidRPr="003E2BC8">
        <w:t>interoperabilitet</w:t>
      </w:r>
      <w:proofErr w:type="spellEnd"/>
      <w:r w:rsidRPr="003E2BC8">
        <w:t>, ikkeforskelsbehandling og frihed fra repressalier, gennem tilgængelige og sikre indberetnings- og klagekanaler, garantier mod repressalier og øget bevidsthed om de rettigheder og retsmidler, der er fastsat i forordningen om digitale markeder, idet det anerkendes, at effektiviteten af forordningen om digitale markeder afhænger af stærke slutbrugere;</w:t>
      </w:r>
    </w:p>
    <w:p w14:paraId="418EFD80" w14:textId="77777777" w:rsidR="0061639A" w:rsidRPr="003E2BC8" w:rsidRDefault="0061639A" w:rsidP="0061639A">
      <w:pPr>
        <w:pStyle w:val="NormalHanging12a"/>
      </w:pPr>
      <w:r w:rsidRPr="003E2BC8">
        <w:t>10.</w:t>
      </w:r>
      <w:r w:rsidRPr="003E2BC8">
        <w:tab/>
        <w:t xml:space="preserve">opfordrer indtrængende Kommissionen til at prioritere streng håndhævelse af forpligtelser vedrørende </w:t>
      </w:r>
      <w:proofErr w:type="spellStart"/>
      <w:r w:rsidRPr="003E2BC8">
        <w:t>interoperabilitet</w:t>
      </w:r>
      <w:proofErr w:type="spellEnd"/>
      <w:r w:rsidRPr="003E2BC8">
        <w:t xml:space="preserve">, adgang til data, </w:t>
      </w:r>
      <w:proofErr w:type="spellStart"/>
      <w:r w:rsidRPr="003E2BC8">
        <w:t>dataportabilitet</w:t>
      </w:r>
      <w:proofErr w:type="spellEnd"/>
      <w:r w:rsidRPr="003E2BC8">
        <w:t xml:space="preserve">, bekæmpelse af styring og forbud mod selvbegunstigelse, herunder når der opstår konkurrencemæssige skader som følge af standardindstillinger, teknisk integration eller udformning af platformsøkosystemer; opfordrer Kommissionen til, når den fastsætter håndhævelsesprioriteter, at tage behørigt hensyn til relevante markedsudviklinger og </w:t>
      </w:r>
      <w:r w:rsidRPr="003E2BC8">
        <w:lastRenderedPageBreak/>
        <w:t>samspillet mellem gældende EU-instrumenter, herunder dataforordningen</w:t>
      </w:r>
      <w:r w:rsidRPr="003E2BC8">
        <w:rPr>
          <w:rStyle w:val="FootnoteReference"/>
        </w:rPr>
        <w:footnoteReference w:id="12"/>
      </w:r>
      <w:r w:rsidRPr="003E2BC8">
        <w:t>; bemærker, at den effektive gennemførelse og håndhævelse af forordningen om digitale markeder i visse tilfælde kan påvirkes af gatekeepernes interaktioner med konkurrenter og forretningspartnere, navnlig i situationer, hvor der er givet udtryk for betænkeligheder med hensyn til retfærdighed i forretningspraksis;</w:t>
      </w:r>
    </w:p>
    <w:p w14:paraId="259FE880" w14:textId="77777777" w:rsidR="0061639A" w:rsidRPr="003E2BC8" w:rsidRDefault="0061639A" w:rsidP="0061639A">
      <w:pPr>
        <w:pStyle w:val="NormalHanging12a"/>
      </w:pPr>
      <w:r w:rsidRPr="003E2BC8">
        <w:t>11.</w:t>
      </w:r>
      <w:r w:rsidRPr="003E2BC8">
        <w:tab/>
        <w:t xml:space="preserve">opfordrer Kommissionen til fortsat at arbejde hen imod at muliggøre </w:t>
      </w:r>
      <w:proofErr w:type="spellStart"/>
      <w:r w:rsidRPr="003E2BC8">
        <w:t>interoperabilitet</w:t>
      </w:r>
      <w:proofErr w:type="spellEnd"/>
      <w:r w:rsidRPr="003E2BC8">
        <w:t xml:space="preserve"> mellem beskedtjenester og mindre beskedapps fra tredjeparter efter anmodning, der giver brugerne mulighed for at udveksle tekst, filer og stemme-/videoopkald på tværs af platforme, samtidig med at end-to-end-kryptering opretholdes;</w:t>
      </w:r>
    </w:p>
    <w:p w14:paraId="02A7378B" w14:textId="77777777" w:rsidR="0061639A" w:rsidRPr="003E2BC8" w:rsidRDefault="0061639A" w:rsidP="0061639A">
      <w:pPr>
        <w:pStyle w:val="NormalHanging12a"/>
      </w:pPr>
      <w:r w:rsidRPr="003E2BC8">
        <w:t>12.</w:t>
      </w:r>
      <w:r w:rsidRPr="003E2BC8">
        <w:tab/>
        <w:t xml:space="preserve">udtrykker dyb bekymring over Googles vedvarende selvbegunstigende praksis på tværs af sine søge-, indkøbs-, rejse- og videotjenester, som fortsat forvrider konkurrencen og begrænser forbrugernes valgmuligheder; bemærker, at produktannoncer fortsat indtager en fremtrædende plads øverst i søgeresultaterne, hvilket fastholder et mønster med dominans og manglende gennemsigtighed, der undergraver hensigten med forordningen om digitale markeder; minder om, at de foreløbige konklusioner i henhold til artikel 6, stk. 5, i forordningen om digitale markeder viser, at Google anvender visuelle fordele og præferentiel positionering til at prioritere sine egne tjenester, herunder Google Shopping, Flights og Hotels, og dermed begrænser fair adgang for konkurrenter og styrker sin markedsstyrke; minder om, at nylige sager ved nationale domstole har bekræftet, at Googles selvbegunstigende praksis i forbindelse med søgetjenester skadede konkurrerende sammenligningsplatforme, som det fremgår af dommen fra 2025 i sagen </w:t>
      </w:r>
      <w:proofErr w:type="spellStart"/>
      <w:r w:rsidRPr="003E2BC8">
        <w:t>Idealo</w:t>
      </w:r>
      <w:proofErr w:type="spellEnd"/>
      <w:r w:rsidRPr="003E2BC8">
        <w:t xml:space="preserve"> mod Google ved den regionale domstol i Berlin; understreger, at gatekeeperes forsøg på at opretholde eller forlænge den manglende overholdelse af forordningen om digitale markeder derfor kan udsætte dem for et betydeligt økonomisk ansvar gennem opfølgende erstatningssøgsmål;</w:t>
      </w:r>
    </w:p>
    <w:p w14:paraId="640A7615" w14:textId="77777777" w:rsidR="0061639A" w:rsidRPr="003E2BC8" w:rsidRDefault="0061639A" w:rsidP="0061639A">
      <w:pPr>
        <w:pStyle w:val="NormalHanging12a"/>
      </w:pPr>
      <w:r w:rsidRPr="003E2BC8">
        <w:t>13.</w:t>
      </w:r>
      <w:r w:rsidRPr="003E2BC8">
        <w:tab/>
        <w:t>fremhæver, at Googles integration af AI i sine søgnings- og opdagelsesprocesser i stigende grad gør det muligt for virksomheden at kontrollere hele forbrugerrejsen – fra søgning og anbefalinger til hensigt om at købe – hvilket yderligere marginaliserer konkurrerende tjenester og mindsker forbrugernes evne til at træffe uafhængige valg; understreger, at denne dynamik risikerer at gøre uafhængige handlende til simple opfyldelseskanaler for Google, hvilket afspejler tidligere forsøg på at dominere handelen, som tidligere blev indskrænket, og at denne praksis uden klare garantier i henhold til forordningen om digitale markeder kan blive yderligere rodfæstet;</w:t>
      </w:r>
    </w:p>
    <w:p w14:paraId="0060F261" w14:textId="77777777" w:rsidR="0061639A" w:rsidRDefault="0061639A" w:rsidP="0061639A">
      <w:pPr>
        <w:pStyle w:val="NormalHanging12a"/>
      </w:pPr>
      <w:r w:rsidRPr="003E2BC8">
        <w:t>14.</w:t>
      </w:r>
      <w:r w:rsidRPr="003E2BC8">
        <w:tab/>
        <w:t>bemærker fremkomsten af alternative app-markedspladser på iOS i det indre marked, men udtrykker bekymring over, at deres praktiske levedygtighed og skalerbarhed fortsat er begrænset på grund af udformningen af brugerrejser og restriktive økonomiske og kontraktlige betingelser; fremhæver, at gatekeepere omstrukturerer deres gebyrer på en måde, der efterlader udviklerne dårligere stillet end status quo før forordningen om digitale markeder; opfordrer indtrængende Kommissionen til at vurdere, om Apples vilkår og betingelser for adgang er rimelige og ikkediskriminerende, som det kræves i henhold til artikel 6, stk. 12, i forordningen om digitale markeder;</w:t>
      </w:r>
    </w:p>
    <w:p w14:paraId="232C83DF" w14:textId="034C9CEE" w:rsidR="00A532F1" w:rsidRPr="003E2BC8" w:rsidRDefault="00A532F1" w:rsidP="0061639A">
      <w:pPr>
        <w:pStyle w:val="NormalHanging12a"/>
      </w:pPr>
      <w:r>
        <w:t>15.</w:t>
      </w:r>
      <w:r>
        <w:tab/>
      </w:r>
      <w:r w:rsidRPr="00A532F1">
        <w:t xml:space="preserve">bemærker, at visse gatekeepere, såsom som bl.a. Google for nylig bebudede, påberåber </w:t>
      </w:r>
      <w:r w:rsidRPr="00A532F1">
        <w:lastRenderedPageBreak/>
        <w:t xml:space="preserve">sig sikkerheds- og </w:t>
      </w:r>
      <w:proofErr w:type="spellStart"/>
      <w:r w:rsidRPr="00A532F1">
        <w:t>cybersikkerhedshensyn</w:t>
      </w:r>
      <w:proofErr w:type="spellEnd"/>
      <w:r w:rsidRPr="00A532F1">
        <w:t xml:space="preserve"> som begrundelse for at pålægge applikationsudviklere krav om registrering og identifikation, hvorved de begrænser den effektive adgang til alternative kanaler til distribution af applikationer på en måde, der kan være i strid med artikel 6, stk. 4, i forordningen om digitale markeder; opfordrer derfor Kommissionen til at undersøge, om de påberåbte sikkerhedsrelaterede foranstaltninger er strengt nødvendige og står i et rimeligt forhold til målet, og til at sikre, at de ikke anvendes som påskud for at omgå målene i forordningen om digitale markeder om at muliggøre reel tredjepartsadgang til software og derved sikre retfærdige, rimelige og ikkediskriminerende adgangsbetingelser, samtidig med at det sikres, at udviklerne er i stand til at lede brugerne i retning af alternative distributionskanaler;</w:t>
      </w:r>
    </w:p>
    <w:p w14:paraId="223F2930" w14:textId="26CE9550" w:rsidR="0061639A" w:rsidRPr="003E2BC8" w:rsidRDefault="00925822" w:rsidP="0061639A">
      <w:pPr>
        <w:pStyle w:val="NormalHanging12a"/>
      </w:pPr>
      <w:r>
        <w:t>16</w:t>
      </w:r>
      <w:r w:rsidR="0061639A" w:rsidRPr="003E2BC8">
        <w:t>.</w:t>
      </w:r>
      <w:r w:rsidR="0061639A" w:rsidRPr="003E2BC8">
        <w:tab/>
        <w:t xml:space="preserve">minder om, at erhvervsbrugere i henhold til artikel 5, stk. 4, i forordningen om digitale markeder bør kunne informere slutbrugerne gratis om alternative tilbud og styre dem i retning af disse tilbud og indgå kontrakter; bemærker, at betragtning 40 i forordningen om digitale markeder anerkender muligheden for vederlag for at lette den oprindelige erhvervelse af en slutbruger, samtidig med at det understreges, at et sådant vederlag skal være strengt begrænset til den oprindelige erhvervelse, være forholdsmæssig og ikke må underminere styringen i praksis; opfordrer indtrængende Kommissionen til at sikre, at Apples ændrede vilkår vurderes nøje i forhold til kravet i forordningen om digitale markeder om eventuelle anklager i forbindelse med styring, og at ethvert forsøg på omgåelse undersøges nøje og om nødvendigt sanktioneres uden at afvente resultatet af den igangværende amerikanske domstolsproces i sagen </w:t>
      </w:r>
      <w:proofErr w:type="spellStart"/>
      <w:r w:rsidR="0061639A" w:rsidRPr="003E2BC8">
        <w:t>Epic</w:t>
      </w:r>
      <w:proofErr w:type="spellEnd"/>
      <w:r w:rsidR="0061639A" w:rsidRPr="003E2BC8">
        <w:t xml:space="preserve"> Games mod Apple; understreger, at håndhævelsen af EU-retten bør forfølges uafhængigt af retssager i tredjelande;</w:t>
      </w:r>
    </w:p>
    <w:p w14:paraId="6C1BE7E2" w14:textId="5E42D6B5" w:rsidR="0061639A" w:rsidRPr="003E2BC8" w:rsidRDefault="00925822" w:rsidP="0061639A">
      <w:pPr>
        <w:pStyle w:val="NormalHanging12a"/>
      </w:pPr>
      <w:r>
        <w:t>17</w:t>
      </w:r>
      <w:r w:rsidR="0061639A" w:rsidRPr="003E2BC8">
        <w:t>.</w:t>
      </w:r>
      <w:r w:rsidR="0061639A" w:rsidRPr="003E2BC8">
        <w:tab/>
        <w:t xml:space="preserve">udtrykker bekymring over </w:t>
      </w:r>
      <w:proofErr w:type="spellStart"/>
      <w:r w:rsidR="0061639A" w:rsidRPr="003E2BC8">
        <w:t>TikTok</w:t>
      </w:r>
      <w:proofErr w:type="spellEnd"/>
      <w:r w:rsidR="0061639A" w:rsidRPr="003E2BC8">
        <w:t xml:space="preserve">, der drives af </w:t>
      </w:r>
      <w:proofErr w:type="spellStart"/>
      <w:r w:rsidR="0061639A" w:rsidRPr="003E2BC8">
        <w:t>ByteDance</w:t>
      </w:r>
      <w:proofErr w:type="spellEnd"/>
      <w:r w:rsidR="0061639A" w:rsidRPr="003E2BC8">
        <w:t xml:space="preserve">, og de bokse om samtykke, der anvendes på platformen, og som i høj grad er afhængige af adfærdsteknikker for at opnå brugerens samtykke; bemærker, at en sådan praksis kan underminere principperne om informeret og frivilligt givet samtykke og kan udgøre en overtrædelse af artikel 5, stk. 2, i forordningen om digitale markeder; understreger, at samtykkemekanismer skal være gennemsigtige, brugervenlige og reelt frivillige uden manipulerende design eller psykisk pres; opfordrer Kommissionen til nøje at overvåge </w:t>
      </w:r>
      <w:proofErr w:type="spellStart"/>
      <w:r w:rsidR="0061639A" w:rsidRPr="003E2BC8">
        <w:t>TikToks</w:t>
      </w:r>
      <w:proofErr w:type="spellEnd"/>
      <w:r w:rsidR="0061639A" w:rsidRPr="003E2BC8">
        <w:t xml:space="preserve"> samtykkepraksis og til at sikre, at eventuelle mekanismer, der ikke overholder reglerne, straks korrigeres for at opretholde brugernes autonomi og digitale rettigheder;</w:t>
      </w:r>
    </w:p>
    <w:p w14:paraId="059BC257" w14:textId="4533C3E2" w:rsidR="0061639A" w:rsidRPr="003E2BC8" w:rsidRDefault="00925822" w:rsidP="0061639A">
      <w:pPr>
        <w:pStyle w:val="NormalHanging12a"/>
      </w:pPr>
      <w:r>
        <w:t>18</w:t>
      </w:r>
      <w:r w:rsidR="0061639A" w:rsidRPr="003E2BC8">
        <w:t>.</w:t>
      </w:r>
      <w:r w:rsidR="0061639A" w:rsidRPr="003E2BC8">
        <w:tab/>
        <w:t xml:space="preserve">bemærker betydningen af Microsofts effektive overholdelse af artikel 6, stk. 3, i forordningen om digitale markeder, navnlig for så vidt angår forpligtelsen til at give slutbrugerne mulighed for og gøre det teknisk muligt for dem let at ændre standardindstillingerne på deres Windows PC–styresystem og få adgang til konkurrerende tjenester uden unødige gnidninger; bemærker, at integrationen af Bing som standardudbyder af onlinesøgeresultater i Windows Taskbar og vanskeligheden ved at ændre dette i urimelig grad kan lede brugerne i retning af Microsofts egne tjenester og begrænse brugernes reelle valgmuligheder; minder om, at Microsoft har forelagt Kommissionen overholdelsesforanstaltninger, men udtrykker bekymring over deres praktiske virkninger, herunder mulige hindringer for effektiv </w:t>
      </w:r>
      <w:proofErr w:type="spellStart"/>
      <w:r w:rsidR="0061639A" w:rsidRPr="003E2BC8">
        <w:t>interoperabilitet</w:t>
      </w:r>
      <w:proofErr w:type="spellEnd"/>
      <w:r w:rsidR="0061639A" w:rsidRPr="003E2BC8">
        <w:t xml:space="preserve"> inden for Windows-økosystemet; minder om, at disse foranstaltninger fortsat bør vurderes nøje af Kommissionen for at sikre effektive brugervalg og et retfærdigt og åbent miljø for tredjepartsudbydere i praksis, navnlig når den begrænsede eller langsomme mulighed for applikationsprogrammeringsgrænseflader for ikke-Microsoft-tjenester kan forhindre tredjepartsudviklere i at kunne levere en sammenlignelig oplevelse til slutbrugerne;</w:t>
      </w:r>
    </w:p>
    <w:p w14:paraId="437B332F" w14:textId="6DEE7EAE" w:rsidR="0061639A" w:rsidRPr="003E2BC8" w:rsidRDefault="00925822" w:rsidP="0061639A">
      <w:pPr>
        <w:pStyle w:val="NormalHanging12a"/>
      </w:pPr>
      <w:r>
        <w:lastRenderedPageBreak/>
        <w:t>19</w:t>
      </w:r>
      <w:r w:rsidR="0061639A" w:rsidRPr="003E2BC8">
        <w:t>.</w:t>
      </w:r>
      <w:r w:rsidR="0061639A" w:rsidRPr="003E2BC8">
        <w:tab/>
        <w:t xml:space="preserve">bemærker med bekymring rapporter fra forskellige interessenter i rejsebranchen om vedvarende høje provisionssatser og </w:t>
      </w:r>
      <w:proofErr w:type="spellStart"/>
      <w:r w:rsidR="0061639A" w:rsidRPr="003E2BC8">
        <w:t>Booking.coms</w:t>
      </w:r>
      <w:proofErr w:type="spellEnd"/>
      <w:r w:rsidR="0061639A" w:rsidRPr="003E2BC8">
        <w:t xml:space="preserve"> fortsatte anvendelse af praksisser, der synes at svare til forbudte paritetsklausuler, herunder resultatprogrammer for hoteller baseret på uigennemsigtige kriterier og vedvarende vanskeligheder med at fravælge </w:t>
      </w:r>
      <w:proofErr w:type="spellStart"/>
      <w:r w:rsidR="0061639A" w:rsidRPr="003E2BC8">
        <w:t>Booking.coms</w:t>
      </w:r>
      <w:proofErr w:type="spellEnd"/>
      <w:r w:rsidR="0061639A" w:rsidRPr="003E2BC8">
        <w:t xml:space="preserve"> sponsorerede betalingssystemer; minder om, at de nationale konkurrencemyndigheder, herunder i Frankrig og Spanien, har sanktioneret Booking.com i forbindelse med paritetsklausuler; opfordrer Kommissionen til at vurdere det nuværende niveau af fri markedsadgang i sektoren for onlinerejser siden </w:t>
      </w:r>
      <w:proofErr w:type="spellStart"/>
      <w:r w:rsidR="0061639A" w:rsidRPr="003E2BC8">
        <w:t>Booking.coms</w:t>
      </w:r>
      <w:proofErr w:type="spellEnd"/>
      <w:r w:rsidR="0061639A" w:rsidRPr="003E2BC8">
        <w:t xml:space="preserve"> udpegelse som gatekeeper og til at træffe afgørende foranstaltninger i overensstemmelse hermed;</w:t>
      </w:r>
    </w:p>
    <w:p w14:paraId="68677906" w14:textId="717EC149" w:rsidR="0061639A" w:rsidRPr="003E2BC8" w:rsidRDefault="00925822" w:rsidP="0061639A">
      <w:pPr>
        <w:pStyle w:val="NormalHanging12a"/>
      </w:pPr>
      <w:r>
        <w:t>20</w:t>
      </w:r>
      <w:r w:rsidR="0061639A" w:rsidRPr="003E2BC8">
        <w:t>.</w:t>
      </w:r>
      <w:r w:rsidR="0061639A" w:rsidRPr="003E2BC8">
        <w:tab/>
        <w:t>bemærker Metas gennemførelse af sin nye tredje mulighed for "betaling eller samtykke", der begrænser personaliseret reklame, og som blev lanceret i juli 2025 efter den bøde, som Kommissionen udstedte i april 2025; opfordrer Kommissionen til at sikre, at Meta nu reelt giver brugerne et neutralt valg, at tredjeparters adgang til Metas tjenester er retfærdig og uhindret, og at enhver omgåelse af kravene i forordningen om digitale markeder undersøges nøje og, hvor det er relevant, sanktioneres;</w:t>
      </w:r>
    </w:p>
    <w:p w14:paraId="649ACB0C" w14:textId="26C9F2E6" w:rsidR="0061639A" w:rsidRPr="003E2BC8" w:rsidRDefault="00925822" w:rsidP="0061639A">
      <w:pPr>
        <w:pStyle w:val="NormalHanging12a"/>
      </w:pPr>
      <w:r>
        <w:t>21</w:t>
      </w:r>
      <w:r w:rsidR="0061639A" w:rsidRPr="003E2BC8">
        <w:t>.</w:t>
      </w:r>
      <w:r w:rsidR="0061639A" w:rsidRPr="003E2BC8">
        <w:tab/>
        <w:t xml:space="preserve">udtrykker bekymring over praksis med internetforbundne </w:t>
      </w:r>
      <w:proofErr w:type="spellStart"/>
      <w:r w:rsidR="0061639A" w:rsidRPr="003E2BC8">
        <w:t>TV'er</w:t>
      </w:r>
      <w:proofErr w:type="spellEnd"/>
      <w:r w:rsidR="0061639A" w:rsidRPr="003E2BC8">
        <w:t xml:space="preserve">, der gentager den konkurrencestridige praksis, som Android tidligere har udøvet på smartphones; understreger, at adgangen til audiovisuelle medietjenester på internetforbundne </w:t>
      </w:r>
      <w:proofErr w:type="spellStart"/>
      <w:r w:rsidR="0061639A" w:rsidRPr="003E2BC8">
        <w:t>TV'er</w:t>
      </w:r>
      <w:proofErr w:type="spellEnd"/>
      <w:r w:rsidR="0061639A" w:rsidRPr="003E2BC8">
        <w:t xml:space="preserve"> ikke må kontrolleres af et lille antal store teknologivirksomheder, og at et åbent, retfærdigt og konkurrencedygtigt marked er afgørende for et pluralistisk og mangfoldigt medielandskab; understreger med hensyn til operativsystemer til internetforbundne </w:t>
      </w:r>
      <w:proofErr w:type="spellStart"/>
      <w:r w:rsidR="0061639A" w:rsidRPr="003E2BC8">
        <w:t>TV'er</w:t>
      </w:r>
      <w:proofErr w:type="spellEnd"/>
      <w:r w:rsidR="0061639A" w:rsidRPr="003E2BC8">
        <w:t>, at store udbydere af sådanne operativsystemer kontrollerer adgangen til flersidede markeder for seere, reklame og data; bemærker, at der kan opstå lignende gatekeeperkontrol over brugeradgangspunkter i andre forbundne miljøer, hvor styresystemer eller virtuelle assistenter formidler adgang til tjenester, herunder køretøjsmonterede infotainmentsystemer; opfordrer Kommissionen til nøje at overvåge dette markedssegment og træffe passende foranstaltninger, hvor det er nødvendigt;</w:t>
      </w:r>
    </w:p>
    <w:p w14:paraId="216C6C78" w14:textId="2C783241" w:rsidR="0061639A" w:rsidRPr="003E2BC8" w:rsidRDefault="00925822" w:rsidP="0061639A">
      <w:pPr>
        <w:pStyle w:val="NormalHanging12a"/>
      </w:pPr>
      <w:r>
        <w:t>22</w:t>
      </w:r>
      <w:r w:rsidR="0061639A" w:rsidRPr="003E2BC8">
        <w:t>.</w:t>
      </w:r>
      <w:r w:rsidR="0061639A" w:rsidRPr="003E2BC8">
        <w:tab/>
        <w:t xml:space="preserve">fremhæver slutbrugernes vigtige rolle med hensyn til at nå målene i forordningen om digitale markeder og understreger betydningen af at sikre, at brugergrænseflader, samtykkemekanismer og valgarkitekturer er neutrale, lette at anvende, forståelige og ikkemanipulerende, </w:t>
      </w:r>
      <w:proofErr w:type="gramStart"/>
      <w:r w:rsidR="0061639A" w:rsidRPr="003E2BC8">
        <w:t>således at</w:t>
      </w:r>
      <w:proofErr w:type="gramEnd"/>
      <w:r w:rsidR="0061639A" w:rsidRPr="003E2BC8">
        <w:t xml:space="preserve"> brugerne kan udøve deres rettigheder effektivt og uden unødige gnidninger;</w:t>
      </w:r>
    </w:p>
    <w:p w14:paraId="5789FAA7" w14:textId="1A2CB325" w:rsidR="0061639A" w:rsidRPr="003E2BC8" w:rsidRDefault="00925822" w:rsidP="0061639A">
      <w:pPr>
        <w:pStyle w:val="NormalHanging12a"/>
      </w:pPr>
      <w:r>
        <w:t>23</w:t>
      </w:r>
      <w:r w:rsidR="0061639A" w:rsidRPr="003E2BC8">
        <w:t>.</w:t>
      </w:r>
      <w:r w:rsidR="0061639A" w:rsidRPr="003E2BC8">
        <w:tab/>
        <w:t xml:space="preserve">opfordrer Kommissionen til at sikre en konsekvent og fremtidssikret anvendelse af forordningen om digitale markeder på den teknologiske udvikling ved rettidigt at tage fat på AI-drevne tjenester og cloudbaserede infrastrukturer med henblik på at forhindre nye former for fastlåsning, afskærmning eller </w:t>
      </w:r>
      <w:proofErr w:type="spellStart"/>
      <w:r w:rsidR="0061639A" w:rsidRPr="003E2BC8">
        <w:t>gatekeepingpraksis</w:t>
      </w:r>
      <w:proofErr w:type="spellEnd"/>
      <w:r w:rsidR="0061639A" w:rsidRPr="003E2BC8">
        <w:t>, herunder hvor gatekeepere udnytter kontrollen over data, computerressourcer eller integrerede tjenester til skade for nye AI-udviklere og innovative nye markedsdeltagere;</w:t>
      </w:r>
    </w:p>
    <w:p w14:paraId="6361C84F" w14:textId="3FE14984" w:rsidR="0061639A" w:rsidRPr="003E2BC8" w:rsidRDefault="00925822" w:rsidP="0061639A">
      <w:pPr>
        <w:pStyle w:val="NormalHanging12a"/>
      </w:pPr>
      <w:r>
        <w:t>24</w:t>
      </w:r>
      <w:r w:rsidR="0061639A" w:rsidRPr="003E2BC8">
        <w:t>.</w:t>
      </w:r>
      <w:r w:rsidR="0061639A" w:rsidRPr="003E2BC8">
        <w:tab/>
        <w:t xml:space="preserve">opfordrer Kommissionen til at sikre komplementaritet, sammenhæng og retssikkerhed mellem forordningen om digitale markeder, dataforordningen og forordningen om </w:t>
      </w:r>
      <w:r w:rsidR="0061639A" w:rsidRPr="003E2BC8">
        <w:lastRenderedPageBreak/>
        <w:t>kunstig intelligens</w:t>
      </w:r>
      <w:r w:rsidR="0061639A" w:rsidRPr="003E2BC8">
        <w:rPr>
          <w:rStyle w:val="FootnoteReference"/>
        </w:rPr>
        <w:footnoteReference w:id="13"/>
      </w:r>
      <w:r w:rsidR="0061639A" w:rsidRPr="003E2BC8">
        <w:t>, herunder gennem koordineret vejledning og gennemførelse;</w:t>
      </w:r>
    </w:p>
    <w:p w14:paraId="394E7144" w14:textId="323B08EF" w:rsidR="0061639A" w:rsidRPr="003E2BC8" w:rsidRDefault="00925822" w:rsidP="0061639A">
      <w:pPr>
        <w:pStyle w:val="NormalHanging12a"/>
      </w:pPr>
      <w:r>
        <w:t>25</w:t>
      </w:r>
      <w:r w:rsidR="0061639A" w:rsidRPr="003E2BC8">
        <w:t>.</w:t>
      </w:r>
      <w:r w:rsidR="0061639A" w:rsidRPr="003E2BC8">
        <w:tab/>
        <w:t>glæder sig over Kommissionens første afgørelser om manglende overholdelse i henhold til forordningen om digitale markeder som et vigtigt skridt i retning af at sikre effektiv håndhævelse, men beklager, at disse afgørelser fortsat har et begrænset anvendelsesområde og endnu ikke adresserer hele spektret af problematiske gatekeeperpraksisser, som erhvervsbrugere og andre interessenter har identificeret; beklager endvidere, at de pålagte bøder er relativt beskedne i forhold til overtrædelsernes omfang og de udpegede gatekeeperes økonomiske magt, hvilket risikerer at have en utilstrækkelig afskrækkende virkning og ikke afspejler forordningens ambition; understreger, at den overordnede håndhævelsesramme bør sikre, at de forventede omkostninger ved manglende overholdelse, herunder bøder og tvangsbøder, systematisk overstiger omkostningerne ved overholdelse fra begyndelsen for at forhindre strategiske forsinkelser og sikre en reel afskrækkende virkning;</w:t>
      </w:r>
    </w:p>
    <w:p w14:paraId="115C0D21" w14:textId="1DD275AB" w:rsidR="0061639A" w:rsidRPr="003E2BC8" w:rsidRDefault="00925822" w:rsidP="0061639A">
      <w:pPr>
        <w:pStyle w:val="NormalHanging12a"/>
      </w:pPr>
      <w:r>
        <w:t>26</w:t>
      </w:r>
      <w:r w:rsidR="0061639A" w:rsidRPr="003E2BC8">
        <w:t>.</w:t>
      </w:r>
      <w:r w:rsidR="0061639A" w:rsidRPr="003E2BC8">
        <w:tab/>
        <w:t xml:space="preserve">opfordrer Kommissionen til i lyset af cloud computing-tjenesters stigende strategiske betydning og deres rolle i digitale økosystemer og AI-økosystemer nøje at vurdere, om udbydere af sådanne tjenester opfylder kriterierne for deres udpegelse som gatekeepere i henhold til forordningen om digitale markeder, herunder gennem anvendelse af markedsundersøgelser; opfordrer Kommissionen til, når den gennemfører markedsundersøgelser og vurderer mulige udpegelser inden for cloud </w:t>
      </w:r>
      <w:proofErr w:type="spellStart"/>
      <w:r w:rsidR="0061639A" w:rsidRPr="003E2BC8">
        <w:t>computing</w:t>
      </w:r>
      <w:proofErr w:type="spellEnd"/>
      <w:r w:rsidR="0061639A" w:rsidRPr="003E2BC8">
        <w:t xml:space="preserve">, at anvende kriterierne i forordningen om digitale markeder på en konsekvent, gennemsigtig og evidensbaseret måde på tværs af udbydere, hvor det er begrundet i markedsindikatorer, for at undgå konkurrenceforvridning og bevare innovation; glæder sig over Kommissionens nylige markedsundersøgelser af udbydere af cloudtjenester såsom Amazon Web Services og Microsoft </w:t>
      </w:r>
      <w:proofErr w:type="spellStart"/>
      <w:r w:rsidR="0061639A" w:rsidRPr="003E2BC8">
        <w:t>Azure</w:t>
      </w:r>
      <w:proofErr w:type="spellEnd"/>
      <w:r w:rsidR="0061639A" w:rsidRPr="003E2BC8">
        <w:t>;</w:t>
      </w:r>
    </w:p>
    <w:p w14:paraId="13707326" w14:textId="2DF8E77B" w:rsidR="0061639A" w:rsidRPr="003E2BC8" w:rsidRDefault="00925822" w:rsidP="0061639A">
      <w:pPr>
        <w:pStyle w:val="NormalHanging12a"/>
      </w:pPr>
      <w:r>
        <w:t>27</w:t>
      </w:r>
      <w:r w:rsidR="0061639A" w:rsidRPr="003E2BC8">
        <w:t>.</w:t>
      </w:r>
      <w:r w:rsidR="0061639A" w:rsidRPr="003E2BC8">
        <w:tab/>
        <w:t xml:space="preserve">understreger, at AI-drevne søge- og assistentværktøjer, når de tilbydes som eller inden for udpegede centrale platformstjenester såsom Googles AI Overviews, Googles </w:t>
      </w:r>
      <w:proofErr w:type="spellStart"/>
      <w:r w:rsidR="0061639A" w:rsidRPr="003E2BC8">
        <w:t>Gemini</w:t>
      </w:r>
      <w:proofErr w:type="spellEnd"/>
      <w:r w:rsidR="0061639A" w:rsidRPr="003E2BC8">
        <w:t>, Apples Siri, Metas WhatsApp AI, Amazons Rufus eller Microsofts Copilot, i stigende grad bliver nye gateways til information, handel og digitale tjenester; opfordrer Kommissionen til rettidigt at undersøge, om og hvordan sådanne funktioner anvendes af gatekeepere på måder, der kan underminere den frie markedsadgang og retfærdigheden, herunder gennem standardindstillinger, forhåndsudvælgelse eller diskriminerende præsentation eller udvælgelse af resultater;</w:t>
      </w:r>
    </w:p>
    <w:p w14:paraId="5BFE2935" w14:textId="40D522AA" w:rsidR="0061639A" w:rsidRPr="003E2BC8" w:rsidRDefault="00925822" w:rsidP="0061639A">
      <w:pPr>
        <w:pStyle w:val="NormalHanging12a"/>
      </w:pPr>
      <w:r>
        <w:t>28</w:t>
      </w:r>
      <w:r w:rsidR="0061639A" w:rsidRPr="003E2BC8">
        <w:t>.</w:t>
      </w:r>
      <w:r w:rsidR="0061639A" w:rsidRPr="003E2BC8">
        <w:tab/>
        <w:t>understreger, at visse gatekeeperes integrerede digitale økosystemer, der består af flere centrale platformstjenester og relaterede tjenester, kan give dem en strukturel konkurrencefordel i forbindelse med udvikling, træning og udbredelse af AI-systemer, navnlig hvor adgang til store multitjenestedatastrømme, brugergrænseflader, distributionskanaler eller supplerende tjenester kan udnyttes på tværs af økosystemer; understreger derfor behovet for en streng håndhævelse af artikel 6, stk. 10, i forordningen om digitale markeder for at sikre effektive dataadgangsrettigheder for erhvervsbrugere og for at forhindre udnyttelse af datafordele for hele økosystemet på måder, der underminerer den frie markedsadgang og retfærdigheden, herunder hvor AI-</w:t>
      </w:r>
      <w:r w:rsidR="0061639A" w:rsidRPr="003E2BC8">
        <w:lastRenderedPageBreak/>
        <w:t>funktioner integreres i centrale platformstjenester eller kan blive nye gateways til oplysninger, handel og digitale tjenester;</w:t>
      </w:r>
    </w:p>
    <w:p w14:paraId="407FBD21" w14:textId="4B9FAA73" w:rsidR="0061639A" w:rsidRPr="003E2BC8" w:rsidRDefault="00925822" w:rsidP="0061639A">
      <w:pPr>
        <w:pStyle w:val="NormalHanging12a"/>
      </w:pPr>
      <w:r>
        <w:t>29</w:t>
      </w:r>
      <w:r w:rsidR="0061639A" w:rsidRPr="003E2BC8">
        <w:t>.</w:t>
      </w:r>
      <w:r w:rsidR="0061639A" w:rsidRPr="003E2BC8">
        <w:tab/>
        <w:t>opfordrer Kommissionen til at sikre tilstrækkelige menneskelige og finansielle ressourcer til håndhævelse af forordningen om digitale markeder i overensstemmelse med forordningens anvendelsesområde, kompleksitet og strategiske betydning og opfordrer til en betydelig styrkelse af personalet;</w:t>
      </w:r>
    </w:p>
    <w:p w14:paraId="7F8783E2" w14:textId="475ADDAF" w:rsidR="0061639A" w:rsidRPr="003E2BC8" w:rsidRDefault="00925822" w:rsidP="0061639A">
      <w:pPr>
        <w:pStyle w:val="NormalHanging12a"/>
      </w:pPr>
      <w:r>
        <w:t>30</w:t>
      </w:r>
      <w:r w:rsidR="0061639A" w:rsidRPr="003E2BC8">
        <w:t>.</w:t>
      </w:r>
      <w:r w:rsidR="0061639A" w:rsidRPr="003E2BC8">
        <w:tab/>
        <w:t>forventer, at den kommende revision af forordningen om digitale markeder vil være gennemsigtig og solidt baseret på håndhævelseserfaringer og dokumentation fra dens anvendelse, herunder en vurdering af de faktiske resultater for brugere og markeder, samt af den praktiske indvirkning af gennemførelsen på forbrugerne, navnlig med hensyn til adgang til innovation, anvendelighed, privatlivets fred og sikkerhed, samtidig med at der tages behørigt hensyn til den teknologiske udvikling og behovet for at sikre, at rammen forbliver fremtidssikret; opfordrer Kommissionen til navnlig at tage hensyn til feedback fra små og mellemstore virksomheder under revisionsprocessen;</w:t>
      </w:r>
    </w:p>
    <w:p w14:paraId="0CDB80B2" w14:textId="03F76F99" w:rsidR="0061639A" w:rsidRDefault="00925822" w:rsidP="0061639A">
      <w:pPr>
        <w:pStyle w:val="NormalHanging12a"/>
      </w:pPr>
      <w:r>
        <w:t>31</w:t>
      </w:r>
      <w:r w:rsidR="0061639A" w:rsidRPr="003E2BC8">
        <w:t>.</w:t>
      </w:r>
      <w:r w:rsidR="0061639A" w:rsidRPr="003E2BC8">
        <w:tab/>
        <w:t>understreger, at revisionen bør fokusere på at styrke effektiviteten og håndhævelsen af den eksisterende ramme og samtidig tackle de udfordringer, der er forbundet med teknologier og økosystemer i hastig udvikling, ved at gøre fuld brug af de beføjelser, der er til rådighed under den nuværende ramme, herunder gennem præciseringer og vejledning, hvor det er nødvendigt, og bør undgå at genåbne de centrale mål, anvendelsesområdet eller arkitekturen for forordningen om digitale markeder, medmindre det er klart begrundet i påviste håndhævelsesmangler eller en betydelig markedsudvikling;</w:t>
      </w:r>
    </w:p>
    <w:p w14:paraId="16825082" w14:textId="2BABA258" w:rsidR="00C3019C" w:rsidRPr="003E2BC8" w:rsidRDefault="00925822" w:rsidP="0061639A">
      <w:pPr>
        <w:pStyle w:val="NormalHanging12a"/>
      </w:pPr>
      <w:r>
        <w:t>32</w:t>
      </w:r>
      <w:r w:rsidR="00C3019C">
        <w:t>.</w:t>
      </w:r>
      <w:r w:rsidR="00C3019C">
        <w:tab/>
      </w:r>
      <w:r w:rsidR="00C3019C" w:rsidRPr="00C3019C">
        <w:t xml:space="preserve">understreger, at en effektiv håndhævelse af forordningen om digitale markeder kræver en supplerende anvendelse af den generelle konkurrencepolitik og alle andre EU-instrumenter til handelsbeskyttelse og markedsovervågning, da systemiske risici for retfærdigheden og den økonomiske sikkerhed også kan opstå som følge af transaktioner uden for anvendelsesområdet for forordningen om digitale markeder; bemærker i den forbindelse bekymringerne vedrørende </w:t>
      </w:r>
      <w:proofErr w:type="spellStart"/>
      <w:r w:rsidR="00C3019C" w:rsidRPr="00C3019C">
        <w:t>JD.coms</w:t>
      </w:r>
      <w:proofErr w:type="spellEnd"/>
      <w:r w:rsidR="00C3019C" w:rsidRPr="00C3019C">
        <w:t xml:space="preserve"> erhvervelse af </w:t>
      </w:r>
      <w:proofErr w:type="spellStart"/>
      <w:r w:rsidR="00C3019C" w:rsidRPr="00C3019C">
        <w:t>Ceconomy</w:t>
      </w:r>
      <w:proofErr w:type="spellEnd"/>
      <w:r w:rsidR="00C3019C" w:rsidRPr="00C3019C">
        <w:t xml:space="preserve"> AG, som vil overføre kontrollen med et stort europæisk detail- og distributionsnet til en enhed uden for EU, hvilket vil øge risikoen for, at stater uden for EU får adgang til følsomme forbrugerdata, og for mulige forvridninger i forbindelse med statsstøttet finansiel støtte; opfordrer Kommissionen til at anvende forordningen om udenlandske subsidier</w:t>
      </w:r>
      <w:r w:rsidR="00C3019C">
        <w:rPr>
          <w:rStyle w:val="FootnoteReference"/>
        </w:rPr>
        <w:footnoteReference w:id="14"/>
      </w:r>
      <w:r w:rsidR="00C3019C" w:rsidRPr="00C3019C">
        <w:t xml:space="preserve"> nøje og til at undersøge alle udenlandske subsidier, der ligger til grund for både denne transaktion og fremtidige transaktioner; opfordrer Kommissionen til at vurdere risiciene for europæiske forbrugerdata i henhold til forordningen om screening af udenlandske direkte investeringer</w:t>
      </w:r>
      <w:r w:rsidR="00C3019C">
        <w:rPr>
          <w:rStyle w:val="FootnoteReference"/>
        </w:rPr>
        <w:footnoteReference w:id="15"/>
      </w:r>
      <w:r w:rsidR="00C3019C" w:rsidRPr="00C3019C">
        <w:t xml:space="preserve"> og til at sikre effektiv datalokalisering i overensstemmelse med EU's datasuverænitet og håndhævelsesrammen for forordningen om digitale markeder;</w:t>
      </w:r>
    </w:p>
    <w:p w14:paraId="4C4968E7" w14:textId="5DC6421C" w:rsidR="00E365E1" w:rsidRPr="003E2BC8" w:rsidRDefault="00925822" w:rsidP="008946B0">
      <w:pPr>
        <w:pStyle w:val="NormalHanging12a"/>
      </w:pPr>
      <w:r>
        <w:t>33</w:t>
      </w:r>
      <w:r w:rsidR="0061639A" w:rsidRPr="003E2BC8">
        <w:t>.</w:t>
      </w:r>
      <w:r w:rsidR="0061639A" w:rsidRPr="003E2BC8">
        <w:tab/>
        <w:t>pålægger sin formand at sende denne beslutning til Kommissionen.</w:t>
      </w:r>
    </w:p>
    <w:sectPr w:rsidR="00E365E1" w:rsidRPr="003E2BC8" w:rsidSect="003E2BC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E39E" w14:textId="77777777" w:rsidR="00330656" w:rsidRPr="003E2BC8" w:rsidRDefault="00330656">
      <w:r w:rsidRPr="003E2BC8">
        <w:separator/>
      </w:r>
    </w:p>
  </w:endnote>
  <w:endnote w:type="continuationSeparator" w:id="0">
    <w:p w14:paraId="7DD1ABBC" w14:textId="77777777" w:rsidR="00330656" w:rsidRPr="003E2BC8" w:rsidRDefault="00330656">
      <w:r w:rsidRPr="003E2B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060F1" w14:textId="77777777" w:rsidR="00330656" w:rsidRPr="003E2BC8" w:rsidRDefault="00330656">
      <w:r w:rsidRPr="003E2BC8">
        <w:separator/>
      </w:r>
    </w:p>
  </w:footnote>
  <w:footnote w:type="continuationSeparator" w:id="0">
    <w:p w14:paraId="411ED695" w14:textId="77777777" w:rsidR="00330656" w:rsidRPr="003E2BC8" w:rsidRDefault="00330656">
      <w:r w:rsidRPr="003E2BC8">
        <w:continuationSeparator/>
      </w:r>
    </w:p>
  </w:footnote>
  <w:footnote w:id="1">
    <w:p w14:paraId="44FB7ED6" w14:textId="189E233E" w:rsidR="0061639A" w:rsidRPr="003E2BC8" w:rsidRDefault="0061639A" w:rsidP="003E2BC8">
      <w:pPr>
        <w:pStyle w:val="FootnoteText"/>
        <w:ind w:left="567" w:hanging="567"/>
        <w:rPr>
          <w:sz w:val="24"/>
          <w:lang w:val="da-DK"/>
        </w:rPr>
      </w:pPr>
      <w:r w:rsidRPr="003E2BC8">
        <w:rPr>
          <w:rStyle w:val="FootnoteReference"/>
          <w:sz w:val="24"/>
          <w:lang w:val="da-DK"/>
        </w:rPr>
        <w:footnoteRef/>
      </w:r>
      <w:r w:rsidR="003E2BC8" w:rsidRPr="003E2BC8">
        <w:rPr>
          <w:sz w:val="24"/>
          <w:lang w:val="da-DK"/>
        </w:rPr>
        <w:t xml:space="preserve"> </w:t>
      </w:r>
      <w:r w:rsidR="003E2BC8" w:rsidRPr="003E2BC8">
        <w:rPr>
          <w:sz w:val="24"/>
          <w:lang w:val="da-DK"/>
        </w:rPr>
        <w:tab/>
      </w:r>
      <w:r w:rsidRPr="003E2BC8">
        <w:rPr>
          <w:sz w:val="24"/>
          <w:lang w:val="da-DK"/>
        </w:rPr>
        <w:t>EUT L 265 af 12.10.2022, s. 1, ELI: </w:t>
      </w:r>
      <w:hyperlink r:id="rId1" w:tooltip="Giver adgang til dette dokument via dets ELI-URI." w:history="1">
        <w:r w:rsidRPr="003E2BC8">
          <w:rPr>
            <w:rStyle w:val="Hyperlink"/>
            <w:sz w:val="24"/>
            <w:lang w:val="da-DK"/>
          </w:rPr>
          <w:t>http://data.europa.eu/eli/reg/2022/1925/oj</w:t>
        </w:r>
      </w:hyperlink>
      <w:r w:rsidRPr="003E2BC8">
        <w:rPr>
          <w:sz w:val="24"/>
          <w:lang w:val="da-DK"/>
        </w:rPr>
        <w:t>.</w:t>
      </w:r>
    </w:p>
  </w:footnote>
  <w:footnote w:id="2">
    <w:p w14:paraId="7F3DA5BD" w14:textId="68CC9B01"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C/2023/549, 27.10.2023, </w:t>
      </w:r>
      <w:proofErr w:type="gramStart"/>
      <w:r w:rsidRPr="00630C77">
        <w:rPr>
          <w:sz w:val="24"/>
        </w:rPr>
        <w:t>ELI:</w:t>
      </w:r>
      <w:proofErr w:type="gramEnd"/>
      <w:r w:rsidRPr="00630C77">
        <w:rPr>
          <w:sz w:val="24"/>
        </w:rPr>
        <w:t> </w:t>
      </w:r>
      <w:hyperlink r:id="rId2" w:tgtFrame="_blank" w:tooltip="Giver adgang til dette dokument via dets ELI-URI." w:history="1">
        <w:r w:rsidRPr="00630C77">
          <w:rPr>
            <w:rStyle w:val="Hyperlink"/>
            <w:sz w:val="24"/>
          </w:rPr>
          <w:t>http://data.europa.eu/eli/C/2023/549/oj</w:t>
        </w:r>
      </w:hyperlink>
      <w:r w:rsidRPr="00630C77">
        <w:rPr>
          <w:sz w:val="24"/>
        </w:rPr>
        <w:t>.</w:t>
      </w:r>
    </w:p>
  </w:footnote>
  <w:footnote w:id="3">
    <w:p w14:paraId="7B0C473B" w14:textId="5AC819B5"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C/2023/905, 15.11.2023, </w:t>
      </w:r>
      <w:proofErr w:type="gramStart"/>
      <w:r w:rsidRPr="00630C77">
        <w:rPr>
          <w:sz w:val="24"/>
        </w:rPr>
        <w:t>ELI:</w:t>
      </w:r>
      <w:proofErr w:type="gramEnd"/>
      <w:r w:rsidRPr="00630C77">
        <w:rPr>
          <w:sz w:val="24"/>
        </w:rPr>
        <w:t> </w:t>
      </w:r>
      <w:hyperlink r:id="rId3" w:tgtFrame="_blank" w:tooltip="Giver adgang til dette dokument via dets ELI-URI." w:history="1">
        <w:r w:rsidRPr="00630C77">
          <w:rPr>
            <w:rStyle w:val="Hyperlink"/>
            <w:sz w:val="24"/>
          </w:rPr>
          <w:t>http://data.europa.eu/eli/C/2023/905/oj</w:t>
        </w:r>
      </w:hyperlink>
      <w:r w:rsidRPr="00630C77">
        <w:rPr>
          <w:sz w:val="24"/>
        </w:rPr>
        <w:t>.</w:t>
      </w:r>
    </w:p>
  </w:footnote>
  <w:footnote w:id="4">
    <w:p w14:paraId="2115A124" w14:textId="0F3B59E3"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C/2025/4646, 14.8.2025, </w:t>
      </w:r>
      <w:proofErr w:type="gramStart"/>
      <w:r w:rsidRPr="00630C77">
        <w:rPr>
          <w:sz w:val="24"/>
        </w:rPr>
        <w:t>ELI:</w:t>
      </w:r>
      <w:proofErr w:type="gramEnd"/>
      <w:r w:rsidRPr="00630C77">
        <w:rPr>
          <w:sz w:val="24"/>
        </w:rPr>
        <w:t> </w:t>
      </w:r>
      <w:hyperlink r:id="rId4" w:tgtFrame="_blank" w:tooltip="Giver adgang til dette dokument via dets ELI-URI." w:history="1">
        <w:r w:rsidRPr="00630C77">
          <w:rPr>
            <w:rStyle w:val="Hyperlink"/>
            <w:sz w:val="24"/>
          </w:rPr>
          <w:t>http://data.europa.eu/eli/C/2025/4646/oj</w:t>
        </w:r>
      </w:hyperlink>
      <w:r w:rsidRPr="00630C77">
        <w:rPr>
          <w:sz w:val="24"/>
        </w:rPr>
        <w:t>.</w:t>
      </w:r>
    </w:p>
  </w:footnote>
  <w:footnote w:id="5">
    <w:p w14:paraId="55D39B8C" w14:textId="1850A356"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C/2023/552, 27.10.2023, </w:t>
      </w:r>
      <w:proofErr w:type="gramStart"/>
      <w:r w:rsidRPr="00630C77">
        <w:rPr>
          <w:sz w:val="24"/>
        </w:rPr>
        <w:t>ELI:</w:t>
      </w:r>
      <w:proofErr w:type="gramEnd"/>
      <w:r w:rsidRPr="00630C77">
        <w:rPr>
          <w:sz w:val="24"/>
        </w:rPr>
        <w:t> </w:t>
      </w:r>
      <w:hyperlink r:id="rId5" w:tgtFrame="_blank" w:tooltip="Giver adgang til dette dokument via dets ELI-URI." w:history="1">
        <w:r w:rsidRPr="00630C77">
          <w:rPr>
            <w:rStyle w:val="Hyperlink"/>
            <w:sz w:val="24"/>
          </w:rPr>
          <w:t>http://data.europa.eu/eli/C/2023/552/oj</w:t>
        </w:r>
      </w:hyperlink>
      <w:r w:rsidRPr="00630C77">
        <w:rPr>
          <w:sz w:val="24"/>
        </w:rPr>
        <w:t>.</w:t>
      </w:r>
    </w:p>
  </w:footnote>
  <w:footnote w:id="6">
    <w:p w14:paraId="32032FEA" w14:textId="7EE2C08B"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C/2023/1092, 23.11.2023, </w:t>
      </w:r>
      <w:proofErr w:type="gramStart"/>
      <w:r w:rsidRPr="00630C77">
        <w:rPr>
          <w:sz w:val="24"/>
        </w:rPr>
        <w:t>ELI:</w:t>
      </w:r>
      <w:proofErr w:type="gramEnd"/>
      <w:r w:rsidRPr="00630C77">
        <w:rPr>
          <w:sz w:val="24"/>
        </w:rPr>
        <w:t> </w:t>
      </w:r>
      <w:hyperlink r:id="rId6" w:tgtFrame="_blank" w:tooltip="Giver adgang til dette dokument via dets ELI-URI." w:history="1">
        <w:r w:rsidRPr="00630C77">
          <w:rPr>
            <w:rStyle w:val="Hyperlink"/>
            <w:sz w:val="24"/>
          </w:rPr>
          <w:t>http://data.europa.eu/eli/C/2023/1092/oj</w:t>
        </w:r>
      </w:hyperlink>
      <w:r w:rsidRPr="00630C77">
        <w:rPr>
          <w:sz w:val="24"/>
        </w:rPr>
        <w:t xml:space="preserve">. </w:t>
      </w:r>
    </w:p>
  </w:footnote>
  <w:footnote w:id="7">
    <w:p w14:paraId="3F51E69F" w14:textId="43452DB0"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C/2023/551, 27.10.2023, </w:t>
      </w:r>
      <w:proofErr w:type="gramStart"/>
      <w:r w:rsidRPr="00630C77">
        <w:rPr>
          <w:sz w:val="24"/>
        </w:rPr>
        <w:t>ELI:</w:t>
      </w:r>
      <w:proofErr w:type="gramEnd"/>
      <w:r w:rsidRPr="00630C77">
        <w:rPr>
          <w:sz w:val="24"/>
        </w:rPr>
        <w:t> </w:t>
      </w:r>
      <w:hyperlink r:id="rId7" w:tgtFrame="_blank" w:tooltip="Giver adgang til dette dokument via dets ELI-URI." w:history="1">
        <w:r w:rsidRPr="00630C77">
          <w:rPr>
            <w:rStyle w:val="Hyperlink"/>
            <w:sz w:val="24"/>
          </w:rPr>
          <w:t>http://data.europa.eu/eli/C/2023/551/oj</w:t>
        </w:r>
      </w:hyperlink>
      <w:r w:rsidRPr="00630C77">
        <w:rPr>
          <w:sz w:val="24"/>
        </w:rPr>
        <w:t xml:space="preserve">. </w:t>
      </w:r>
    </w:p>
  </w:footnote>
  <w:footnote w:id="8">
    <w:p w14:paraId="44092798" w14:textId="42DC7D48"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C/2024/4374, 4.7.2024, </w:t>
      </w:r>
      <w:proofErr w:type="gramStart"/>
      <w:r w:rsidRPr="00630C77">
        <w:rPr>
          <w:sz w:val="24"/>
        </w:rPr>
        <w:t>ELI:</w:t>
      </w:r>
      <w:proofErr w:type="gramEnd"/>
      <w:r w:rsidRPr="00630C77">
        <w:rPr>
          <w:sz w:val="24"/>
        </w:rPr>
        <w:t> </w:t>
      </w:r>
      <w:hyperlink r:id="rId8" w:tgtFrame="_blank" w:tooltip="Giver adgang til dette dokument via dets ELI-URI." w:history="1">
        <w:r w:rsidRPr="00630C77">
          <w:rPr>
            <w:rStyle w:val="Hyperlink"/>
            <w:sz w:val="24"/>
          </w:rPr>
          <w:t>http://data.europa.eu/eli/C/2024/4374/oj</w:t>
        </w:r>
      </w:hyperlink>
      <w:r w:rsidRPr="00630C77">
        <w:rPr>
          <w:sz w:val="24"/>
        </w:rPr>
        <w:t xml:space="preserve">. </w:t>
      </w:r>
    </w:p>
  </w:footnote>
  <w:footnote w:id="9">
    <w:p w14:paraId="2E40D726" w14:textId="0022FBA6"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C/2024/4360, 4.7.2024, </w:t>
      </w:r>
      <w:proofErr w:type="gramStart"/>
      <w:r w:rsidRPr="00630C77">
        <w:rPr>
          <w:sz w:val="24"/>
        </w:rPr>
        <w:t>ELI:</w:t>
      </w:r>
      <w:proofErr w:type="gramEnd"/>
      <w:r w:rsidRPr="00630C77">
        <w:rPr>
          <w:sz w:val="24"/>
        </w:rPr>
        <w:t> </w:t>
      </w:r>
      <w:hyperlink r:id="rId9" w:tgtFrame="_blank" w:tooltip="Giver adgang til dette dokument via dets ELI-URI." w:history="1">
        <w:r w:rsidRPr="00630C77">
          <w:rPr>
            <w:rStyle w:val="Hyperlink"/>
            <w:sz w:val="24"/>
          </w:rPr>
          <w:t>http://data.europa.eu/eli/C/2024/4360/oj</w:t>
        </w:r>
      </w:hyperlink>
      <w:r w:rsidRPr="00630C77">
        <w:rPr>
          <w:sz w:val="24"/>
        </w:rPr>
        <w:t>.</w:t>
      </w:r>
    </w:p>
  </w:footnote>
  <w:footnote w:id="10">
    <w:p w14:paraId="088A99FC" w14:textId="3E35B22B" w:rsidR="0061639A" w:rsidRPr="00630C77" w:rsidRDefault="0061639A" w:rsidP="003E2BC8">
      <w:pPr>
        <w:pStyle w:val="FootnoteText"/>
        <w:ind w:left="567" w:hanging="567"/>
        <w:rPr>
          <w:sz w:val="24"/>
        </w:rPr>
      </w:pPr>
      <w:r w:rsidRPr="003E2BC8">
        <w:rPr>
          <w:rStyle w:val="FootnoteReference"/>
          <w:sz w:val="24"/>
          <w:lang w:val="da-DK"/>
        </w:rPr>
        <w:footnoteRef/>
      </w:r>
      <w:r w:rsidR="003E2BC8" w:rsidRPr="00630C77">
        <w:rPr>
          <w:sz w:val="24"/>
        </w:rPr>
        <w:t xml:space="preserve"> </w:t>
      </w:r>
      <w:r w:rsidR="003E2BC8" w:rsidRPr="00630C77">
        <w:rPr>
          <w:sz w:val="24"/>
        </w:rPr>
        <w:tab/>
      </w:r>
      <w:r w:rsidRPr="00630C77">
        <w:rPr>
          <w:sz w:val="24"/>
        </w:rPr>
        <w:t xml:space="preserve">EUT C, C/2025/3466, 27.6.2025, </w:t>
      </w:r>
      <w:proofErr w:type="gramStart"/>
      <w:r w:rsidRPr="00630C77">
        <w:rPr>
          <w:sz w:val="24"/>
        </w:rPr>
        <w:t>ELI:</w:t>
      </w:r>
      <w:proofErr w:type="gramEnd"/>
      <w:r w:rsidRPr="00630C77">
        <w:rPr>
          <w:sz w:val="24"/>
        </w:rPr>
        <w:t> </w:t>
      </w:r>
      <w:hyperlink r:id="rId10" w:tgtFrame="_blank" w:tooltip="Giver adgang til dette dokument via dets ELI-URI." w:history="1">
        <w:r w:rsidRPr="00630C77">
          <w:rPr>
            <w:rStyle w:val="Hyperlink"/>
            <w:sz w:val="24"/>
          </w:rPr>
          <w:t>http://data.europa.eu/eli/C/2025/3466/oj</w:t>
        </w:r>
      </w:hyperlink>
      <w:r w:rsidRPr="00630C77">
        <w:rPr>
          <w:sz w:val="24"/>
        </w:rPr>
        <w:t xml:space="preserve">. </w:t>
      </w:r>
    </w:p>
  </w:footnote>
  <w:footnote w:id="11">
    <w:p w14:paraId="48420F78" w14:textId="1803AAFC" w:rsidR="0061639A" w:rsidRPr="003E2BC8" w:rsidRDefault="0061639A" w:rsidP="003E2BC8">
      <w:pPr>
        <w:pStyle w:val="FootnoteText"/>
        <w:ind w:left="567" w:hanging="567"/>
        <w:rPr>
          <w:sz w:val="24"/>
          <w:lang w:val="da-DK"/>
        </w:rPr>
      </w:pPr>
      <w:r w:rsidRPr="003E2BC8">
        <w:rPr>
          <w:rStyle w:val="FootnoteReference"/>
          <w:sz w:val="24"/>
          <w:lang w:val="da-DK"/>
        </w:rPr>
        <w:footnoteRef/>
      </w:r>
      <w:r w:rsidR="003E2BC8" w:rsidRPr="003E2BC8">
        <w:rPr>
          <w:sz w:val="24"/>
          <w:lang w:val="da-DK"/>
        </w:rPr>
        <w:t xml:space="preserve"> </w:t>
      </w:r>
      <w:r w:rsidR="003E2BC8" w:rsidRPr="003E2BC8">
        <w:rPr>
          <w:sz w:val="24"/>
          <w:lang w:val="da-DK"/>
        </w:rPr>
        <w:tab/>
      </w:r>
      <w:r w:rsidRPr="003E2BC8">
        <w:rPr>
          <w:sz w:val="24"/>
          <w:lang w:val="da-DK"/>
        </w:rPr>
        <w:t>EUT L 102 af 17.4.2023, s. 6, ELI: </w:t>
      </w:r>
      <w:hyperlink r:id="rId11" w:tooltip="Giver adgang til dette dokument via dets ELI-URI." w:history="1">
        <w:r w:rsidRPr="003E2BC8">
          <w:rPr>
            <w:rStyle w:val="Hyperlink"/>
            <w:sz w:val="24"/>
            <w:lang w:val="da-DK"/>
          </w:rPr>
          <w:t>http://data.europa.eu/eli/reg_impl/2023/814/oj</w:t>
        </w:r>
      </w:hyperlink>
      <w:r w:rsidRPr="003E2BC8">
        <w:rPr>
          <w:sz w:val="24"/>
          <w:lang w:val="da-DK"/>
        </w:rPr>
        <w:t xml:space="preserve">. </w:t>
      </w:r>
    </w:p>
  </w:footnote>
  <w:footnote w:id="12">
    <w:p w14:paraId="29584DE7" w14:textId="5E75581A" w:rsidR="0061639A" w:rsidRPr="003E2BC8" w:rsidRDefault="0061639A" w:rsidP="003E2BC8">
      <w:pPr>
        <w:pStyle w:val="FootnoteText"/>
        <w:ind w:left="567" w:hanging="567"/>
        <w:rPr>
          <w:sz w:val="24"/>
          <w:lang w:val="da-DK"/>
        </w:rPr>
      </w:pPr>
      <w:r w:rsidRPr="003E2BC8">
        <w:rPr>
          <w:rStyle w:val="FootnoteReference"/>
          <w:sz w:val="24"/>
          <w:lang w:val="da-DK"/>
        </w:rPr>
        <w:footnoteRef/>
      </w:r>
      <w:r w:rsidR="003E2BC8" w:rsidRPr="003E2BC8">
        <w:rPr>
          <w:sz w:val="24"/>
          <w:lang w:val="da-DK"/>
        </w:rPr>
        <w:t xml:space="preserve"> </w:t>
      </w:r>
      <w:r w:rsidR="003E2BC8" w:rsidRPr="003E2BC8">
        <w:rPr>
          <w:sz w:val="24"/>
          <w:lang w:val="da-DK"/>
        </w:rPr>
        <w:tab/>
      </w:r>
      <w:r w:rsidRPr="003E2BC8">
        <w:rPr>
          <w:sz w:val="24"/>
          <w:lang w:val="da-DK"/>
        </w:rPr>
        <w:t xml:space="preserve">Europa-Parlamentets og Rådets forordning (EU) 2023/2854 af 13. december 2023 om harmoniserede regler om fair adgang til og anvendelse af data og om ændring af forordning (EU) 2017/2394 og direktiv (EU) 2020/1828 (dataforordningen) (EUT L, 2023/2854, 22.12.2023, ELI: </w:t>
      </w:r>
      <w:hyperlink r:id="rId12" w:history="1">
        <w:r w:rsidRPr="003E2BC8">
          <w:rPr>
            <w:rStyle w:val="Hyperlink"/>
            <w:sz w:val="24"/>
            <w:lang w:val="da-DK"/>
          </w:rPr>
          <w:t>http://data.europa.eu/eli/reg/2023/2854/oj</w:t>
        </w:r>
      </w:hyperlink>
      <w:r w:rsidRPr="003E2BC8">
        <w:rPr>
          <w:sz w:val="24"/>
          <w:lang w:val="da-DK"/>
        </w:rPr>
        <w:t>).</w:t>
      </w:r>
    </w:p>
  </w:footnote>
  <w:footnote w:id="13">
    <w:p w14:paraId="3BB1728E" w14:textId="628CC713" w:rsidR="0061639A" w:rsidRPr="003E2BC8" w:rsidRDefault="0061639A" w:rsidP="003E2BC8">
      <w:pPr>
        <w:pStyle w:val="FootnoteText"/>
        <w:ind w:left="567" w:hanging="567"/>
        <w:rPr>
          <w:sz w:val="24"/>
          <w:lang w:val="da-DK"/>
        </w:rPr>
      </w:pPr>
      <w:r w:rsidRPr="003E2BC8">
        <w:rPr>
          <w:rStyle w:val="FootnoteReference"/>
          <w:sz w:val="24"/>
          <w:lang w:val="da-DK"/>
        </w:rPr>
        <w:footnoteRef/>
      </w:r>
      <w:r w:rsidR="003E2BC8" w:rsidRPr="003E2BC8">
        <w:rPr>
          <w:sz w:val="24"/>
          <w:lang w:val="da-DK"/>
        </w:rPr>
        <w:t xml:space="preserve"> </w:t>
      </w:r>
      <w:r w:rsidR="003E2BC8" w:rsidRPr="003E2BC8">
        <w:rPr>
          <w:sz w:val="24"/>
          <w:lang w:val="da-DK"/>
        </w:rPr>
        <w:tab/>
      </w:r>
      <w:r w:rsidRPr="003E2BC8">
        <w:rPr>
          <w:sz w:val="24"/>
          <w:lang w:val="da-DK"/>
        </w:rPr>
        <w:t xml:space="preserve">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3" w:history="1">
        <w:r w:rsidRPr="003E2BC8">
          <w:rPr>
            <w:rStyle w:val="Hyperlink"/>
            <w:sz w:val="24"/>
            <w:lang w:val="da-DK"/>
          </w:rPr>
          <w:t>http://data.europa.eu/eli/reg/2024/1689/oj</w:t>
        </w:r>
      </w:hyperlink>
      <w:r w:rsidRPr="003E2BC8">
        <w:rPr>
          <w:sz w:val="24"/>
          <w:lang w:val="da-DK"/>
        </w:rPr>
        <w:t>).</w:t>
      </w:r>
    </w:p>
  </w:footnote>
  <w:footnote w:id="14">
    <w:p w14:paraId="58791DCC" w14:textId="60CD74CB" w:rsidR="00C3019C" w:rsidRPr="008946B0" w:rsidRDefault="00C3019C" w:rsidP="008946B0">
      <w:pPr>
        <w:pStyle w:val="FootnoteText"/>
        <w:ind w:left="567" w:hanging="567"/>
        <w:rPr>
          <w:sz w:val="24"/>
          <w:szCs w:val="24"/>
          <w:lang w:val="da-DK"/>
        </w:rPr>
      </w:pPr>
      <w:r w:rsidRPr="008946B0">
        <w:rPr>
          <w:rStyle w:val="FootnoteReference"/>
          <w:sz w:val="24"/>
          <w:szCs w:val="24"/>
        </w:rPr>
        <w:footnoteRef/>
      </w:r>
      <w:r w:rsidRPr="008946B0">
        <w:rPr>
          <w:sz w:val="24"/>
          <w:szCs w:val="24"/>
          <w:lang w:val="da-DK"/>
        </w:rPr>
        <w:t xml:space="preserve"> </w:t>
      </w:r>
      <w:r w:rsidRPr="008946B0">
        <w:rPr>
          <w:sz w:val="24"/>
          <w:szCs w:val="24"/>
          <w:lang w:val="da-DK"/>
        </w:rPr>
        <w:tab/>
        <w:t>Europa-Parlamentets og Rådets forordning (EU) 2022/2560 af 14. december 2022 om udenlandske subsidier, der fordrejer det indre marked (EUT L 330 af 23.12.2022, s. 1, ELI: </w:t>
      </w:r>
      <w:hyperlink r:id="rId14" w:tooltip="Giver adgang til dette dokument via dets ELI-URI." w:history="1">
        <w:r w:rsidRPr="008946B0">
          <w:rPr>
            <w:rStyle w:val="Hyperlink"/>
            <w:sz w:val="24"/>
            <w:szCs w:val="24"/>
            <w:lang w:val="da-DK"/>
          </w:rPr>
          <w:t>http://data.europa.eu/eli/reg/2022/2560/oj</w:t>
        </w:r>
      </w:hyperlink>
      <w:r w:rsidRPr="008946B0">
        <w:rPr>
          <w:sz w:val="24"/>
          <w:szCs w:val="24"/>
          <w:lang w:val="da-DK"/>
        </w:rPr>
        <w:t>).</w:t>
      </w:r>
    </w:p>
  </w:footnote>
  <w:footnote w:id="15">
    <w:p w14:paraId="0FE8E745" w14:textId="6D284835" w:rsidR="00C3019C" w:rsidRPr="008946B0" w:rsidRDefault="00C3019C" w:rsidP="008946B0">
      <w:pPr>
        <w:pStyle w:val="FootnoteText"/>
        <w:ind w:left="567" w:hanging="567"/>
        <w:rPr>
          <w:sz w:val="24"/>
          <w:szCs w:val="24"/>
          <w:lang w:val="da-DK"/>
        </w:rPr>
      </w:pPr>
      <w:r w:rsidRPr="008946B0">
        <w:rPr>
          <w:rStyle w:val="FootnoteReference"/>
          <w:sz w:val="24"/>
          <w:szCs w:val="24"/>
        </w:rPr>
        <w:footnoteRef/>
      </w:r>
      <w:r w:rsidRPr="008946B0">
        <w:rPr>
          <w:sz w:val="24"/>
          <w:szCs w:val="24"/>
          <w:lang w:val="da-DK"/>
        </w:rPr>
        <w:t xml:space="preserve"> </w:t>
      </w:r>
      <w:r w:rsidRPr="008946B0">
        <w:rPr>
          <w:sz w:val="24"/>
          <w:szCs w:val="24"/>
          <w:lang w:val="da-DK"/>
        </w:rPr>
        <w:tab/>
        <w:t>Europa-Parlamentets og Rådets forordning (EU) 2019/452 af 19. marts 2019 om et regelsæt for screening af udenlandske direkte investeringer i Unionen (EUT L 79 I af 21.3.2019, s. 1, ELI: </w:t>
      </w:r>
      <w:hyperlink r:id="rId15" w:tooltip="Giver adgang til dette dokument via dets ELI-URI." w:history="1">
        <w:r w:rsidRPr="008946B0">
          <w:rPr>
            <w:rStyle w:val="Hyperlink"/>
            <w:sz w:val="24"/>
            <w:szCs w:val="24"/>
            <w:lang w:val="da-DK"/>
          </w:rPr>
          <w:t>http://data.europa.eu/eli/reg/2019/452/oj</w:t>
        </w:r>
      </w:hyperlink>
      <w:r w:rsidRPr="008946B0">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6822433">
    <w:abstractNumId w:val="9"/>
  </w:num>
  <w:num w:numId="2" w16cid:durableId="1483308864">
    <w:abstractNumId w:val="9"/>
  </w:num>
  <w:num w:numId="3" w16cid:durableId="2121678566">
    <w:abstractNumId w:val="7"/>
  </w:num>
  <w:num w:numId="4" w16cid:durableId="1876312303">
    <w:abstractNumId w:val="7"/>
  </w:num>
  <w:num w:numId="5" w16cid:durableId="576282220">
    <w:abstractNumId w:val="6"/>
  </w:num>
  <w:num w:numId="6" w16cid:durableId="1025643726">
    <w:abstractNumId w:val="6"/>
  </w:num>
  <w:num w:numId="7" w16cid:durableId="1385908688">
    <w:abstractNumId w:val="5"/>
  </w:num>
  <w:num w:numId="8" w16cid:durableId="289627357">
    <w:abstractNumId w:val="5"/>
  </w:num>
  <w:num w:numId="9" w16cid:durableId="98914275">
    <w:abstractNumId w:val="4"/>
  </w:num>
  <w:num w:numId="10" w16cid:durableId="1948729752">
    <w:abstractNumId w:val="4"/>
  </w:num>
  <w:num w:numId="11" w16cid:durableId="313488772">
    <w:abstractNumId w:val="8"/>
  </w:num>
  <w:num w:numId="12" w16cid:durableId="1948732932">
    <w:abstractNumId w:val="8"/>
  </w:num>
  <w:num w:numId="13" w16cid:durableId="248122169">
    <w:abstractNumId w:val="3"/>
  </w:num>
  <w:num w:numId="14" w16cid:durableId="1933276424">
    <w:abstractNumId w:val="3"/>
  </w:num>
  <w:num w:numId="15" w16cid:durableId="1318461624">
    <w:abstractNumId w:val="2"/>
  </w:num>
  <w:num w:numId="16" w16cid:durableId="1197162005">
    <w:abstractNumId w:val="2"/>
  </w:num>
  <w:num w:numId="17" w16cid:durableId="526530430">
    <w:abstractNumId w:val="1"/>
  </w:num>
  <w:num w:numId="18" w16cid:durableId="1730568649">
    <w:abstractNumId w:val="1"/>
  </w:num>
  <w:num w:numId="19" w16cid:durableId="47263696">
    <w:abstractNumId w:val="0"/>
  </w:num>
  <w:num w:numId="20" w16cid:durableId="797380348">
    <w:abstractNumId w:val="0"/>
  </w:num>
  <w:num w:numId="21" w16cid:durableId="502938851">
    <w:abstractNumId w:val="9"/>
  </w:num>
  <w:num w:numId="22" w16cid:durableId="1340742531">
    <w:abstractNumId w:val="7"/>
  </w:num>
  <w:num w:numId="23" w16cid:durableId="939803466">
    <w:abstractNumId w:val="6"/>
  </w:num>
  <w:num w:numId="24" w16cid:durableId="64689641">
    <w:abstractNumId w:val="5"/>
  </w:num>
  <w:num w:numId="25" w16cid:durableId="1630286204">
    <w:abstractNumId w:val="4"/>
  </w:num>
  <w:num w:numId="26" w16cid:durableId="742408200">
    <w:abstractNumId w:val="8"/>
  </w:num>
  <w:num w:numId="27" w16cid:durableId="819928127">
    <w:abstractNumId w:val="3"/>
  </w:num>
  <w:num w:numId="28" w16cid:durableId="691690404">
    <w:abstractNumId w:val="2"/>
  </w:num>
  <w:num w:numId="29" w16cid:durableId="2033799788">
    <w:abstractNumId w:val="1"/>
  </w:num>
  <w:num w:numId="30" w16cid:durableId="1379626293">
    <w:abstractNumId w:val="0"/>
  </w:num>
  <w:num w:numId="31" w16cid:durableId="990715805">
    <w:abstractNumId w:val="9"/>
  </w:num>
  <w:num w:numId="32" w16cid:durableId="1083793448">
    <w:abstractNumId w:val="7"/>
  </w:num>
  <w:num w:numId="33" w16cid:durableId="484667777">
    <w:abstractNumId w:val="6"/>
  </w:num>
  <w:num w:numId="34" w16cid:durableId="246109831">
    <w:abstractNumId w:val="5"/>
  </w:num>
  <w:num w:numId="35" w16cid:durableId="1292055732">
    <w:abstractNumId w:val="4"/>
  </w:num>
  <w:num w:numId="36" w16cid:durableId="1878807372">
    <w:abstractNumId w:val="8"/>
  </w:num>
  <w:num w:numId="37" w16cid:durableId="1959480945">
    <w:abstractNumId w:val="3"/>
  </w:num>
  <w:num w:numId="38" w16cid:durableId="744764882">
    <w:abstractNumId w:val="2"/>
  </w:num>
  <w:num w:numId="39" w16cid:durableId="1327515300">
    <w:abstractNumId w:val="1"/>
  </w:num>
  <w:num w:numId="40" w16cid:durableId="557016030">
    <w:abstractNumId w:val="0"/>
  </w:num>
  <w:num w:numId="41" w16cid:durableId="1123230944">
    <w:abstractNumId w:val="10"/>
  </w:num>
  <w:num w:numId="42" w16cid:durableId="1946499322">
    <w:abstractNumId w:val="10"/>
  </w:num>
  <w:num w:numId="43" w16cid:durableId="900407962">
    <w:abstractNumId w:val="10"/>
  </w:num>
  <w:num w:numId="44" w16cid:durableId="1242716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DA"/>
    <w:docVar w:name="dvnumam" w:val="0"/>
    <w:docVar w:name="dvpe" w:val="785.295"/>
    <w:docVar w:name="dvtitre" w:val="Europa-Parlamentets beslutning af xx.xx 2026 om håndhævelse af forordningen om digitale markeder(2026/2596(RSP))"/>
  </w:docVars>
  <w:rsids>
    <w:rsidRoot w:val="00330656"/>
    <w:rsid w:val="00002272"/>
    <w:rsid w:val="00064002"/>
    <w:rsid w:val="000677B9"/>
    <w:rsid w:val="000831BA"/>
    <w:rsid w:val="000A42CC"/>
    <w:rsid w:val="000E7DD9"/>
    <w:rsid w:val="0010095E"/>
    <w:rsid w:val="00125B37"/>
    <w:rsid w:val="00187494"/>
    <w:rsid w:val="001F32AE"/>
    <w:rsid w:val="002767FF"/>
    <w:rsid w:val="002B18FE"/>
    <w:rsid w:val="002B5493"/>
    <w:rsid w:val="002E3994"/>
    <w:rsid w:val="00330656"/>
    <w:rsid w:val="00343214"/>
    <w:rsid w:val="00361C00"/>
    <w:rsid w:val="00395FA1"/>
    <w:rsid w:val="003E15D4"/>
    <w:rsid w:val="003E2BC8"/>
    <w:rsid w:val="00411CCE"/>
    <w:rsid w:val="0041666E"/>
    <w:rsid w:val="00421060"/>
    <w:rsid w:val="00471C19"/>
    <w:rsid w:val="004867E3"/>
    <w:rsid w:val="00494A28"/>
    <w:rsid w:val="004C0004"/>
    <w:rsid w:val="004C5D52"/>
    <w:rsid w:val="0050519A"/>
    <w:rsid w:val="005072A1"/>
    <w:rsid w:val="00514517"/>
    <w:rsid w:val="00545827"/>
    <w:rsid w:val="00550F67"/>
    <w:rsid w:val="00560270"/>
    <w:rsid w:val="005C2568"/>
    <w:rsid w:val="005F1B17"/>
    <w:rsid w:val="006037C0"/>
    <w:rsid w:val="0061639A"/>
    <w:rsid w:val="00630C77"/>
    <w:rsid w:val="006631B6"/>
    <w:rsid w:val="00680577"/>
    <w:rsid w:val="006F74FA"/>
    <w:rsid w:val="00702C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6B0"/>
    <w:rsid w:val="008C2AC6"/>
    <w:rsid w:val="00925822"/>
    <w:rsid w:val="00930C23"/>
    <w:rsid w:val="0093193B"/>
    <w:rsid w:val="009509D8"/>
    <w:rsid w:val="00950B64"/>
    <w:rsid w:val="00981893"/>
    <w:rsid w:val="009F3F2B"/>
    <w:rsid w:val="00A1687D"/>
    <w:rsid w:val="00A43E52"/>
    <w:rsid w:val="00A4678D"/>
    <w:rsid w:val="00A532F1"/>
    <w:rsid w:val="00A66F6F"/>
    <w:rsid w:val="00A778C7"/>
    <w:rsid w:val="00AA5B0B"/>
    <w:rsid w:val="00AB441E"/>
    <w:rsid w:val="00AB6293"/>
    <w:rsid w:val="00AE0928"/>
    <w:rsid w:val="00AF3B82"/>
    <w:rsid w:val="00B12E95"/>
    <w:rsid w:val="00B22876"/>
    <w:rsid w:val="00B558F0"/>
    <w:rsid w:val="00BD48FE"/>
    <w:rsid w:val="00BD7BD8"/>
    <w:rsid w:val="00BE6ADC"/>
    <w:rsid w:val="00C05BFE"/>
    <w:rsid w:val="00C23CD4"/>
    <w:rsid w:val="00C3019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49D03"/>
  <w15:chartTrackingRefBased/>
  <w15:docId w15:val="{2BE9904B-E5AF-49A7-B85A-22FB7B01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639A"/>
    <w:pPr>
      <w:spacing w:before="480" w:after="240"/>
    </w:pPr>
  </w:style>
  <w:style w:type="paragraph" w:customStyle="1" w:styleId="NormalHanging12a">
    <w:name w:val="NormalHanging12a"/>
    <w:basedOn w:val="Normal"/>
    <w:rsid w:val="0061639A"/>
    <w:pPr>
      <w:spacing w:after="240"/>
      <w:ind w:left="567" w:hanging="567"/>
    </w:pPr>
  </w:style>
  <w:style w:type="character" w:styleId="Hyperlink">
    <w:name w:val="Hyperlink"/>
    <w:basedOn w:val="DefaultParagraphFont"/>
    <w:unhideWhenUsed/>
    <w:rsid w:val="0061639A"/>
    <w:rPr>
      <w:color w:val="0563C1" w:themeColor="hyperlink"/>
      <w:u w:val="single"/>
    </w:rPr>
  </w:style>
  <w:style w:type="paragraph" w:styleId="Revision">
    <w:name w:val="Revision"/>
    <w:hidden/>
    <w:uiPriority w:val="99"/>
    <w:semiHidden/>
    <w:rsid w:val="00550F6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4231</Words>
  <Characters>27708</Characters>
  <Application>Microsoft Office Word</Application>
  <DocSecurity>0</DocSecurity>
  <Lines>865</Lines>
  <Paragraphs>550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2026-04-30T12:41:00Z</dcterms:created>
  <dcterms:modified xsi:type="dcterms:W3CDTF">2026-04-30T12:41:00Z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B10-0190/2026</vt:lpwstr>
  </property>
  <property fmtid="{D5CDD505-2E9C-101B-9397-08002B2CF9AE}" pid="4" name="&lt;Type&gt;">
    <vt:lpwstr>RR</vt:lpwstr>
  </property>
</Properties>
</file>