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7FA2" w14:paraId="679C7BA3" w14:textId="77777777" w:rsidTr="0010095E">
        <w:trPr>
          <w:trHeight w:hRule="exact" w:val="1418"/>
        </w:trPr>
        <w:tc>
          <w:tcPr>
            <w:tcW w:w="6804" w:type="dxa"/>
            <w:shd w:val="clear" w:color="auto" w:fill="auto"/>
            <w:vAlign w:val="center"/>
          </w:tcPr>
          <w:p w14:paraId="6E151296" w14:textId="77777777" w:rsidR="00751A4A" w:rsidRPr="009B7FA2" w:rsidRDefault="008C4007" w:rsidP="0010095E">
            <w:pPr>
              <w:pStyle w:val="EPName"/>
            </w:pPr>
            <w:r w:rsidRPr="009B7FA2">
              <w:t>Ευρωπαϊκό Κοινοβούλιο</w:t>
            </w:r>
          </w:p>
          <w:p w14:paraId="3976F230" w14:textId="77777777" w:rsidR="00751A4A" w:rsidRPr="009B7FA2" w:rsidRDefault="005F1B17" w:rsidP="005F1B17">
            <w:pPr>
              <w:pStyle w:val="EPTerm"/>
              <w:rPr>
                <w:rStyle w:val="HideTWBExt"/>
                <w:noProof w:val="0"/>
                <w:vanish w:val="0"/>
                <w:color w:val="auto"/>
              </w:rPr>
            </w:pPr>
            <w:r w:rsidRPr="009B7FA2">
              <w:t>2024</w:t>
            </w:r>
            <w:r w:rsidR="00817416" w:rsidRPr="009B7FA2">
              <w:t>-202</w:t>
            </w:r>
            <w:r w:rsidRPr="009B7FA2">
              <w:t>9</w:t>
            </w:r>
          </w:p>
        </w:tc>
        <w:tc>
          <w:tcPr>
            <w:tcW w:w="2268" w:type="dxa"/>
            <w:shd w:val="clear" w:color="auto" w:fill="auto"/>
          </w:tcPr>
          <w:p w14:paraId="2335F248" w14:textId="77777777" w:rsidR="00751A4A" w:rsidRPr="009B7FA2" w:rsidRDefault="00187494" w:rsidP="0010095E">
            <w:pPr>
              <w:pStyle w:val="EPLogo"/>
            </w:pPr>
            <w:r w:rsidRPr="009B7FA2">
              <w:rPr>
                <w:noProof/>
                <w:lang w:eastAsia="ja-JP"/>
              </w:rPr>
              <w:drawing>
                <wp:inline distT="0" distB="0" distL="0" distR="0" wp14:anchorId="2C0C7264" wp14:editId="748D43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4000FD" w14:textId="77777777" w:rsidR="00D058B8" w:rsidRPr="009B7FA2" w:rsidRDefault="00D058B8" w:rsidP="004C5D52">
      <w:pPr>
        <w:pStyle w:val="LineTop"/>
      </w:pPr>
    </w:p>
    <w:p w14:paraId="2772F5E1" w14:textId="77777777" w:rsidR="00680577" w:rsidRPr="009B7FA2" w:rsidRDefault="008C4007" w:rsidP="00680577">
      <w:pPr>
        <w:pStyle w:val="EPBodyTA1"/>
      </w:pPr>
      <w:r w:rsidRPr="009B7FA2">
        <w:t>ΚΕΙΜΕΝΑ ΠΟΥ ΕΓΚΡΙΘΗΚΑΝ</w:t>
      </w:r>
    </w:p>
    <w:p w14:paraId="004F77E8" w14:textId="77777777" w:rsidR="00D058B8" w:rsidRPr="009B7FA2" w:rsidRDefault="00D058B8" w:rsidP="00D058B8">
      <w:pPr>
        <w:pStyle w:val="LineBottom"/>
      </w:pPr>
    </w:p>
    <w:p w14:paraId="03B7B77B" w14:textId="6101EE45" w:rsidR="008C4007" w:rsidRPr="009B7FA2" w:rsidRDefault="008C4007" w:rsidP="008C4007">
      <w:pPr>
        <w:pStyle w:val="ATHeading1"/>
      </w:pPr>
      <w:bookmarkStart w:id="0" w:name="TANumber"/>
      <w:r w:rsidRPr="009B7FA2">
        <w:t>P10_TA(2026)0</w:t>
      </w:r>
      <w:r w:rsidR="00804D81" w:rsidRPr="009B7FA2">
        <w:t>160</w:t>
      </w:r>
      <w:bookmarkEnd w:id="0"/>
    </w:p>
    <w:p w14:paraId="3A06A601" w14:textId="77777777" w:rsidR="008C4007" w:rsidRPr="009B7FA2" w:rsidRDefault="008C4007" w:rsidP="008C4007">
      <w:pPr>
        <w:pStyle w:val="ATHeading2"/>
      </w:pPr>
      <w:bookmarkStart w:id="1" w:name="title"/>
      <w:r w:rsidRPr="009B7FA2">
        <w:t>Επιβολή της πράξης για τις ψηφιακές αγορές</w:t>
      </w:r>
      <w:bookmarkEnd w:id="1"/>
    </w:p>
    <w:p w14:paraId="2C1B3EAE" w14:textId="77777777" w:rsidR="008C4007" w:rsidRPr="009B7FA2" w:rsidRDefault="008C4007" w:rsidP="008C4007">
      <w:pPr>
        <w:rPr>
          <w:i/>
          <w:vanish/>
        </w:rPr>
      </w:pPr>
      <w:r w:rsidRPr="009B7FA2">
        <w:rPr>
          <w:i/>
        </w:rPr>
        <w:fldChar w:fldCharType="begin"/>
      </w:r>
      <w:r w:rsidRPr="009B7FA2">
        <w:rPr>
          <w:i/>
        </w:rPr>
        <w:instrText xml:space="preserve"> TC"(</w:instrText>
      </w:r>
      <w:bookmarkStart w:id="2" w:name="DocNumber"/>
      <w:r w:rsidRPr="009B7FA2">
        <w:rPr>
          <w:i/>
        </w:rPr>
        <w:instrText>B10-0190/2026</w:instrText>
      </w:r>
      <w:bookmarkEnd w:id="2"/>
      <w:r w:rsidRPr="009B7FA2">
        <w:rPr>
          <w:i/>
        </w:rPr>
        <w:instrText xml:space="preserve">)"\l3 \n&gt; \* MERGEFORMAT </w:instrText>
      </w:r>
      <w:r w:rsidRPr="009B7FA2">
        <w:rPr>
          <w:i/>
        </w:rPr>
        <w:fldChar w:fldCharType="end"/>
      </w:r>
    </w:p>
    <w:p w14:paraId="2C406364" w14:textId="77777777" w:rsidR="008C4007" w:rsidRPr="009B7FA2" w:rsidRDefault="008C4007" w:rsidP="008C4007">
      <w:pPr>
        <w:rPr>
          <w:vanish/>
        </w:rPr>
      </w:pPr>
      <w:bookmarkStart w:id="3" w:name="PE"/>
      <w:r w:rsidRPr="009B7FA2">
        <w:rPr>
          <w:vanish/>
        </w:rPr>
        <w:t>PE785.295</w:t>
      </w:r>
      <w:bookmarkEnd w:id="3"/>
    </w:p>
    <w:p w14:paraId="3D31C66D" w14:textId="6B7B793B" w:rsidR="008C4007" w:rsidRPr="009B7FA2" w:rsidRDefault="008C4007" w:rsidP="008C4007">
      <w:pPr>
        <w:pStyle w:val="ATHeading3"/>
      </w:pPr>
      <w:bookmarkStart w:id="4" w:name="Sujet"/>
      <w:r w:rsidRPr="009B7FA2">
        <w:t xml:space="preserve">Ψήφισμα του Ευρωπαϊκού Κοινοβουλίου της </w:t>
      </w:r>
      <w:r w:rsidR="0023607C" w:rsidRPr="009B7FA2">
        <w:t xml:space="preserve">30ής Απριλίου </w:t>
      </w:r>
      <w:r w:rsidRPr="009B7FA2">
        <w:t>2026 σχετικά με την επιβολή της πράξης για τις ψηφιακές αγορές</w:t>
      </w:r>
      <w:bookmarkEnd w:id="4"/>
      <w:r w:rsidRPr="009B7FA2">
        <w:t xml:space="preserve"> </w:t>
      </w:r>
      <w:bookmarkStart w:id="5" w:name="References"/>
      <w:r w:rsidRPr="009B7FA2">
        <w:t>(2026/2596(RSP))</w:t>
      </w:r>
      <w:bookmarkEnd w:id="5"/>
    </w:p>
    <w:p w14:paraId="2858F090" w14:textId="77777777" w:rsidR="006B2AF2" w:rsidRPr="009B7FA2" w:rsidRDefault="006B2AF2" w:rsidP="006B2AF2">
      <w:pPr>
        <w:pStyle w:val="EPComma"/>
      </w:pPr>
      <w:bookmarkStart w:id="6" w:name="TextBodyBegin"/>
      <w:bookmarkEnd w:id="6"/>
      <w:r w:rsidRPr="009B7FA2">
        <w:rPr>
          <w:i/>
        </w:rPr>
        <w:t>Το Ευρωπαϊκό Κοινοβούλιο</w:t>
      </w:r>
      <w:r w:rsidRPr="009B7FA2">
        <w:t>,</w:t>
      </w:r>
    </w:p>
    <w:p w14:paraId="77118AD1" w14:textId="77777777" w:rsidR="006B2AF2" w:rsidRPr="009B7FA2" w:rsidRDefault="006B2AF2" w:rsidP="006B2AF2">
      <w:pPr>
        <w:pStyle w:val="NormalHanging12a"/>
      </w:pPr>
      <w:r w:rsidRPr="009B7FA2">
        <w:t>–</w:t>
      </w:r>
      <w:r w:rsidRPr="009B7FA2">
        <w:tab/>
        <w:t>έχοντας υπόψη τον κανονισμό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ψηφιακές αγορές)</w:t>
      </w:r>
      <w:r w:rsidRPr="009B7FA2">
        <w:rPr>
          <w:rStyle w:val="FootnoteReference"/>
        </w:rPr>
        <w:footnoteReference w:id="1"/>
      </w:r>
      <w:r w:rsidRPr="009B7FA2">
        <w:t>, και ιδίως το άρθρο 53,</w:t>
      </w:r>
    </w:p>
    <w:p w14:paraId="77077134" w14:textId="53A726C5" w:rsidR="006B2AF2" w:rsidRPr="009B7FA2" w:rsidRDefault="006B2AF2" w:rsidP="006B2AF2">
      <w:pPr>
        <w:pStyle w:val="NormalHanging12a"/>
      </w:pPr>
      <w:r w:rsidRPr="009B7FA2">
        <w:t>–</w:t>
      </w:r>
      <w:r w:rsidRPr="009B7FA2">
        <w:tab/>
        <w:t>έχοντας υπόψη την ερώτηση προς την Επιτροπή σχετικά με την επιβολή της πράξης για τις ψηφιακές αγορές (</w:t>
      </w:r>
      <w:r w:rsidR="007A6A47">
        <w:rPr>
          <w:rFonts w:eastAsiaTheme="minorEastAsia"/>
        </w:rPr>
        <w:t xml:space="preserve">O-000016/2026 </w:t>
      </w:r>
      <w:r w:rsidRPr="009B7FA2">
        <w:t>– B10</w:t>
      </w:r>
      <w:r w:rsidRPr="009B7FA2">
        <w:noBreakHyphen/>
        <w:t>00</w:t>
      </w:r>
      <w:r w:rsidR="00926C92" w:rsidRPr="009B7FA2">
        <w:t>1</w:t>
      </w:r>
      <w:r w:rsidRPr="009B7FA2">
        <w:t>0/2026),</w:t>
      </w:r>
    </w:p>
    <w:p w14:paraId="738ECCB3" w14:textId="77777777" w:rsidR="006B2AF2" w:rsidRPr="009B7FA2" w:rsidRDefault="006B2AF2" w:rsidP="006B2AF2">
      <w:pPr>
        <w:pStyle w:val="NormalHanging12a"/>
        <w:rPr>
          <w:rFonts w:eastAsia="Aptos"/>
          <w:kern w:val="2"/>
          <w:szCs w:val="24"/>
          <w14:ligatures w14:val="standardContextual"/>
        </w:rPr>
      </w:pPr>
      <w:r w:rsidRPr="009B7FA2">
        <w:t>–</w:t>
      </w:r>
      <w:r w:rsidRPr="009B7FA2">
        <w:tab/>
        <w:t xml:space="preserve">έχοντας υπόψη τις αποφάσεις της Επιτροπής, της 6ης Σεπτεμβρίου 2023, που εκδόθηκαν σύμφωνα με το άρθρο 3 του κανονισμού (ΕΕ) 2022/1925, για τον ορισμό των </w:t>
      </w:r>
      <w:proofErr w:type="spellStart"/>
      <w:r w:rsidRPr="009B7FA2">
        <w:t>Alphabet</w:t>
      </w:r>
      <w:proofErr w:type="spellEnd"/>
      <w:r w:rsidRPr="009B7FA2">
        <w:rPr>
          <w:rFonts w:eastAsia="MS Mincho"/>
          <w:vertAlign w:val="superscript"/>
          <w:lang w:eastAsia="en-US"/>
        </w:rPr>
        <w:footnoteReference w:id="2"/>
      </w:r>
      <w:r w:rsidRPr="009B7FA2">
        <w:t xml:space="preserve">, </w:t>
      </w:r>
      <w:proofErr w:type="spellStart"/>
      <w:r w:rsidRPr="009B7FA2">
        <w:t>Amazon</w:t>
      </w:r>
      <w:proofErr w:type="spellEnd"/>
      <w:r w:rsidRPr="009B7FA2">
        <w:rPr>
          <w:rFonts w:eastAsia="MS Mincho"/>
          <w:vertAlign w:val="superscript"/>
          <w:lang w:eastAsia="en-US"/>
        </w:rPr>
        <w:footnoteReference w:id="3"/>
      </w:r>
      <w:r w:rsidRPr="009B7FA2">
        <w:t xml:space="preserve">, </w:t>
      </w:r>
      <w:proofErr w:type="spellStart"/>
      <w:r w:rsidRPr="009B7FA2">
        <w:t>Apple</w:t>
      </w:r>
      <w:proofErr w:type="spellEnd"/>
      <w:r w:rsidRPr="009B7FA2">
        <w:rPr>
          <w:rFonts w:eastAsia="MS Mincho"/>
          <w:vertAlign w:val="superscript"/>
          <w:lang w:eastAsia="en-US"/>
        </w:rPr>
        <w:footnoteReference w:id="4"/>
      </w:r>
      <w:r w:rsidRPr="009B7FA2">
        <w:t xml:space="preserve">, </w:t>
      </w:r>
      <w:proofErr w:type="spellStart"/>
      <w:r w:rsidRPr="009B7FA2">
        <w:t>ByteDance</w:t>
      </w:r>
      <w:proofErr w:type="spellEnd"/>
      <w:r w:rsidRPr="009B7FA2">
        <w:rPr>
          <w:rFonts w:eastAsia="MS Mincho"/>
          <w:vertAlign w:val="superscript"/>
          <w:lang w:eastAsia="en-US"/>
        </w:rPr>
        <w:footnoteReference w:id="5"/>
      </w:r>
      <w:r w:rsidRPr="009B7FA2">
        <w:t xml:space="preserve">, </w:t>
      </w:r>
      <w:proofErr w:type="spellStart"/>
      <w:r w:rsidRPr="009B7FA2">
        <w:t>Meta</w:t>
      </w:r>
      <w:proofErr w:type="spellEnd"/>
      <w:r w:rsidRPr="009B7FA2">
        <w:rPr>
          <w:rFonts w:eastAsia="MS Mincho"/>
          <w:vertAlign w:val="superscript"/>
          <w:lang w:eastAsia="en-US"/>
        </w:rPr>
        <w:footnoteReference w:id="6"/>
      </w:r>
      <w:r w:rsidRPr="009B7FA2">
        <w:t xml:space="preserve"> και Microsoft</w:t>
      </w:r>
      <w:r w:rsidRPr="009B7FA2">
        <w:rPr>
          <w:rFonts w:eastAsia="MS Mincho"/>
          <w:vertAlign w:val="superscript"/>
          <w:lang w:eastAsia="en-US"/>
        </w:rPr>
        <w:footnoteReference w:id="7"/>
      </w:r>
      <w:r w:rsidRPr="009B7FA2">
        <w:t xml:space="preserve"> ως πυλωρών όσον αφορά ορισμένες βασικές υπηρεσίες πλατφόρμας,</w:t>
      </w:r>
    </w:p>
    <w:p w14:paraId="484FF61F" w14:textId="77777777" w:rsidR="006B2AF2" w:rsidRPr="009B7FA2" w:rsidRDefault="006B2AF2" w:rsidP="006B2AF2">
      <w:pPr>
        <w:pStyle w:val="NormalHanging12a"/>
        <w:rPr>
          <w:rFonts w:eastAsia="Aptos"/>
          <w:kern w:val="2"/>
          <w:szCs w:val="24"/>
          <w14:ligatures w14:val="standardContextual"/>
        </w:rPr>
      </w:pPr>
      <w:r w:rsidRPr="009B7FA2">
        <w:t>–</w:t>
      </w:r>
      <w:r w:rsidRPr="009B7FA2">
        <w:tab/>
        <w:t>έχοντας υπόψη την απόφαση της Επιτροπής, της 29ης Απριλίου 2024</w:t>
      </w:r>
      <w:r w:rsidRPr="009B7FA2">
        <w:rPr>
          <w:rFonts w:eastAsia="MS Mincho"/>
          <w:szCs w:val="24"/>
          <w:vertAlign w:val="superscript"/>
          <w:lang w:eastAsia="en-US"/>
        </w:rPr>
        <w:footnoteReference w:id="8"/>
      </w:r>
      <w:r w:rsidRPr="009B7FA2">
        <w:t xml:space="preserve">, που εκδόθηκε σύμφωνα με το άρθρο 3 του κανονισμού (ΕΕ) 2022/1925, με την οποία το λειτουργικό σύστημα </w:t>
      </w:r>
      <w:proofErr w:type="spellStart"/>
      <w:r w:rsidRPr="009B7FA2">
        <w:t>iPadOS</w:t>
      </w:r>
      <w:proofErr w:type="spellEnd"/>
      <w:r w:rsidRPr="009B7FA2">
        <w:t xml:space="preserve"> της </w:t>
      </w:r>
      <w:proofErr w:type="spellStart"/>
      <w:r w:rsidRPr="009B7FA2">
        <w:t>Apple</w:t>
      </w:r>
      <w:proofErr w:type="spellEnd"/>
      <w:r w:rsidRPr="009B7FA2">
        <w:t xml:space="preserve"> ορίζεται ως βασική υπηρεσία πλατφόρμας,</w:t>
      </w:r>
    </w:p>
    <w:p w14:paraId="3EA1F048" w14:textId="77777777" w:rsidR="006B2AF2" w:rsidRPr="009B7FA2" w:rsidRDefault="006B2AF2" w:rsidP="006B2AF2">
      <w:pPr>
        <w:pStyle w:val="NormalHanging12a"/>
        <w:rPr>
          <w:rFonts w:eastAsia="Aptos"/>
          <w:kern w:val="2"/>
          <w:szCs w:val="24"/>
          <w14:ligatures w14:val="standardContextual"/>
        </w:rPr>
      </w:pPr>
      <w:r w:rsidRPr="009B7FA2">
        <w:t>–</w:t>
      </w:r>
      <w:r w:rsidRPr="009B7FA2">
        <w:tab/>
        <w:t>έχοντας υπόψη την απόφαση της Επιτροπής, της 13ης Μαΐου 2024</w:t>
      </w:r>
      <w:r w:rsidRPr="009B7FA2">
        <w:rPr>
          <w:rFonts w:eastAsia="MS Mincho"/>
          <w:szCs w:val="24"/>
          <w:vertAlign w:val="superscript"/>
          <w:lang w:eastAsia="en-US"/>
        </w:rPr>
        <w:footnoteReference w:id="9"/>
      </w:r>
      <w:r w:rsidRPr="009B7FA2">
        <w:t xml:space="preserve">, που εκδόθηκε σύμφωνα με το άρθρο 3 του κανονισμού (ΕΕ) 2022/1925, για τον ορισμό της </w:t>
      </w:r>
      <w:r w:rsidRPr="009B7FA2">
        <w:lastRenderedPageBreak/>
        <w:t>Booking.com ως πυλωρού όσον αφορά τις επιγραμμικές υπηρεσίες διαμεσολάβησης,</w:t>
      </w:r>
    </w:p>
    <w:p w14:paraId="658BDF02" w14:textId="77777777" w:rsidR="006B2AF2" w:rsidRPr="009B7FA2" w:rsidRDefault="006B2AF2" w:rsidP="006B2AF2">
      <w:pPr>
        <w:pStyle w:val="NormalHanging12a"/>
        <w:rPr>
          <w:rFonts w:eastAsia="Aptos"/>
          <w:kern w:val="2"/>
          <w:szCs w:val="24"/>
          <w14:ligatures w14:val="standardContextual"/>
        </w:rPr>
      </w:pPr>
      <w:r w:rsidRPr="009B7FA2">
        <w:t>–</w:t>
      </w:r>
      <w:r w:rsidRPr="009B7FA2">
        <w:tab/>
        <w:t>έχοντας υπόψη την απόφαση της Επιτροπής, της 23ης Απριλίου 2025</w:t>
      </w:r>
      <w:r w:rsidRPr="009B7FA2">
        <w:rPr>
          <w:rFonts w:eastAsia="MS Mincho"/>
          <w:szCs w:val="24"/>
          <w:vertAlign w:val="superscript"/>
          <w:lang w:eastAsia="en-US"/>
        </w:rPr>
        <w:footnoteReference w:id="10"/>
      </w:r>
      <w:r w:rsidRPr="009B7FA2">
        <w:t xml:space="preserve">, που εκδόθηκε σύμφωνα με το άρθρο 29 παράγραφος 1 στοιχείο α), το άρθρο 30 παράγραφος 1 στοιχείο α) και το άρθρο 31 παράγραφος 1 στοιχείο η) του κανονισμού (ΕΕ) 2022/1925, για την ανάκληση του ορισμού του Facebook Marketplace της </w:t>
      </w:r>
      <w:proofErr w:type="spellStart"/>
      <w:r w:rsidRPr="009B7FA2">
        <w:t>Meta</w:t>
      </w:r>
      <w:proofErr w:type="spellEnd"/>
      <w:r w:rsidRPr="009B7FA2">
        <w:t xml:space="preserve"> ως βασικής υπηρεσίας πλατφόρμας,</w:t>
      </w:r>
    </w:p>
    <w:p w14:paraId="41F73C4C" w14:textId="7B69D237" w:rsidR="006B2AF2" w:rsidRPr="009B7FA2" w:rsidRDefault="006B2AF2" w:rsidP="006B2AF2">
      <w:pPr>
        <w:pStyle w:val="NormalHanging12a"/>
        <w:rPr>
          <w:rFonts w:eastAsia="Aptos"/>
          <w:kern w:val="2"/>
          <w:szCs w:val="24"/>
          <w14:ligatures w14:val="standardContextual"/>
        </w:rPr>
      </w:pPr>
      <w:r w:rsidRPr="009B7FA2">
        <w:t>–</w:t>
      </w:r>
      <w:r w:rsidRPr="009B7FA2">
        <w:tab/>
        <w:t>έχοντας υπόψη τον εκτελεστικό κανονισμό (ΕΕ) 2023/814 της Επιτροπής, της 14ης</w:t>
      </w:r>
      <w:r w:rsidR="00C97DD4" w:rsidRPr="009B7FA2">
        <w:t> </w:t>
      </w:r>
      <w:r w:rsidRPr="009B7FA2">
        <w:t>Απριλίου 2023, σχετικά με λεπτομερείς ρυθμίσεις για τη διεξαγωγή ορισμένων διαδικασιών από την Επιτροπή σύμφωνα με τον κανονισμό (ΕΕ) 2022/1925 του Ευρωπαϊκού Κοινοβουλίου και του Συμβουλίου</w:t>
      </w:r>
      <w:r w:rsidRPr="009B7FA2">
        <w:rPr>
          <w:rFonts w:eastAsia="MS Mincho"/>
          <w:szCs w:val="24"/>
          <w:vertAlign w:val="superscript"/>
          <w:lang w:eastAsia="en-US"/>
        </w:rPr>
        <w:footnoteReference w:id="11"/>
      </w:r>
      <w:r w:rsidRPr="009B7FA2">
        <w:t>,</w:t>
      </w:r>
    </w:p>
    <w:p w14:paraId="2386A564" w14:textId="77777777" w:rsidR="006B2AF2" w:rsidRPr="009B7FA2" w:rsidRDefault="006B2AF2" w:rsidP="006B2AF2">
      <w:pPr>
        <w:pStyle w:val="NormalHanging12a"/>
      </w:pPr>
      <w:r w:rsidRPr="009B7FA2">
        <w:t>–</w:t>
      </w:r>
      <w:r w:rsidRPr="009B7FA2">
        <w:tab/>
        <w:t>έχοντας υπόψη το άρθρο 142 παράγραφος 5 και το άρθρο 136 παράγραφος 2 του Κανονισμού του,</w:t>
      </w:r>
    </w:p>
    <w:p w14:paraId="7F83A61F" w14:textId="77777777" w:rsidR="006B2AF2" w:rsidRPr="009B7FA2" w:rsidRDefault="006B2AF2" w:rsidP="006B2AF2">
      <w:pPr>
        <w:pStyle w:val="NormalHanging12a"/>
      </w:pPr>
      <w:r w:rsidRPr="009B7FA2">
        <w:t>Α.</w:t>
      </w:r>
      <w:r w:rsidRPr="009B7FA2">
        <w:tab/>
        <w:t>λαμβάνοντας υπόψη ότι η πράξη για τις ψηφιακές αγορές θεσπίζει ένα εναρμονισμένο εκ των προτέρων κανονιστικό πλαίσιο για τη διασφάλιση δίκαιων, ανοικτών και διεκδικήσιμων ψηφιακών αγορών σε ολόκληρη την ΕΕ, την πρόληψη αθέμιτων πρακτικών από τους πυλωρούς, τη διασφάλιση της ακεραιότητας και της ορθής λειτουργίας της ενιαίας αγοράς, τη διασφάλιση της αποτελεσματικής και χωρίς διακρίσεις εφαρμογής των υποχρεώσεων σε όλους τους ορισθέντες πυλωρούς, την άρση των φραγμών εισόδου και την προώθηση των διασυνοριακών ψηφιακών υπηρεσιών, της καινοτομίας, των επιλογών των καταναλωτών και του θεμιτού ανταγωνισμού σε ολόκληρη την ΕΕ·</w:t>
      </w:r>
    </w:p>
    <w:p w14:paraId="7888E753" w14:textId="77777777" w:rsidR="006B2AF2" w:rsidRPr="009B7FA2" w:rsidRDefault="006B2AF2" w:rsidP="006B2AF2">
      <w:pPr>
        <w:pStyle w:val="NormalHanging12a"/>
      </w:pPr>
      <w:r w:rsidRPr="009B7FA2">
        <w:t>Β.</w:t>
      </w:r>
      <w:r w:rsidRPr="009B7FA2">
        <w:tab/>
        <w:t>λαμβάνοντας υπόψη ότι η πράξη για τις ψηφιακές αγορές έχει ως στόχο να αποφέρει πραγματικά οφέλη στις ψηφιακές αγορές, διασφαλίζοντας ότι οι επαγγελματίες χρήστες και οι τελικοί χρήστες μπορούν να ασκούν αποτελεσματικά τα δικαιώματά τους βάσει του κανονισμού και ότι οι πρακτικές των πυλωρών δεν δημιουργούν πλέον διαρθρωτικούς φραγμούς στην είσοδο ή στην ικανότητα ανάπτυξης ή καινοτομίας στην ενιαία αγορά, και αποτρέπουν τον «εγκλωβισμό» των καταναλωτών που τους αποθαρρύνει να στραφούν προς άλλη υπηρεσία·</w:t>
      </w:r>
    </w:p>
    <w:p w14:paraId="371F42EE" w14:textId="77777777" w:rsidR="006B2AF2" w:rsidRPr="009B7FA2" w:rsidRDefault="006B2AF2" w:rsidP="006B2AF2">
      <w:pPr>
        <w:pStyle w:val="NormalHanging12a"/>
      </w:pPr>
      <w:r w:rsidRPr="009B7FA2">
        <w:t>Γ.</w:t>
      </w:r>
      <w:r w:rsidRPr="009B7FA2">
        <w:tab/>
        <w:t>λαμβάνοντας υπόψη ότι το Κοινοβούλιο ασκεί δημοκρατικό έλεγχο επί της εφαρμογής και της επιβολής της πράξης για τις ψηφιακές αγορές, ιδίως μέσω της Επιτροπής Εσωτερικής Αγοράς και Προστασίας των Καταναλωτών (IMCO)·</w:t>
      </w:r>
    </w:p>
    <w:p w14:paraId="45576DF7" w14:textId="77777777" w:rsidR="006B2AF2" w:rsidRPr="009B7FA2" w:rsidRDefault="006B2AF2" w:rsidP="006B2AF2">
      <w:pPr>
        <w:pStyle w:val="NormalHanging12a"/>
      </w:pPr>
      <w:r w:rsidRPr="009B7FA2">
        <w:t>Δ.</w:t>
      </w:r>
      <w:r w:rsidRPr="009B7FA2">
        <w:tab/>
        <w:t>λαμβάνοντας υπόψη ότι η έγκαιρη εφαρμογή της πράξης για τις ψηφιακές αγορές επιβεβαιώνει τη σημασία της ως βασικού μέσου για τη βελτίωση του ανοικτού χαρακτήρα και της δικαιοσύνης της αγοράς, του ανταγωνισμού και των επιλογών των χρηστών στην ΕΕ, και υπογραμμίζει ότι όλες οι επιχειρήσεις που δραστηριοποιούνται στην ΕΕ, ανεξάρτητα από το μέγεθος ή την προέλευσή τους, πρέπει να σέβονται πλήρως το δίκαιο της ΕΕ και να συμμορφώνονται με αυτό·</w:t>
      </w:r>
    </w:p>
    <w:p w14:paraId="46227DD6" w14:textId="77777777" w:rsidR="006B2AF2" w:rsidRPr="009B7FA2" w:rsidRDefault="006B2AF2" w:rsidP="006B2AF2">
      <w:pPr>
        <w:pStyle w:val="NormalHanging12a"/>
      </w:pPr>
      <w:r w:rsidRPr="009B7FA2">
        <w:t>Ε.</w:t>
      </w:r>
      <w:r w:rsidRPr="009B7FA2">
        <w:tab/>
        <w:t xml:space="preserve">λαμβάνοντας υπόψη ότι η εφαρμογή της πράξης για τις ψηφιακές αγορές βρίσκεται ακόμη σε πρώιμο στάδιο και συνεπάγεται προκλήσεις όσον αφορά την έγκαιρη και αποτελεσματική επιβολή, την ικανότητα παρακολούθησης και την πρακτική </w:t>
      </w:r>
      <w:r w:rsidRPr="009B7FA2">
        <w:lastRenderedPageBreak/>
        <w:t>αποτελεσματικότητα ορισμένων λύσεων συμμόρφωσης, ιδίως λόγω της πολυπλοκότητας των υποκείμενων τεχνολογιών, του σχεδιασμού της διεπαφής χρήστη και της αρχιτεκτονικής επιλογών·</w:t>
      </w:r>
    </w:p>
    <w:p w14:paraId="3442642B" w14:textId="77777777" w:rsidR="006B2AF2" w:rsidRPr="009B7FA2" w:rsidRDefault="006B2AF2" w:rsidP="006B2AF2">
      <w:pPr>
        <w:pStyle w:val="NormalHanging12a"/>
      </w:pPr>
      <w:r w:rsidRPr="009B7FA2">
        <w:t>ΣΤ.</w:t>
      </w:r>
      <w:r w:rsidRPr="009B7FA2">
        <w:tab/>
        <w:t>λαμβάνοντας υπόψη ότι οι μικρότερες επιχειρήσεις, συμπεριλαμβανομένων των νεοφυών και των καινοτόμων επεκτεινόμενων επιχειρήσεων, εξακολουθούν να αντιμετωπίζουν φραγμούς και αθέμιτα εμπόδια στις ψηφιακές αγορές, συμπεριλαμβανομένων πρακτικών που εισάγουν διακρίσεις και περιορισμών που επιβάλλονται από τους πυλωρούς, τα οποία ενδέχεται να παρεμποδίσουν την καινοτομία, να περιορίσουν τον ανταγωνισμό και να μειώσουν τις ευκαιρίες ανάπτυξης και, εντέλει, να μειώσουν τις επιλογές των καταναλωτών·</w:t>
      </w:r>
    </w:p>
    <w:p w14:paraId="72098EE6" w14:textId="77777777" w:rsidR="006B2AF2" w:rsidRPr="009B7FA2" w:rsidRDefault="006B2AF2" w:rsidP="006B2AF2">
      <w:pPr>
        <w:pStyle w:val="NormalHanging12a"/>
      </w:pPr>
      <w:r w:rsidRPr="009B7FA2">
        <w:t>Ζ.</w:t>
      </w:r>
      <w:r w:rsidRPr="009B7FA2">
        <w:tab/>
        <w:t>λαμβάνοντας υπόψη ότι οι ασυμμετρίες πληροφόρησης μεταξύ πυλωρών και ρυθμιστικών αρχών, καθώς και η περιορισμένη διαφάνεια όσον αφορά τα μέτρα συμμόρφωσης, ενέχουν τον κίνδυνο υπονόμευσης της αποτελεσματικής εποπτείας, της λογοδοσίας και της εμπιστοσύνης στην επιβολή της πράξης για τις ψηφιακές αγορές·</w:t>
      </w:r>
    </w:p>
    <w:p w14:paraId="73BC001E" w14:textId="77777777" w:rsidR="006B2AF2" w:rsidRPr="009B7FA2" w:rsidRDefault="006B2AF2" w:rsidP="006B2AF2">
      <w:pPr>
        <w:pStyle w:val="NormalHanging12a"/>
      </w:pPr>
      <w:r w:rsidRPr="009B7FA2">
        <w:t>Η.</w:t>
      </w:r>
      <w:r w:rsidRPr="009B7FA2">
        <w:tab/>
        <w:t xml:space="preserve">λαμβάνοντας υπόψη ότι η διαλειτουργικότητα, η πρόσβαση σε δεδομένα, η φορητότητα των δεδομένων και η πρόληψη της αυτοπροτίμησης αποτελούν βασικά στοιχεία της πράξης για τις ψηφιακές αγορές και απαιτούν διαρκή και αυστηρή επιβολή, μεταξύ άλλων όταν οι προεπιλεγμένες ρυθμίσεις, η τεχνική ολοκλήρωση ή οι </w:t>
      </w:r>
      <w:proofErr w:type="spellStart"/>
      <w:r w:rsidRPr="009B7FA2">
        <w:t>οικοσυστημικές</w:t>
      </w:r>
      <w:proofErr w:type="spellEnd"/>
      <w:r w:rsidRPr="009B7FA2">
        <w:t xml:space="preserve"> επιπτώσεις παρακωλύουν τον ανταγωνισμό·</w:t>
      </w:r>
    </w:p>
    <w:p w14:paraId="0E5D74C4" w14:textId="77777777" w:rsidR="006B2AF2" w:rsidRPr="009B7FA2" w:rsidRDefault="006B2AF2" w:rsidP="006B2AF2">
      <w:pPr>
        <w:pStyle w:val="NormalHanging12a"/>
      </w:pPr>
      <w:r w:rsidRPr="009B7FA2">
        <w:t>Θ.</w:t>
      </w:r>
      <w:r w:rsidRPr="009B7FA2">
        <w:tab/>
        <w:t xml:space="preserve">λαμβάνοντας υπόψη ότι διάφορες υποχρεώσεις στο πλαίσιο της πράξης για τις ψηφιακές αγορές βασίζονται σε ενεργές επιλογές των χρηστών, συμπεριλαμβανομένων της άρνησης της χορήγησης συγκατάθεσης, της </w:t>
      </w:r>
      <w:proofErr w:type="spellStart"/>
      <w:r w:rsidRPr="009B7FA2">
        <w:t>απεγκατάστασης</w:t>
      </w:r>
      <w:proofErr w:type="spellEnd"/>
      <w:r w:rsidRPr="009B7FA2">
        <w:t xml:space="preserve"> </w:t>
      </w:r>
      <w:proofErr w:type="spellStart"/>
      <w:r w:rsidRPr="009B7FA2">
        <w:t>προεγκατεστημένων</w:t>
      </w:r>
      <w:proofErr w:type="spellEnd"/>
      <w:r w:rsidRPr="009B7FA2">
        <w:t xml:space="preserve"> εφαρμογών, της αλλαγής των προεπιλεγμένων ρυθμίσεων και της μεταφοράς δεδομένων, καθιστώντας την ευαισθητοποίηση των χρηστών και τον σχεδιασμό της διεπαφής καίριας σημασίας για την αποτελεσματικότητα του κανονισμού·</w:t>
      </w:r>
    </w:p>
    <w:p w14:paraId="32552C0A" w14:textId="77777777" w:rsidR="006B2AF2" w:rsidRPr="009B7FA2" w:rsidRDefault="006B2AF2" w:rsidP="006B2AF2">
      <w:pPr>
        <w:pStyle w:val="NormalHanging12a"/>
      </w:pPr>
      <w:r w:rsidRPr="009B7FA2">
        <w:t>Ι.</w:t>
      </w:r>
      <w:r w:rsidRPr="009B7FA2">
        <w:tab/>
        <w:t xml:space="preserve">λαμβάνοντας υπόψη ότι έχουν παρατηρηθεί απτά αποτελέσματα όσον αφορά τη δημιουργία δίκαιων, ανοικτών και ανταγωνιστικών ψηφιακών αγορών από την έναρξη ισχύος της πράξης για τις ψηφιακές αγορές, καθώς οι καταναλωτές έχουν πλέον στη διάθεσή τους βελτιωμένες και πιο ουδέτερες οθόνες επιλογής κατά την επιλογή προεπιλεγμένων </w:t>
      </w:r>
      <w:proofErr w:type="spellStart"/>
      <w:r w:rsidRPr="009B7FA2">
        <w:t>φυλλομετρητών</w:t>
      </w:r>
      <w:proofErr w:type="spellEnd"/>
      <w:r w:rsidRPr="009B7FA2">
        <w:t xml:space="preserve"> και εφαρμογών, μεταξύ άλλων κατά τη αρχική ρύθμιση των συσκευών και μέσω των ρυθμίσεων συστήματος, και είναι σε θέση να ορίζουν τις υπηρεσίες τρίτων ως προεπιλεγμένες σε κατηγορίες που προηγουμένως περιορίζονταν σε </w:t>
      </w:r>
      <w:proofErr w:type="spellStart"/>
      <w:r w:rsidRPr="009B7FA2">
        <w:t>προεγκατεστημένες</w:t>
      </w:r>
      <w:proofErr w:type="spellEnd"/>
      <w:r w:rsidRPr="009B7FA2">
        <w:t xml:space="preserve"> υπηρεσίες·</w:t>
      </w:r>
    </w:p>
    <w:p w14:paraId="08875540" w14:textId="77777777" w:rsidR="006B2AF2" w:rsidRPr="009B7FA2" w:rsidRDefault="006B2AF2" w:rsidP="006B2AF2">
      <w:pPr>
        <w:pStyle w:val="NormalHanging12a"/>
      </w:pPr>
      <w:r w:rsidRPr="009B7FA2">
        <w:t>ΙΑ.</w:t>
      </w:r>
      <w:r w:rsidRPr="009B7FA2">
        <w:tab/>
        <w:t xml:space="preserve">λαμβάνοντας υπόψη ότι οι αυξημένες απαιτήσεις διαλειτουργικότητας διευρύνουν επίσης τις επιλογές των καταναλωτών, επιτρέποντας σε ευρύτερο φάσμα συνδεδεμένων και </w:t>
      </w:r>
      <w:proofErr w:type="spellStart"/>
      <w:r w:rsidRPr="009B7FA2">
        <w:t>φορετών</w:t>
      </w:r>
      <w:proofErr w:type="spellEnd"/>
      <w:r w:rsidRPr="009B7FA2">
        <w:t xml:space="preserve"> συσκευών και υπηρεσιών να λειτουργούν με βασικές υπηρεσίες πλατφόρμας, μειώνοντας έτσι την εξάρτηση από </w:t>
      </w:r>
      <w:proofErr w:type="spellStart"/>
      <w:r w:rsidRPr="009B7FA2">
        <w:t>προεγκατεστημένα</w:t>
      </w:r>
      <w:proofErr w:type="spellEnd"/>
      <w:r w:rsidRPr="009B7FA2">
        <w:t xml:space="preserve"> οικοσυστήματα και συμβάλλοντας στη μεγαλύτερη δυνατότητα διεκδίκησης και στην αυτονομία των καταναλωτών·</w:t>
      </w:r>
    </w:p>
    <w:p w14:paraId="4ADE3504" w14:textId="77777777" w:rsidR="006B2AF2" w:rsidRPr="009B7FA2" w:rsidRDefault="006B2AF2" w:rsidP="006B2AF2">
      <w:pPr>
        <w:pStyle w:val="NormalHanging12a"/>
      </w:pPr>
      <w:r w:rsidRPr="009B7FA2">
        <w:t>ΙΒ.</w:t>
      </w:r>
      <w:r w:rsidRPr="009B7FA2">
        <w:tab/>
        <w:t>λαμβάνοντας υπόψη ότι η επιτυχία της πράξης για τις ψηφιακές αγορές θα πρέπει να αξιολογείται όχι μόνο με βάση την επίσημη συμμόρφωση, αλλά και με βάση το κατά πόσον οι στόχοι της επιτυγχάνονται στην πράξη και γίνονται αντιληπτοί ως θεμιτοί από τους τελικούς χρήστες, τους επαγγελματίες χρήστες και το ευρύτερο κοινό·</w:t>
      </w:r>
    </w:p>
    <w:p w14:paraId="49A4C035" w14:textId="77777777" w:rsidR="006B2AF2" w:rsidRPr="009B7FA2" w:rsidRDefault="006B2AF2" w:rsidP="006B2AF2">
      <w:pPr>
        <w:pStyle w:val="NormalHanging12a"/>
      </w:pPr>
      <w:r w:rsidRPr="009B7FA2">
        <w:lastRenderedPageBreak/>
        <w:t>ΙΓ.</w:t>
      </w:r>
      <w:r w:rsidRPr="009B7FA2">
        <w:tab/>
        <w:t>λαμβάνοντας υπόψη ότι η πράξη για τις ψηφιακές αγορές προβλέπει μια σειρά εργαλείων επιβολής, συμπεριλαμβανομένων του ρυθμιστικού διαλόγου, των διερευνήσεων της αγοράς και των διαδικασιών μη συμμόρφωσης, για τον εντοπισμό, την αντιμετώπιση και την επιβολή προστίμων για παραβάσεις· λαμβάνοντας υπόψη ότι τα αποτελεσματικά και αναλογικά πρόστιμα είναι απαραίτητα για τη διασφάλιση της αποτροπής και τη διαφύλαξη της αποτελεσματικότητας της πράξης για τις ψηφιακές αγορές· λαμβάνοντας υπόψη ότι οι τεχνολογικές εξελίξεις, συμπεριλαμβανομένων των λειτουργιών που βασίζονται στην ΤΝ και των υπηρεσιών υπολογιστικού νέφους, εγείρουν νέες προκλήσεις για τη δυνατότητα διεκδίκησης και τη δικαιοσύνη, οι οποίες πρέπει να αντιμετωπιστούν με την έγκαιρη, ομοιόμορφη και συνεπή εφαρμογή των διατάξεων της πράξης για τις ψηφιακές αγορές·</w:t>
      </w:r>
    </w:p>
    <w:p w14:paraId="506E7E5B" w14:textId="77777777" w:rsidR="006B2AF2" w:rsidRPr="009B7FA2" w:rsidRDefault="006B2AF2" w:rsidP="006B2AF2">
      <w:pPr>
        <w:pStyle w:val="NormalHanging12a"/>
      </w:pPr>
      <w:r w:rsidRPr="009B7FA2">
        <w:t>ΙΔ.</w:t>
      </w:r>
      <w:r w:rsidRPr="009B7FA2">
        <w:tab/>
        <w:t>λαμβάνοντας υπόψη ότι η ταχεία ανάπτυξη των συστημάτων παραγωγικής ΤΝ και των εικονικών βοηθών που βασίζονται στην ΤΝ αναδιαμορφώνουν σημαντικά την ανταγωνιστική δυναμική, τις δομές της αγοράς, τις αξιακές αλυσίδες και την πρόσβαση των χρηστών σε ψηφιακές υπηρεσίες σε ολόκληρη την ΕΕ, με πιθανές επιπτώσεις στη δυνατότητα διεκδίκησης και τη δικαιοσύνη εντός των ψηφιακών αγορών·</w:t>
      </w:r>
    </w:p>
    <w:p w14:paraId="39F23F60" w14:textId="77777777" w:rsidR="006B2AF2" w:rsidRPr="009B7FA2" w:rsidRDefault="006B2AF2" w:rsidP="006B2AF2">
      <w:pPr>
        <w:pStyle w:val="NormalHanging12a"/>
      </w:pPr>
      <w:r w:rsidRPr="009B7FA2">
        <w:t>ΙΕ.</w:t>
      </w:r>
      <w:r w:rsidRPr="009B7FA2">
        <w:tab/>
        <w:t>λαμβάνοντας υπόψη ότι η πράξη για τις ψηφιακές αγορές περιλαμβάνει διάφορες διατάξεις που είναι σημαντικές για να αποτρέπονται οι πυλωροί από το να περιορίζουν τους αναδυόμενους προγραμματιστές ΤΝ να ανταγωνίζονται και να καινοτομούν, συμπεριλαμβανομένων των υποχρεώσεων που σχετίζονται με τη δίκαιη και χωρίς διακρίσεις κατάταξη, τη διαφάνεια στις διαφημιστικές υπηρεσίες και την πρόσβαση σε δεδομένα·</w:t>
      </w:r>
    </w:p>
    <w:p w14:paraId="1D76294F" w14:textId="77777777" w:rsidR="006B2AF2" w:rsidRPr="009B7FA2" w:rsidRDefault="006B2AF2" w:rsidP="006B2AF2">
      <w:pPr>
        <w:pStyle w:val="NormalHanging12a"/>
      </w:pPr>
      <w:r w:rsidRPr="009B7FA2">
        <w:t>ΙΣΤ.</w:t>
      </w:r>
      <w:r w:rsidRPr="009B7FA2">
        <w:tab/>
        <w:t xml:space="preserve">λαμβάνοντας υπόψη ότι, σε ορισμένες περιπτώσεις, οι υπηρεσίες υπολογιστικού νέφους αποτελούν όλο και περισσότερο ένα κρίσιμο επίπεδο ψηφιακών οικοσυστημάτων, μεταξύ άλλων για την ανάπτυξη, την υλοποίηση και την κλιμάκωση εφαρμογών ΤΝ· λαμβάνοντας υπόψη ότι τα υψηλά επίπεδα συγκέντρωσης, το κόστος αλλαγής παρόχου, οι περιορισμοί διαλειτουργικότητας και οι κίνδυνοι εξάρτησης σε ορισμένα τμήματα της αγοράς υπολογιστικού νέφους ενδέχεται να εγείρουν ανησυχίες παρόμοιες με εκείνες που θίγονται στην πράξη για τις ψηφιακές αγορές· λαμβάνοντας υπόψη ότι τον Νοέμβριο του 2025 κινήθηκε έρευνα για να αξιολογηθεί κατά πόσον η </w:t>
      </w:r>
      <w:proofErr w:type="spellStart"/>
      <w:r w:rsidRPr="009B7FA2">
        <w:t>Amazon</w:t>
      </w:r>
      <w:proofErr w:type="spellEnd"/>
      <w:r w:rsidRPr="009B7FA2">
        <w:t xml:space="preserve"> και η Microsoft θα πρέπει να οριστούν ως πυλωροί για τις υπηρεσίες υπολογιστικού νέφους που παρέχουν —</w:t>
      </w:r>
      <w:proofErr w:type="spellStart"/>
      <w:r w:rsidRPr="009B7FA2">
        <w:t>Amazon</w:t>
      </w:r>
      <w:proofErr w:type="spellEnd"/>
      <w:r w:rsidRPr="009B7FA2">
        <w:t xml:space="preserve"> Web Services και Microsoft </w:t>
      </w:r>
      <w:proofErr w:type="spellStart"/>
      <w:r w:rsidRPr="009B7FA2">
        <w:t>Azure</w:t>
      </w:r>
      <w:proofErr w:type="spellEnd"/>
      <w:r w:rsidRPr="009B7FA2">
        <w:t>—, και λαμβάνοντας υπόψη ότι κινήθηκε άλλη έρευνα για να αξιολογηθεί κατά πόσον οι τρέχουσες υποχρεώσεις στο πλαίσιο της πράξης για τις ψηφιακές αγορές είναι αποτελεσματικές για την αντιμετώπιση πρακτικών που περιορίζουν την ανταγωνιστικότητα ή είναι αθέμιτες στον τομέα του υπολογιστικού νέφους· λαμβάνοντας υπόψη ότι μέχρι σήμερα κανένας πάροχος υπηρεσιών υπολογιστικού νέφους δεν έχει οριστεί ως πυλωρός βάσει του κανονισμού·</w:t>
      </w:r>
    </w:p>
    <w:p w14:paraId="591B7099" w14:textId="77777777" w:rsidR="006B2AF2" w:rsidRPr="009B7FA2" w:rsidRDefault="006B2AF2" w:rsidP="006B2AF2">
      <w:pPr>
        <w:pStyle w:val="NormalHanging12a"/>
      </w:pPr>
      <w:r w:rsidRPr="009B7FA2">
        <w:t>ΙΖ.</w:t>
      </w:r>
      <w:r w:rsidRPr="009B7FA2">
        <w:tab/>
        <w:t>λαμβάνοντας υπόψη ότι η πρόσβαση σε υπολογιστική ισχύ μεγάλης κλίμακας, προηγμένα μοντέλα ΤΝ και υποδομές δεδομένων και υπολογιστικού νέφους ενδέχεται να δημιουργήσει νέες διαρθρωτικές εξαρτήσεις και φαινόμενα εγκλωβισμού σε οικοσυστήματα που θα μπορούσαν να περιορίσουν τη δυνατότητα διεκδίκησης εάν δεν αντιμετωπιστούν κατάλληλα βάσει του κανονιστικού πλαισίου της ΕΕ·</w:t>
      </w:r>
    </w:p>
    <w:p w14:paraId="0CBB8091" w14:textId="77777777" w:rsidR="006B2AF2" w:rsidRPr="009B7FA2" w:rsidRDefault="006B2AF2" w:rsidP="006B2AF2">
      <w:pPr>
        <w:pStyle w:val="NormalHanging12a"/>
      </w:pPr>
      <w:r w:rsidRPr="009B7FA2">
        <w:t>ΙΗ.</w:t>
      </w:r>
      <w:r w:rsidRPr="009B7FA2">
        <w:tab/>
        <w:t>λαμβάνοντας υπόψη ότι η επαρκής θεσμική ικανότητα, η τεχνική εμπειρογνωσία και οι πόροι εντός της Επιτροπής είναι απαραίτητα για τη διασφάλιση της αποτελεσματικής, ανεξάρτητης και έγκαιρης επιβολής της πράξης για τις ψηφιακές αγορές και για τη διατήρηση της αξιοπιστίας της και του αποτρεπτικού της αποτελέσματος·</w:t>
      </w:r>
    </w:p>
    <w:p w14:paraId="103FEC22" w14:textId="77777777" w:rsidR="006B2AF2" w:rsidRPr="009B7FA2" w:rsidRDefault="006B2AF2" w:rsidP="006B2AF2">
      <w:pPr>
        <w:pStyle w:val="NormalHanging12a"/>
      </w:pPr>
      <w:r w:rsidRPr="009B7FA2">
        <w:t>ΙΘ.</w:t>
      </w:r>
      <w:r w:rsidRPr="009B7FA2">
        <w:tab/>
        <w:t>λαμβάνοντας υπόψη ότι, σύμφωνα με την πράξη για τις ψηφιακές αγορές, η Επιτροπή υποχρεούται να διενεργεί περιοδική επανεξέταση του κανονισμού, παρέχοντας την ευκαιρία να αξιολογηθεί η αποτελεσματικότητα της επιβολής και τα οφέλη της για τους καταναλωτές, να προσδιοριστούν οι προκλήσεις εφαρμογής και να διασφαλιστεί ότι η πράξη για τις ψηφιακές αγορές παραμένει κατάλληλη για τον επιδιωκόμενο σκοπό υπό το πρίσμα των τεχνολογικών εξελίξεων και των εξελίξεων της αγοράς και των εξελισσόμενων μορφών οικοσυστημάτων που βασίζονται στην ΤΝ·</w:t>
      </w:r>
    </w:p>
    <w:p w14:paraId="7F528354" w14:textId="22B890BD" w:rsidR="006B2AF2" w:rsidRPr="009B7FA2" w:rsidRDefault="009B7FA2" w:rsidP="009B7FA2">
      <w:pPr>
        <w:pStyle w:val="NormalHanging12a"/>
        <w:ind w:hanging="570"/>
      </w:pPr>
      <w:r w:rsidRPr="009B7FA2">
        <w:t>1.</w:t>
      </w:r>
      <w:r w:rsidRPr="009B7FA2">
        <w:tab/>
      </w:r>
      <w:r w:rsidR="006B2AF2" w:rsidRPr="009B7FA2">
        <w:t>επαναβεβαιώνει ότι η αποτελεσματική, έγκαιρη και συνεπής επιβολή της πράξης για τις ψηφιακές αγορές, καθώς και η πολιτική στήριξη της Επιτροπής, είναι ουσιαστικής σημασίας για τη διασφάλιση της λειτουργίας της ενιαίας αγοράς και για τη διασφάλιση απτών οφελών για τους καταναλωτές, τους επιχειρηματικούς χρήστες και τους φορείς καινοτομίας σε ολόκληρη την ΕΕ·</w:t>
      </w:r>
    </w:p>
    <w:p w14:paraId="1B852973" w14:textId="4EC97C76" w:rsidR="006B2AF2" w:rsidRPr="009B7FA2" w:rsidRDefault="009B7FA2" w:rsidP="009B7FA2">
      <w:pPr>
        <w:pStyle w:val="NormalHanging12a"/>
        <w:ind w:hanging="570"/>
      </w:pPr>
      <w:r w:rsidRPr="009B7FA2">
        <w:t>2.</w:t>
      </w:r>
      <w:r w:rsidRPr="009B7FA2">
        <w:tab/>
      </w:r>
      <w:r w:rsidR="006B2AF2" w:rsidRPr="009B7FA2">
        <w:t>εκφράζει την ανησυχία του για την πολιτική πίεση που ασκείται από τρίτες χώρες, οι οποίες καλούν την ΕΕ να επανεξετάσει ή να αποδυναμώσει την πράξη για τις ψηφιακές αγορές, και υπογραμμίζει ότι η εν λόγω εξωτερική παρέμβαση δεν πρέπει να υπονομεύσει την κυριαρχία της ΕΕ και την αυτονομία της να καθορίζει και να επιβάλλει τους δικούς της κανόνες· τονίζει ότι οι υποχρεώσεις της πράξης για τις ψηφιακές αγορές ισχύουν εξίσου για όλους τους ορισθέντες πυλωρούς που παρέχουν υπηρεσίες στην ΕΕ, ανεξάρτητα από τον τόπο εγκατάστασης ή την ιθαγένειά τους·</w:t>
      </w:r>
    </w:p>
    <w:p w14:paraId="5E93E509" w14:textId="07D69973" w:rsidR="006B2AF2" w:rsidRPr="009B7FA2" w:rsidRDefault="009B7FA2" w:rsidP="009B7FA2">
      <w:pPr>
        <w:pStyle w:val="NormalHanging12a"/>
        <w:ind w:hanging="570"/>
      </w:pPr>
      <w:r w:rsidRPr="009B7FA2">
        <w:t>3.</w:t>
      </w:r>
      <w:r w:rsidRPr="009B7FA2">
        <w:tab/>
      </w:r>
      <w:r w:rsidR="006B2AF2" w:rsidRPr="009B7FA2">
        <w:t>καλεί την Επιτροπή να αξιοποιήσει πλήρως και προορατικά όλα τα μέσα επιβολής που προβλέπονται στην πράξη για τις ψηφιακές αγορές, τις έρευνες αγοράς, συμπεριλαμβανομένων των διαδικασιών μη συμμόρφωσης, τις επιθεωρήσεις, τα προσωρινά μέτρα, τα πρόστιμα και τις περιοδικές χρηματικές ποινές, προκειμένου να αποτραπεί η καταστρατήγηση και να διασφαλιστεί η αποτελεσματική συμμόρφωση·</w:t>
      </w:r>
    </w:p>
    <w:p w14:paraId="6AC67650" w14:textId="7C5FF212" w:rsidR="006B2AF2" w:rsidRPr="009B7FA2" w:rsidRDefault="009B7FA2" w:rsidP="009B7FA2">
      <w:pPr>
        <w:pStyle w:val="NormalHanging12a"/>
        <w:ind w:hanging="570"/>
      </w:pPr>
      <w:r w:rsidRPr="009B7FA2">
        <w:t>4.</w:t>
      </w:r>
      <w:r w:rsidRPr="009B7FA2">
        <w:tab/>
      </w:r>
      <w:r w:rsidR="006B2AF2" w:rsidRPr="009B7FA2">
        <w:t>τονίζει ότι, ναι μεν η Επιτροπή διατηρεί την αποκλειστική αρμοδιότητα για την επιβολή της πράξης για τις ψηφιακές αγορές, πλην όμως η αποτελεσματική, έγκαιρη και συνεπής εφαρμογή του κανονισμού σε ολόκληρη την ΕΕ απαιτεί διαρθρωμένη και στενή συνεργασία με τις εθνικές αρχές ανταγωνισμού και άλλους σχετικούς εθνικούς δημόσιους φορείς· υπογραμμίζει ότι, στο πλαίσιο που θεσπίστηκε με την πράξη για τις ψηφιακές αγορές, οι εν λόγω αρχές διαδραματίζουν ουσιαστικό υποστηρικτικό ρόλο, μεταξύ άλλων βοηθώντας τις έρευνες και τις επιθεωρήσεις, συμβάλλοντας στην παρακολούθηση της αγοράς και διευκολύνοντας την ανταλλαγή πληροφοριών, ενισχύοντας έτσι την αποτελεσματική και ομοιόμορφη επιβολή της πράξης για τις ψηφιακές αγορές και διασφαλίζοντας δίκαιες και διεκδικήσιμες ψηφιακές αγορές σε ολόκληρη την ΕΕ·</w:t>
      </w:r>
    </w:p>
    <w:p w14:paraId="5AB5D86B" w14:textId="0ED42A1A" w:rsidR="006B2AF2" w:rsidRPr="009B7FA2" w:rsidRDefault="009B7FA2" w:rsidP="009B7FA2">
      <w:pPr>
        <w:pStyle w:val="NormalHanging12a"/>
        <w:ind w:hanging="570"/>
      </w:pPr>
      <w:r w:rsidRPr="009B7FA2">
        <w:t>5.</w:t>
      </w:r>
      <w:r w:rsidRPr="009B7FA2">
        <w:tab/>
      </w:r>
      <w:r w:rsidR="006B2AF2" w:rsidRPr="009B7FA2">
        <w:t>επισημαίνει ότι η διασφάλιση του ανοικτού χαρακτήρα της αγοράς, μεταξύ άλλων μέσω της αποτελεσματικής εφαρμογής της πράξης για τις ψηφιακές αγορές, αποτελεί ουσιαστικό στοιχείο της επιτυχίας της στρατηγικής για την εφαρμογή της ΤΝ που αποσκοπεί στην τόνωση της υιοθέτησης της ΤΝ και της καινοτομίας σε ολόκληρη την Ευρώπη, καθώς η αποτελεσματική δυνατότητα διεκδίκησης στις ψηφιακές αγορές αποτελεί προϋπόθεση για ένα ανοικτό και δίκαιο ευρωπαϊκό οικοσύστημα ΤΝ·</w:t>
      </w:r>
    </w:p>
    <w:p w14:paraId="0D3C565E" w14:textId="38862F5F" w:rsidR="006B2AF2" w:rsidRPr="009B7FA2" w:rsidRDefault="009B7FA2" w:rsidP="009B7FA2">
      <w:pPr>
        <w:pStyle w:val="NormalHanging12a"/>
        <w:ind w:hanging="570"/>
      </w:pPr>
      <w:r w:rsidRPr="009B7FA2">
        <w:t>6.</w:t>
      </w:r>
      <w:r w:rsidRPr="009B7FA2">
        <w:tab/>
      </w:r>
      <w:r w:rsidR="006B2AF2" w:rsidRPr="009B7FA2">
        <w:t>καλεί την Επιτροπή να περατώσει τις διαδικασίες μη συμμόρφωσης χωρίς αδικαιολόγητη καθυστέρηση και να διασφαλίσει την έγκαιρη επιβολή στο πλαίσιο της πράξης για τις ψηφιακές αγορές, ιδίως τηρώντας τόσο δεσμευτικές όσο και ενδεικτικές προθεσμίες, και να τηρεί δεόντως ενήμερο το Ευρωπαϊκό Κοινοβούλιο σχετικά με την πρόοδο της επιβολής· τονίζει ότι απαιτείται μεγαλύτερη διαφάνεια σχετικά με τα διαδικαστικά βήματα και τα χρονοδιαγράμματα, ώστε να μπορέσει το Κοινοβούλιο, και ιδίως η ομάδα εργασίας της επιτροπής IMCO για την πράξη για τις ψηφιακές αγορές, να ασκήσει τις ελεγκτικές εξουσίες του· καλεί την Επιτροπή να ενημερώνει προορατικά και τακτικά το Κοινοβούλιο σχετικά με την κατάσταση της επιβολής της πράξης για τις ψηφιακές αγορές, συμπεριλαμβανομένων των εξελίξεων στον κανονιστικό διάλογο, των δραστηριοτήτων και του θεματολογίου της ομάδας υψηλού επιπέδου, των σχετικών μελετών που ανατίθενται από την Επιτροπή, καθώς και κάθε άλλης πληροφορίας που είναι αναγκαία για την άσκηση των εποπτικών καθηκόντων του Κοινοβουλίου·</w:t>
      </w:r>
    </w:p>
    <w:p w14:paraId="5ECA114A" w14:textId="10FC423F" w:rsidR="006B2AF2" w:rsidRPr="009B7FA2" w:rsidRDefault="009B7FA2" w:rsidP="009B7FA2">
      <w:pPr>
        <w:pStyle w:val="NormalHanging12a"/>
        <w:ind w:hanging="570"/>
      </w:pPr>
      <w:r w:rsidRPr="009B7FA2">
        <w:t>7.</w:t>
      </w:r>
      <w:r w:rsidRPr="009B7FA2">
        <w:tab/>
      </w:r>
      <w:r w:rsidR="006B2AF2" w:rsidRPr="009B7FA2">
        <w:t>καλεί την Επιτροπή να αξιοποιήσει πλήρως την ομάδα υψηλού επιπέδου· τονίζει τη σημασία του αποτελεσματικού συντονισμού μεταξύ των ρυθμιστικών αρχών υπό το πρίσμα του μεγάλου αριθμού νέων κανόνων και ρυθμιστικών αρχών που δραστηριοποιούνται στις ψηφιακές αγορές·</w:t>
      </w:r>
    </w:p>
    <w:p w14:paraId="0906261E" w14:textId="59D30F3B" w:rsidR="006B2AF2" w:rsidRPr="009B7FA2" w:rsidRDefault="009B7FA2" w:rsidP="009B7FA2">
      <w:pPr>
        <w:pStyle w:val="NormalHanging12a"/>
        <w:ind w:hanging="570"/>
      </w:pPr>
      <w:r w:rsidRPr="009B7FA2">
        <w:t>8.</w:t>
      </w:r>
      <w:r w:rsidRPr="009B7FA2">
        <w:tab/>
      </w:r>
      <w:r w:rsidR="006B2AF2" w:rsidRPr="009B7FA2">
        <w:t>τονίζει ότι η συμμόρφωση με την πράξη για τις ψηφιακές αγορές πρέπει να αξιολογείται με βάση τις πρακτικές και πραγματικές επιπτώσεις της στον ανοικτό χαρακτήρα της αγοράς, τον ανταγωνισμό, την καινοτομία και τις επιλογές των χρηστών, διασφαλίζοντας έτσι ασφάλεια δικαίου, προβλεψιμότητα και ίση μεταχείριση·</w:t>
      </w:r>
    </w:p>
    <w:p w14:paraId="4BF10565" w14:textId="731077DB" w:rsidR="006B2AF2" w:rsidRPr="009B7FA2" w:rsidRDefault="009B7FA2" w:rsidP="009B7FA2">
      <w:pPr>
        <w:pStyle w:val="NormalHanging12a"/>
        <w:ind w:hanging="570"/>
      </w:pPr>
      <w:r w:rsidRPr="009B7FA2">
        <w:t>9.</w:t>
      </w:r>
      <w:r w:rsidRPr="009B7FA2">
        <w:tab/>
      </w:r>
      <w:r w:rsidR="006B2AF2" w:rsidRPr="009B7FA2">
        <w:t>καλεί την Επιτροπή να αντιμετωπίσει την ασύμμετρη πληροφόρηση ενισχύοντας τους μηχανισμούς που επιτρέπουν στους επαγγελματίες χρήστες και στους τελικούς χρήστες να ασκούν αποτελεσματικά τα δικαιώματα που τους παρέχει η πράξη για τις ψηφιακές αγορές, συμπεριλαμβανομένων των δικαιωμάτων που σχετίζονται με την επιλογή, την πρόσβαση σε δεδομένα, τη διαλειτουργικότητα, την απαγόρευση των διακρίσεων και την απαλλαγή από αντίποινα, μέσω προσβάσιμων και ασφαλών διαύλων υποβολής αναφορών και καταγγελιών, διασφαλίσεων κατά των αντιποίνων και αυξημένης ευαισθητοποίησης σχετικά με τα δικαιώματα και τα μέσα έννομης προστασίας που προβλέπονται στην πράξη για τις ψηφιακές αγορές, αναγνωρίζοντας ότι η αποτελεσματικότητα της πράξης για τις ψηφιακές αγορές εξαρτάται από την ενδυνάμωση των τελικών χρηστών·</w:t>
      </w:r>
    </w:p>
    <w:p w14:paraId="7868CBE1" w14:textId="5D893058" w:rsidR="006B2AF2" w:rsidRPr="009B7FA2" w:rsidRDefault="009B7FA2" w:rsidP="009B7FA2">
      <w:pPr>
        <w:pStyle w:val="NormalHanging12a"/>
        <w:ind w:hanging="570"/>
      </w:pPr>
      <w:r w:rsidRPr="009B7FA2">
        <w:t>10.</w:t>
      </w:r>
      <w:r w:rsidRPr="009B7FA2">
        <w:tab/>
      </w:r>
      <w:r w:rsidR="006B2AF2" w:rsidRPr="009B7FA2">
        <w:t>παροτρύνει την Επιτροπή να δώσει προτεραιότητα στην αυστηρή επιβολή των υποχρεώσεων διαλειτουργικότητας, πρόσβασης σε δεδομένα και φορητότητας δεδομένων, καθώς και των υποχρεώσεων κατά της καθοδήγησης των χρηστών και κατά της αυτοπροτίμησης, μεταξύ άλλων όταν προκύπτει παρακώλυση του ανταγωνισμού από προεπιλεγμένες ρυθμίσεις, τεχνικές ενσωματώσεις ή τον σχεδιασμό οικοσυστημάτων πλατφορμών· καλεί την Επιτροπή, κατά τον καθορισμό προτεραιοτήτων επιβολής, να λαμβάνει δεόντως υπόψη τις σχετικές εξελίξεις της αγοράς και την αλληλεπίδραση μεταξύ των εφαρμοστέων μέσων της ΕΕ, συμπεριλαμβανομένου του κανονισμού για τα δεδομένα</w:t>
      </w:r>
      <w:r w:rsidR="006B2AF2" w:rsidRPr="009B7FA2">
        <w:rPr>
          <w:rStyle w:val="FootnoteReference"/>
        </w:rPr>
        <w:footnoteReference w:id="12"/>
      </w:r>
      <w:r w:rsidR="006B2AF2" w:rsidRPr="009B7FA2">
        <w:t>· σημειώνει ότι, σε ορισμένες περιπτώσεις, η αποτελεσματική εφαρμογή και επιβολή της πράξης για τις ψηφιακές αγορές μπορεί να επηρεαστεί από τις αλληλεπιδράσεις των πυλωρών με ανταγωνιστές και επιχειρηματικούς εταίρους, ιδίως σε καταστάσεις όπου έχουν εκφραστεί ανησυχίες σχετικά με τη δικαιοσύνη στις επιχειρηματικές πρακτικές·</w:t>
      </w:r>
    </w:p>
    <w:p w14:paraId="67626EEC" w14:textId="38A643F0" w:rsidR="006B2AF2" w:rsidRPr="009B7FA2" w:rsidRDefault="009B7FA2" w:rsidP="009B7FA2">
      <w:pPr>
        <w:pStyle w:val="NormalHanging12a"/>
        <w:ind w:hanging="570"/>
      </w:pPr>
      <w:r w:rsidRPr="009B7FA2">
        <w:t>11.</w:t>
      </w:r>
      <w:r w:rsidRPr="009B7FA2">
        <w:tab/>
      </w:r>
      <w:r w:rsidR="006B2AF2" w:rsidRPr="009B7FA2">
        <w:t>καλεί την Επιτροπή να συνεχίσει να εργάζεται για τη διευκόλυνση της διαλειτουργικότητας των υπηρεσιών ανταλλαγής μηνυμάτων με μικρότερες εφαρμογές ανταλλαγής μηνυμάτων τρίτων, κατόπιν αιτήματος, επιτρέποντας στους χρήστες να ανταλλάσσουν κείμενο, αρχεία και φωνητικές κλήσεις/</w:t>
      </w:r>
      <w:proofErr w:type="spellStart"/>
      <w:r w:rsidR="006B2AF2" w:rsidRPr="009B7FA2">
        <w:t>βιντεοκλήσεις</w:t>
      </w:r>
      <w:proofErr w:type="spellEnd"/>
      <w:r w:rsidR="006B2AF2" w:rsidRPr="009B7FA2">
        <w:t xml:space="preserve"> σε όλες τις πλατφόρμες, διατηρώντας παράλληλα τη διατερματική κρυπτογράφηση·</w:t>
      </w:r>
    </w:p>
    <w:p w14:paraId="46463B0F" w14:textId="576E2C4C" w:rsidR="006B2AF2" w:rsidRPr="009B7FA2" w:rsidRDefault="009B7FA2" w:rsidP="009B7FA2">
      <w:pPr>
        <w:pStyle w:val="NormalHanging12a"/>
        <w:ind w:hanging="570"/>
      </w:pPr>
      <w:r w:rsidRPr="009B7FA2">
        <w:t>12.</w:t>
      </w:r>
      <w:r w:rsidRPr="009B7FA2">
        <w:tab/>
      </w:r>
      <w:r w:rsidR="006B2AF2" w:rsidRPr="009B7FA2">
        <w:t xml:space="preserve">εκφράζει σοβαρή ανησυχία για τις επίμονες πρακτικές αυτοπροτίμησης της </w:t>
      </w:r>
      <w:proofErr w:type="spellStart"/>
      <w:r w:rsidR="006B2AF2" w:rsidRPr="009B7FA2">
        <w:t>Google</w:t>
      </w:r>
      <w:proofErr w:type="spellEnd"/>
      <w:r w:rsidR="006B2AF2" w:rsidRPr="009B7FA2">
        <w:t xml:space="preserve"> σε όλες τις δικές της υπηρεσίες αναζήτησης, αγορών, ταξιδιών και βίντεο, οι οποίες εξακολουθούν να στρεβλώνουν τον ανταγωνισμό και να περιορίζουν τις επιλογές των καταναλωτών· σημειώνει ότι οι διαφημίσεις καταχώρισης προϊόντων παραμένουν σε περίοπτη θέση στην κορυφή των αποτελεσμάτων αναζήτησης, διαιωνίζοντας ένα μοτίβο κυριαρχίας και έλλειψης διαφάνειας που υπονομεύει τον σκοπό της πράξης για τις ψηφιακές αγορές· υπενθυμίζει ότι, σύμφωνα με τα προκαταρκτικά πορίσματα βάσει του άρθρου 6 παράγραφος 5 της πράξης για τις ψηφιακές αγορές, η </w:t>
      </w:r>
      <w:proofErr w:type="spellStart"/>
      <w:r w:rsidR="006B2AF2" w:rsidRPr="009B7FA2">
        <w:t>Google</w:t>
      </w:r>
      <w:proofErr w:type="spellEnd"/>
      <w:r w:rsidR="006B2AF2" w:rsidRPr="009B7FA2">
        <w:t xml:space="preserve"> χρησιμοποιεί οπτικά πλεονεκτήματα και προνομιακή τοποθέτηση για να ευνοεί τις δικές της υπηρεσίες, συμπεριλαμβανομένων των </w:t>
      </w:r>
      <w:proofErr w:type="spellStart"/>
      <w:r w:rsidR="006B2AF2" w:rsidRPr="009B7FA2">
        <w:t>Google</w:t>
      </w:r>
      <w:proofErr w:type="spellEnd"/>
      <w:r w:rsidR="006B2AF2" w:rsidRPr="009B7FA2">
        <w:t xml:space="preserve"> </w:t>
      </w:r>
      <w:proofErr w:type="spellStart"/>
      <w:r w:rsidR="006B2AF2" w:rsidRPr="009B7FA2">
        <w:t>Shopping</w:t>
      </w:r>
      <w:proofErr w:type="spellEnd"/>
      <w:r w:rsidR="006B2AF2" w:rsidRPr="009B7FA2">
        <w:t xml:space="preserve">, </w:t>
      </w:r>
      <w:proofErr w:type="spellStart"/>
      <w:r w:rsidR="006B2AF2" w:rsidRPr="009B7FA2">
        <w:t>Google</w:t>
      </w:r>
      <w:proofErr w:type="spellEnd"/>
      <w:r w:rsidR="006B2AF2" w:rsidRPr="009B7FA2">
        <w:t xml:space="preserve"> </w:t>
      </w:r>
      <w:proofErr w:type="spellStart"/>
      <w:r w:rsidR="006B2AF2" w:rsidRPr="009B7FA2">
        <w:t>Flights</w:t>
      </w:r>
      <w:proofErr w:type="spellEnd"/>
      <w:r w:rsidR="006B2AF2" w:rsidRPr="009B7FA2">
        <w:t xml:space="preserve"> και </w:t>
      </w:r>
      <w:proofErr w:type="spellStart"/>
      <w:r w:rsidR="006B2AF2" w:rsidRPr="009B7FA2">
        <w:t>Google</w:t>
      </w:r>
      <w:proofErr w:type="spellEnd"/>
      <w:r w:rsidR="006B2AF2" w:rsidRPr="009B7FA2">
        <w:t xml:space="preserve"> </w:t>
      </w:r>
      <w:proofErr w:type="spellStart"/>
      <w:r w:rsidR="006B2AF2" w:rsidRPr="009B7FA2">
        <w:t>Hotels</w:t>
      </w:r>
      <w:proofErr w:type="spellEnd"/>
      <w:r w:rsidR="006B2AF2" w:rsidRPr="009B7FA2">
        <w:t xml:space="preserve">, περιορίζοντας έτσι τη δίκαιη πρόσβαση των ανταγωνιστών και ενισχύοντας την ισχύ της στην αγορά· υπενθυμίζει ότι πρόσφατες διαδικασίες ενώπιον εθνικών δικαστηρίων επιβεβαίωσαν ότι οι πρακτικές αυτοπροτίμησης της </w:t>
      </w:r>
      <w:proofErr w:type="spellStart"/>
      <w:r w:rsidR="006B2AF2" w:rsidRPr="009B7FA2">
        <w:t>Google</w:t>
      </w:r>
      <w:proofErr w:type="spellEnd"/>
      <w:r w:rsidR="006B2AF2" w:rsidRPr="009B7FA2">
        <w:t xml:space="preserve"> στις υπηρεσίες αναζήτησης έβλαψαν τις ανταγωνιστικές πλατφόρμες σύγκρισης, όπως καταδεικνύεται από την απόφαση του 2025 του πρωτοδικείου του Βερολίνου στην υπόθεση </w:t>
      </w:r>
      <w:proofErr w:type="spellStart"/>
      <w:r w:rsidR="006B2AF2" w:rsidRPr="009B7FA2">
        <w:t>Idealo</w:t>
      </w:r>
      <w:proofErr w:type="spellEnd"/>
      <w:r w:rsidR="006B2AF2" w:rsidRPr="009B7FA2">
        <w:t xml:space="preserve"> κατά </w:t>
      </w:r>
      <w:proofErr w:type="spellStart"/>
      <w:r w:rsidR="006B2AF2" w:rsidRPr="009B7FA2">
        <w:t>Google</w:t>
      </w:r>
      <w:proofErr w:type="spellEnd"/>
      <w:r w:rsidR="006B2AF2" w:rsidRPr="009B7FA2">
        <w:t>· τονίζει ότι οι απόπειρες των πυλωρών να διατηρήσουν ή να παρατείνουν τη μη συμμόρφωση με την πράξη για τις ψηφιακές αγορές ενδέχεται, κατά συνέπεια, να τους εκθέσουν σε σημαντική οικονομική ευθύνη μέσω επακόλουθων αγωγών αποζημίωσης·</w:t>
      </w:r>
    </w:p>
    <w:p w14:paraId="0F549ACC" w14:textId="68F3436A" w:rsidR="006B2AF2" w:rsidRPr="009B7FA2" w:rsidRDefault="009B7FA2" w:rsidP="009B7FA2">
      <w:pPr>
        <w:pStyle w:val="NormalHanging12a"/>
        <w:ind w:hanging="570"/>
      </w:pPr>
      <w:r w:rsidRPr="009B7FA2">
        <w:t>13.</w:t>
      </w:r>
      <w:r w:rsidRPr="009B7FA2">
        <w:tab/>
      </w:r>
      <w:r w:rsidR="006B2AF2" w:rsidRPr="009B7FA2">
        <w:t xml:space="preserve">επισημαίνει ότι η ενσωμάτωση της ΤΝ στις διαδικασίες αναζήτησης και ανακάλυψης της </w:t>
      </w:r>
      <w:proofErr w:type="spellStart"/>
      <w:r w:rsidR="006B2AF2" w:rsidRPr="009B7FA2">
        <w:t>Google</w:t>
      </w:r>
      <w:proofErr w:type="spellEnd"/>
      <w:r w:rsidR="006B2AF2" w:rsidRPr="009B7FA2">
        <w:t xml:space="preserve"> επιτρέπει όλο και περισσότερο στην εταιρεία να ελέγχει ολόκληρη την καταναλωτική διαδρομή —από την αναζήτηση και τις συστάσεις έως την πρόθεση αγοράς— περιθωριοποιώντας περαιτέρω τις ανταγωνιστικές υπηρεσίες και μειώνοντας την ικανότητα των καταναλωτών να κάνουν ανεξάρτητες επιλογές· τονίζει ότι αυτή η δυναμική ενέχει τον κίνδυνο να μετατρέψει τους ανεξάρτητους έμπορους σε απλούς διαύλους εκπλήρωσης για την </w:t>
      </w:r>
      <w:proofErr w:type="spellStart"/>
      <w:r w:rsidR="006B2AF2" w:rsidRPr="009B7FA2">
        <w:t>Google</w:t>
      </w:r>
      <w:proofErr w:type="spellEnd"/>
      <w:r w:rsidR="006B2AF2" w:rsidRPr="009B7FA2">
        <w:t>, απηχώντας προηγούμενες απόπειρες κυριαρχίας στο εμπόριο που είχαν προηγουμένως περιοριστεί, και ότι οι πρακτικές αυτές ενδέχεται να παγιωθούν περαιτέρω αν η πράξη για τις ψηφιακές αγορές δεν προβλέψει σαφείς διασφαλίσεις·</w:t>
      </w:r>
    </w:p>
    <w:p w14:paraId="3BC3509D" w14:textId="2043ED4C" w:rsidR="006B2AF2" w:rsidRPr="009B7FA2" w:rsidRDefault="009B7FA2" w:rsidP="009B7FA2">
      <w:pPr>
        <w:pStyle w:val="NormalHanging12a"/>
        <w:ind w:hanging="570"/>
      </w:pPr>
      <w:r w:rsidRPr="009B7FA2">
        <w:t>14.</w:t>
      </w:r>
      <w:r w:rsidRPr="009B7FA2">
        <w:tab/>
      </w:r>
      <w:r w:rsidR="006B2AF2" w:rsidRPr="009B7FA2">
        <w:t xml:space="preserve">σημειώνει την εμφάνιση εναλλακτικών αγορών εφαρμογών στο </w:t>
      </w:r>
      <w:proofErr w:type="spellStart"/>
      <w:r w:rsidR="006B2AF2" w:rsidRPr="009B7FA2">
        <w:t>iOS</w:t>
      </w:r>
      <w:proofErr w:type="spellEnd"/>
      <w:r w:rsidR="006B2AF2" w:rsidRPr="009B7FA2">
        <w:t xml:space="preserve"> στην ενιαία αγορά, αλλά εκφράζει την ανησυχία του για το γεγονός ότι η πρακτική βιωσιμότητα και η επεκτασιμότητά τους παραμένουν περιορισμένες λόγω του σχεδιασμού της διαδρομής του χρήστη και των περιοριστικών οικονομικών και συμβατικών όρων· επισημαίνει ότι οι πυλωροί αναδιαρθρώνουν τα τέλη τους με τρόπους που φέρνουν τους προγραμματιστές σε δυσμενέστερη θέση σε σχέση με την κατάσταση που επικρατούσε πριν από την πράξη για τις ψηφιακές αγορές· παροτρύνει την Επιτροπή να αξιολογήσει κατά πόσον οι όροι και οι προϋποθέσεις πρόσβασης της </w:t>
      </w:r>
      <w:proofErr w:type="spellStart"/>
      <w:r w:rsidR="006B2AF2" w:rsidRPr="009B7FA2">
        <w:t>Apple</w:t>
      </w:r>
      <w:proofErr w:type="spellEnd"/>
      <w:r w:rsidR="006B2AF2" w:rsidRPr="009B7FA2">
        <w:t xml:space="preserve"> είναι δίκαιοι και δεν εισάγουν διακρίσεις, όπως απαιτείται βάσει του άρθρου 6 παράγραφος 12 της πράξης για τις ψηφιακές αγορές·</w:t>
      </w:r>
    </w:p>
    <w:p w14:paraId="7ED52D38" w14:textId="2795289E" w:rsidR="00804D81" w:rsidRPr="009B7FA2" w:rsidRDefault="009B7FA2" w:rsidP="009B7FA2">
      <w:pPr>
        <w:pStyle w:val="NormalHanging12a"/>
        <w:ind w:hanging="570"/>
      </w:pPr>
      <w:r w:rsidRPr="009B7FA2">
        <w:t>15.</w:t>
      </w:r>
      <w:r w:rsidRPr="009B7FA2">
        <w:tab/>
      </w:r>
      <w:r w:rsidR="00804D81" w:rsidRPr="009B7FA2">
        <w:t xml:space="preserve">σημειώνει ότι ορισμένοι πυλωροί, όπως ανακοίνωσε πρόσφατα η </w:t>
      </w:r>
      <w:proofErr w:type="spellStart"/>
      <w:r w:rsidR="00804D81" w:rsidRPr="009B7FA2">
        <w:t>Google</w:t>
      </w:r>
      <w:proofErr w:type="spellEnd"/>
      <w:r w:rsidR="00804D81" w:rsidRPr="009B7FA2">
        <w:t xml:space="preserve"> για παράδειγμα, επικαλούνται αιτιολογήσεις ασφάλειας και κυβερνοασφάλειας για να επιβάλουν απαιτήσεις καταχώρισης και ταυτοποίησης στους προγραμματιστές εφαρμογών, περιορίζοντας έτσι την αποτελεσματική πρόσβαση σε εναλλακτικούς διαύλους διανομής εφαρμογών κατά τρόπο που ενδέχεται να αντιβαίνει στο άρθρο 6 παράγραφος 4 της πράξης για τις ψηφιακές αγορές· καλεί, ως εκ τούτου, την Επιτροπή να διερευνήσει κατά πόσον τα μέτρα που σχετίζονται με την ασφάλεια είναι απολύτως αναγκαία και αναλογικά, και να διασφαλίσει ότι δεν χρησιμοποιούνται ως πρόσχημα για την παράκαμψη του στόχου της πράξης για τις ψηφιακές αγορές να καταστήσει δυνατή την πραγματική πρόσβαση σε λογισμικό τρίτων, διασφαλίζοντας δίκαιους, εύλογους και αμερόληπτους όρους πρόσβασης, καθώς και την ικανότητα των προγραμματιστών να κατευθύνουν τους χρήστες προς εναλλακτικούς διαύλους διανομής·</w:t>
      </w:r>
    </w:p>
    <w:p w14:paraId="4EF85BF8" w14:textId="2C006E53" w:rsidR="006B2AF2" w:rsidRPr="009B7FA2" w:rsidRDefault="009B7FA2" w:rsidP="009B7FA2">
      <w:pPr>
        <w:pStyle w:val="NormalHanging12a"/>
        <w:ind w:hanging="570"/>
      </w:pPr>
      <w:r w:rsidRPr="009B7FA2">
        <w:t>16.</w:t>
      </w:r>
      <w:r w:rsidRPr="009B7FA2">
        <w:tab/>
      </w:r>
      <w:r w:rsidR="006B2AF2" w:rsidRPr="009B7FA2">
        <w:t xml:space="preserve">υπενθυμίζει ότι, σύμφωνα με το άρθρο 5 παράγραφος 4 της πράξης για τις ψηφιακές αγορές, οι επαγγελματίες χρήστες θα πρέπει να είναι σε θέση να ενημερώνουν δωρεάν τους τελικούς χρήστες για εναλλακτικές προσφορές, να τους κατευθύνουν προς τις εν λόγω προσφορές και να συνάπτουν συμβάσεις· σημειώνει ότι η αιτιολογική σκέψη 40 της πράξης για τις ψηφιακές αγορές αναγνωρίζει τη δυνατότητα αμοιβής για τη διευκόλυνση της αρχικής απόκτησης τελικού χρήστη, τονίζοντας παράλληλα ότι οποιαδήποτε τέτοια αμοιβή πρέπει να περιορίζεται αυστηρά στην αρχική απόκτηση, να είναι αναλογική και ανάλογη και να μην υπονομεύει την καθοδήγηση στην πράξη· παροτρύνει την Επιτροπή να διασφαλίσει ότι οι επανασχεδιασμένοι όροι της </w:t>
      </w:r>
      <w:proofErr w:type="spellStart"/>
      <w:r w:rsidR="006B2AF2" w:rsidRPr="009B7FA2">
        <w:t>Apple</w:t>
      </w:r>
      <w:proofErr w:type="spellEnd"/>
      <w:r w:rsidR="006B2AF2" w:rsidRPr="009B7FA2">
        <w:t xml:space="preserve"> αξιολογούνται αυστηρά με βάση την απαίτηση της πράξης για τις ψηφιακές αγορές για τυχόν χρεώσεις που συνδέονται με την καθοδήγηση και ότι τυχόν απόπειρες καταστρατήγησης εξετάζονται ενδελεχώς και, εάν είναι αναγκαίο, τιμωρούνται χωρίς να αναμένεται η έκβαση της εν εξελίξει δικαστικής διαδικασίας στις ΗΠΑ στην υπόθεση </w:t>
      </w:r>
      <w:proofErr w:type="spellStart"/>
      <w:r w:rsidR="006B2AF2" w:rsidRPr="009B7FA2">
        <w:t>Epic</w:t>
      </w:r>
      <w:proofErr w:type="spellEnd"/>
      <w:r w:rsidR="006B2AF2" w:rsidRPr="009B7FA2">
        <w:t xml:space="preserve"> </w:t>
      </w:r>
      <w:proofErr w:type="spellStart"/>
      <w:r w:rsidR="006B2AF2" w:rsidRPr="009B7FA2">
        <w:t>Games</w:t>
      </w:r>
      <w:proofErr w:type="spellEnd"/>
      <w:r w:rsidR="006B2AF2" w:rsidRPr="009B7FA2">
        <w:t xml:space="preserve"> κατά </w:t>
      </w:r>
      <w:proofErr w:type="spellStart"/>
      <w:r w:rsidR="006B2AF2" w:rsidRPr="009B7FA2">
        <w:t>Apple</w:t>
      </w:r>
      <w:proofErr w:type="spellEnd"/>
      <w:r w:rsidR="006B2AF2" w:rsidRPr="009B7FA2">
        <w:t>· υπογραμμίζει ότι η επιβολή του δικαίου της ΕΕ θα πρέπει να επιδιώκεται ανεξάρτητα από τις δικαστικές διαδικασίες που εκκρεμούν σε τρίτες χώρες·</w:t>
      </w:r>
    </w:p>
    <w:p w14:paraId="28ED1721" w14:textId="5306192B" w:rsidR="006B2AF2" w:rsidRPr="009B7FA2" w:rsidRDefault="009B7FA2" w:rsidP="009B7FA2">
      <w:pPr>
        <w:pStyle w:val="NormalHanging12a"/>
        <w:ind w:hanging="570"/>
      </w:pPr>
      <w:r w:rsidRPr="009B7FA2">
        <w:t>17.</w:t>
      </w:r>
      <w:r w:rsidRPr="009B7FA2">
        <w:tab/>
      </w:r>
      <w:r w:rsidR="006B2AF2" w:rsidRPr="009B7FA2">
        <w:t xml:space="preserve">εκφράζει την ανησυχία του για το </w:t>
      </w:r>
      <w:proofErr w:type="spellStart"/>
      <w:r w:rsidR="006B2AF2" w:rsidRPr="009B7FA2">
        <w:t>TikTok</w:t>
      </w:r>
      <w:proofErr w:type="spellEnd"/>
      <w:r w:rsidR="006B2AF2" w:rsidRPr="009B7FA2">
        <w:t xml:space="preserve">, το οποίο τελεί υπό τη διαχείριση της </w:t>
      </w:r>
      <w:proofErr w:type="spellStart"/>
      <w:r w:rsidR="006B2AF2" w:rsidRPr="009B7FA2">
        <w:t>ByteDance</w:t>
      </w:r>
      <w:proofErr w:type="spellEnd"/>
      <w:r w:rsidR="006B2AF2" w:rsidRPr="009B7FA2">
        <w:t xml:space="preserve">, και για τις οθόνες συγκατάθεσης που είναι εγκατεστημένες στην πλατφόρμα του, οι οποίες βασίζονται σε μεγάλο βαθμό σε συμπεριφορικές τεχνικές για την εξασφάλιση της συγκατάθεσης των χρηστών· σημειώνει ότι οι πρακτικές αυτές ενδέχεται να υπονομεύουν τις αρχές της εν </w:t>
      </w:r>
      <w:proofErr w:type="spellStart"/>
      <w:r w:rsidR="006B2AF2" w:rsidRPr="009B7FA2">
        <w:t>πλήρει</w:t>
      </w:r>
      <w:proofErr w:type="spellEnd"/>
      <w:r w:rsidR="006B2AF2" w:rsidRPr="009B7FA2">
        <w:t xml:space="preserve"> </w:t>
      </w:r>
      <w:proofErr w:type="spellStart"/>
      <w:r w:rsidR="006B2AF2" w:rsidRPr="009B7FA2">
        <w:t>επιγνώσει</w:t>
      </w:r>
      <w:proofErr w:type="spellEnd"/>
      <w:r w:rsidR="006B2AF2" w:rsidRPr="009B7FA2">
        <w:t xml:space="preserve"> και ελεύθερης συγκατάθεσης και θα μπορούσαν να συνιστούν παραβίαση του άρθρου 5 παράγραφος 2 της πράξης για τις ψηφιακές αγορές· τονίζει ότι οι μηχανισμοί συγκατάθεσης πρέπει να είναι διαφανείς και φιλικοί προς τον χρήστη, και να υιοθετούν μια πραγματικά εθελοντική προσέγγιση, χωρίς χειριστικό σχεδιασμό ή ψυχολογική πίεση· καλεί την Επιτροπή να παρακολουθεί στενά τις πρακτικές συγκατάθεσης του </w:t>
      </w:r>
      <w:proofErr w:type="spellStart"/>
      <w:r w:rsidR="006B2AF2" w:rsidRPr="009B7FA2">
        <w:t>TikTok</w:t>
      </w:r>
      <w:proofErr w:type="spellEnd"/>
      <w:r w:rsidR="006B2AF2" w:rsidRPr="009B7FA2">
        <w:t xml:space="preserve"> και να διασφαλίσει ότι τυχόν μη συμμορφούμενοι μηχανισμοί διορθώνονται αμέσως ώστε να διαφυλάσσονται η αυτονομία των χρηστών και τα ψηφιακά δικαιώματα·</w:t>
      </w:r>
    </w:p>
    <w:p w14:paraId="2A9D2541" w14:textId="0433D1D9" w:rsidR="006B2AF2" w:rsidRPr="009B7FA2" w:rsidRDefault="009B7FA2" w:rsidP="009B7FA2">
      <w:pPr>
        <w:pStyle w:val="NormalHanging12a"/>
        <w:ind w:hanging="570"/>
      </w:pPr>
      <w:r w:rsidRPr="009B7FA2">
        <w:t>18.</w:t>
      </w:r>
      <w:r w:rsidRPr="009B7FA2">
        <w:tab/>
      </w:r>
      <w:r w:rsidR="006B2AF2" w:rsidRPr="009B7FA2">
        <w:t xml:space="preserve">επισημαίνει τη σημασία της αποτελεσματικής συμμόρφωσης της Microsoft με το άρθρο 6 παράγραφος 3 της πράξης για τις ψηφιακές αγορές, ιδίως όσον αφορά την υποχρέωση να επιτρέπει και να παρέχει την τεχνική δυνατότητα στους τελικούς χρήστες να αλλάζουν εύκολα τις προεπιλεγμένες ρυθμίσεις στο λειτουργικό σύστημα Windows για προσωπικούς υπολογιστές και να έχουν πρόσβαση σε ανταγωνιστικές υπηρεσίες χωρίς περιττές τριβές· σημειώνει ότι η ενσωμάτωση του Bing ως προεπιλεγμένου παρόχου αποτελεσμάτων επιγραμμικής αναζήτησης στη γραμμή εργασιών των Windows και η δυσκολία αλλαγής παρόχου ενδέχεται να κατευθύνουν αδικαιολόγητα τους χρήστες προς τις υπηρεσίες της Microsoft και να περιορίσουν τις αποτελεσματικές επιλογές των χρηστών· υπενθυμίζει ότι η Microsoft έχει υποβάλει μέτρα συμμόρφωσης στην Επιτροπή, αλλά εκφράζει την ανησυχία του για τις πρακτικές επιπτώσεις τους, συμπεριλαμβανομένων πιθανών φραγμών στην αποτελεσματική διαλειτουργικότητα εντός του οικοσυστήματος των Windows· υπενθυμίζει ότι η Επιτροπή θα πρέπει να συνεχίσει να αξιολογεί προσεκτικά αυτά τα μέτρα, προκειμένου να διασφαλιστεί στην πράξη η αποτελεσματική επιλογή των χρηστών και ένα δίκαιο και </w:t>
      </w:r>
      <w:proofErr w:type="spellStart"/>
      <w:r w:rsidR="006B2AF2" w:rsidRPr="009B7FA2">
        <w:t>διεκδικήσιμο</w:t>
      </w:r>
      <w:proofErr w:type="spellEnd"/>
      <w:r w:rsidR="006B2AF2" w:rsidRPr="009B7FA2">
        <w:t xml:space="preserve"> περιβάλλον για τρίτους παρόχους, ιδίως όταν η περιορισμένη ή αργή ενεργοποίηση των διεπαφών προγραμματισμού εφαρμογών (API) για υπηρεσίες εκτός Microsoft μπορεί να εμποδίσει τους τρίτους προγραμματιστές να παρέχουν συγκρίσιμη ισότιμη εμπειρία στους τελικούς χρήστες·</w:t>
      </w:r>
    </w:p>
    <w:p w14:paraId="69AB0767" w14:textId="4A96547B" w:rsidR="006B2AF2" w:rsidRPr="009B7FA2" w:rsidRDefault="009B7FA2" w:rsidP="009B7FA2">
      <w:pPr>
        <w:pStyle w:val="NormalHanging12a"/>
        <w:ind w:hanging="570"/>
      </w:pPr>
      <w:r w:rsidRPr="009B7FA2">
        <w:t>19.</w:t>
      </w:r>
      <w:r w:rsidRPr="009B7FA2">
        <w:tab/>
      </w:r>
      <w:r w:rsidR="006B2AF2" w:rsidRPr="009B7FA2">
        <w:t>σημειώνει με ανησυχία τις αναφορές διαφόρων ενδιαφερόμενων μερών στον ταξιδιωτικό τομέα για σταθερά υψηλά ποσοστά προμηθειών και τη συνεχιζόμενη χρήση πρακτικών από την Booking.com που φαίνεται να ισοδυναμούν με απαγορευμένες ρήτρες ισοτιμίας, συμπεριλαμβανομένων προγραμμάτων επιδόσεων για ξενοδοχεία βάσει αδιαφανών κριτηρίων και συνεχιζόμενων δυσκολιών όσον αφορά την εξαίρεση από τα συστήματα πληρωμών που επιδοτούνται από την Booking.com· υπενθυμίζει ότι οι εθνικές αρχές ανταγωνισμού, συμπεριλαμβανομένων εκείνων στη Γαλλία και την Ισπανία, έχουν επιβάλει κυρώσεις στην Booking.com λόγω των ρητρών ισοτιμίας· καλεί την Επιτροπή να αξιολογήσει το τρέχον επίπεδο δυνατότητας διεκδίκησης στον τομέα των διαδικτυακών ταξιδιών μετά τον ορισμό της Booking.com ως πυλωρού και να αναλάβει αποφασιστική δράση αναλόγως·</w:t>
      </w:r>
    </w:p>
    <w:p w14:paraId="6147DD9F" w14:textId="5D135AFC" w:rsidR="006B2AF2" w:rsidRPr="009B7FA2" w:rsidRDefault="009B7FA2" w:rsidP="009B7FA2">
      <w:pPr>
        <w:pStyle w:val="NormalHanging12a"/>
        <w:ind w:hanging="570"/>
      </w:pPr>
      <w:r w:rsidRPr="009B7FA2">
        <w:t>20.</w:t>
      </w:r>
      <w:r w:rsidRPr="009B7FA2">
        <w:tab/>
      </w:r>
      <w:r w:rsidR="006B2AF2" w:rsidRPr="009B7FA2">
        <w:t xml:space="preserve">σημειώνει την εφαρμογή από τη </w:t>
      </w:r>
      <w:proofErr w:type="spellStart"/>
      <w:r w:rsidR="006B2AF2" w:rsidRPr="009B7FA2">
        <w:t>Meta</w:t>
      </w:r>
      <w:proofErr w:type="spellEnd"/>
      <w:r w:rsidR="006B2AF2" w:rsidRPr="009B7FA2">
        <w:t xml:space="preserve"> της νέας τρίτης της επιλογής για «πληρωμή ή συγκατάθεση» που περιορίζει την εξατομικευμένη διαφήμιση, η οποία εγκαινιάστηκε τον Ιούλιο του 2025 μετά το πρόστιμο που εξέδωσε η Επιτροπή τον Απρίλιο του 2025· καλεί την Επιτροπή να διασφαλίσει ότι η </w:t>
      </w:r>
      <w:proofErr w:type="spellStart"/>
      <w:r w:rsidR="006B2AF2" w:rsidRPr="009B7FA2">
        <w:t>Meta</w:t>
      </w:r>
      <w:proofErr w:type="spellEnd"/>
      <w:r w:rsidR="006B2AF2" w:rsidRPr="009B7FA2">
        <w:t xml:space="preserve"> παρέχει πλέον πραγματικά ουδέτερη επιλογή στους χρήστες, ότι η πρόσβαση τρίτων στις υπηρεσίες της </w:t>
      </w:r>
      <w:proofErr w:type="spellStart"/>
      <w:r w:rsidR="006B2AF2" w:rsidRPr="009B7FA2">
        <w:t>Meta</w:t>
      </w:r>
      <w:proofErr w:type="spellEnd"/>
      <w:r w:rsidR="006B2AF2" w:rsidRPr="009B7FA2">
        <w:t xml:space="preserve"> είναι δίκαιη και απρόσκοπτη και ότι κάθε καταστρατήγηση των απαιτήσεων της πράξης για τις ψηφιακές αγορές ελέγχεται αυστηρά και, κατά περίπτωση, τιμωρείται·</w:t>
      </w:r>
    </w:p>
    <w:p w14:paraId="1D0E097C" w14:textId="1E3B1EA5" w:rsidR="006B2AF2" w:rsidRPr="009B7FA2" w:rsidRDefault="009B7FA2" w:rsidP="009B7FA2">
      <w:pPr>
        <w:pStyle w:val="NormalHanging12a"/>
        <w:ind w:hanging="570"/>
      </w:pPr>
      <w:r w:rsidRPr="009B7FA2">
        <w:t>21.</w:t>
      </w:r>
      <w:r w:rsidRPr="009B7FA2">
        <w:tab/>
      </w:r>
      <w:r w:rsidR="006B2AF2" w:rsidRPr="009B7FA2">
        <w:t xml:space="preserve">εκφράζει ανησυχίες σχετικά με τις πρακτικές για τις συνδεδεμένες τηλεοράσεις που αναπαράγουν τις μη ανταγωνιστικές πρακτικές που εφαρμόζονταν προηγουμένως στα έξυπνα τηλέφωνα από το </w:t>
      </w:r>
      <w:proofErr w:type="spellStart"/>
      <w:r w:rsidR="006B2AF2" w:rsidRPr="009B7FA2">
        <w:t>Android</w:t>
      </w:r>
      <w:proofErr w:type="spellEnd"/>
      <w:r w:rsidR="006B2AF2" w:rsidRPr="009B7FA2">
        <w:t xml:space="preserve">· υπογραμμίζει ότι η πρόσβαση σε υπηρεσίες οπτικοακουστικών μέσων σε συνδεδεμένες τηλεοράσεις δεν πρέπει να ελέγχεται από μικρό αριθμό μεγάλων εταιρειών τεχνολογίας και ότι μια ανοικτή, δίκαιη και </w:t>
      </w:r>
      <w:proofErr w:type="spellStart"/>
      <w:r w:rsidR="006B2AF2" w:rsidRPr="009B7FA2">
        <w:t>διεκδικήσιμη</w:t>
      </w:r>
      <w:proofErr w:type="spellEnd"/>
      <w:r w:rsidR="006B2AF2" w:rsidRPr="009B7FA2">
        <w:t xml:space="preserve"> αγορά είναι απαραίτητη για ένα πολυφωνικό και ποικιλόμορφο περιβάλλον μέσων ενημέρωσης· τονίζει, όσον αφορά τα λειτουργικά συστήματα για συνδεδεμένες τηλεοράσεις, ότι οι μεγάλοι πάροχοι τέτοιων λειτουργικών συστημάτων ελέγχουν την πρόσβαση σε πολύπλευρες αγορές θεατών, διαφήμισης και δεδομένων· σημειώνει ότι παρόμοιος έλεγχος των σημείων πρόσβασης των χρηστών από τους πυλωρούς μπορεί να προκύψει σε άλλα συνδεδεμένα περιβάλλοντα όπου λειτουργικά συστήματα ή εικονικοί βοηθοί διαμεσολαβούν στην πρόσβαση σε υπηρεσίες, συμπεριλαμβανομένων των συστημάτων ενημέρωσης και ψυχαγωγίας επί του οχήματος· καλεί την Επιτροπή να παρακολουθεί προσεκτικά αυτό το τμήμα της αγοράς και να λαμβάνει κατάλληλα μέτρα όπου είναι αναγκαίο·</w:t>
      </w:r>
    </w:p>
    <w:p w14:paraId="3E8EA307" w14:textId="4441753B" w:rsidR="006B2AF2" w:rsidRPr="009B7FA2" w:rsidRDefault="009B7FA2" w:rsidP="009B7FA2">
      <w:pPr>
        <w:pStyle w:val="NormalHanging12a"/>
        <w:ind w:hanging="570"/>
      </w:pPr>
      <w:r w:rsidRPr="009B7FA2">
        <w:t>22.</w:t>
      </w:r>
      <w:r w:rsidRPr="009B7FA2">
        <w:tab/>
      </w:r>
      <w:r w:rsidR="006B2AF2" w:rsidRPr="009B7FA2">
        <w:t>επισημαίνει τον σημαντικό ρόλο των τελικών χρηστών στην επίτευξη των στόχων της πράξης για τις ψηφιακές αγορές και τονίζει ότι είναι σημαντικό να διασφαλιστεί ότι οι διεπαφές χρήστη, οι μηχανισμοί συγκατάθεσης και οι αρχιτεκτονικές επιλογών είναι ουδέτερες, εύχρηστες, κατανοητές και μη χειριστικές, ώστε οι χρήστες να μπορούν να ασκούν τα δικαιώματά τους αποτελεσματικά και χωρίς περιττές τριβές·</w:t>
      </w:r>
    </w:p>
    <w:p w14:paraId="01111A3D" w14:textId="54510BE0" w:rsidR="006B2AF2" w:rsidRPr="009B7FA2" w:rsidRDefault="009B7FA2" w:rsidP="009B7FA2">
      <w:pPr>
        <w:pStyle w:val="NormalHanging12a"/>
        <w:ind w:hanging="570"/>
      </w:pPr>
      <w:r w:rsidRPr="009B7FA2">
        <w:t>23.</w:t>
      </w:r>
      <w:r w:rsidRPr="009B7FA2">
        <w:tab/>
      </w:r>
      <w:r w:rsidR="006B2AF2" w:rsidRPr="009B7FA2">
        <w:t>καλεί την Επιτροπή να διασφαλίσει τη συνεπή και ανθεκτική στις μελλοντικές εξελίξεις εφαρμογή της πράξης για τις ψηφιακές αγορές στις τεχνολογικές εξελίξεις, αντιμετωπίζοντας τις υπηρεσίες που βασίζονται στην ΤΝ και τις υποδομές υπολογιστικού νέφους με έγκαιρο τρόπο, προκειμένου να αποφευχθούν νέες μορφές πρακτικών εγκλωβισμού, αποκλεισμού ή ελέγχου της πρόσβασης, μεταξύ άλλων όταν οι πυλωροί εκμεταλλεύονται τον έλεγχο των δεδομένων, των υπολογιστικών πόρων ή των ολοκληρωμένων υπηρεσιών σε βάρος των αναδυόμενων φορέων ανάπτυξης ΤΝ και των καινοτόμων νεοεισερχόμενων στην αγορά·</w:t>
      </w:r>
    </w:p>
    <w:p w14:paraId="08284FB5" w14:textId="3C4F9698" w:rsidR="006B2AF2" w:rsidRPr="009B7FA2" w:rsidRDefault="009B7FA2" w:rsidP="009B7FA2">
      <w:pPr>
        <w:pStyle w:val="NormalHanging12a"/>
        <w:ind w:hanging="570"/>
      </w:pPr>
      <w:r w:rsidRPr="009B7FA2">
        <w:t>24.</w:t>
      </w:r>
      <w:r w:rsidRPr="009B7FA2">
        <w:tab/>
      </w:r>
      <w:r w:rsidR="006B2AF2" w:rsidRPr="009B7FA2">
        <w:t>καλεί την Επιτροπή να διασφαλίσει τη συμπληρωματικότητα, τη συνοχή και την ασφάλεια δικαίου μεταξύ της πράξης για τις ψηφιακές αγορές, του κανονισμού για τα δεδομένα και του κανονισμού για την τεχνητή νοημοσύνη</w:t>
      </w:r>
      <w:r w:rsidR="006B2AF2" w:rsidRPr="009B7FA2">
        <w:rPr>
          <w:rStyle w:val="FootnoteReference"/>
        </w:rPr>
        <w:footnoteReference w:id="13"/>
      </w:r>
      <w:r w:rsidR="006B2AF2" w:rsidRPr="009B7FA2">
        <w:t>, μεταξύ άλλων μέσω συντονισμένης καθοδήγησης και εφαρμογής·</w:t>
      </w:r>
    </w:p>
    <w:p w14:paraId="0D86996A" w14:textId="7309069C" w:rsidR="006B2AF2" w:rsidRPr="009B7FA2" w:rsidRDefault="009B7FA2" w:rsidP="009B7FA2">
      <w:pPr>
        <w:pStyle w:val="NormalHanging12a"/>
        <w:ind w:hanging="570"/>
      </w:pPr>
      <w:r w:rsidRPr="009B7FA2">
        <w:t>25.</w:t>
      </w:r>
      <w:r w:rsidRPr="009B7FA2">
        <w:tab/>
      </w:r>
      <w:r w:rsidR="006B2AF2" w:rsidRPr="009B7FA2">
        <w:t>χαιρετίζει τις πρώτες αποφάσεις μη συμμόρφωσης της Επιτροπής στο πλαίσιο της πράξης για τις ψηφιακές αγορές ως σημαντικό βήμα προς τη διασφάλιση της αποτελεσματικής επιβολής, αλλά εκφράζει τη λύπη του για το γεγονός ότι οι αποφάσεις αυτές παραμένουν περιορισμένες ως προς το εύρος τους και δεν αντιμετωπίζουν ακόμη το πλήρες φάσμα των προβληματικών πρακτικών των πυλωρών που εντοπίζονται από επαγγελματίες χρήστες και άλλα ενδιαφερόμενα μέρη· εκφράζει επίσης τη λύπη του για το γεγονός ότι τα πρόστιμα που επιβάλλονται είναι σχετικά περιορισμένα σε σύγκριση με την κλίμακα των παραβάσεων και την οικονομική ισχύ των ορισθέντων πυλωρών, γεγονός που ενέχει τον κίνδυνο ανεπαρκούς αποτρεπτικού αποτελέσματος και δεν αντικατοπτρίζει τη φιλοδοξία του κανονισμού· τονίζει ότι το συνολικό πλαίσιο επιβολής θα πρέπει να διασφαλίζει ότι το αναμενόμενο κόστος της μη συμμόρφωσης, συμπεριλαμβανομένων των προστίμων και των περιοδικών χρηματικών ποινών, υπερβαίνει συστηματικά το κόστος της εξαρχής συμμόρφωσης, ώστε να αποτρέπεται η στρατηγική καθυστέρηση και να διασφαλίζεται πραγματική αποτροπή·</w:t>
      </w:r>
    </w:p>
    <w:p w14:paraId="7FB8417F" w14:textId="11BF4D66" w:rsidR="006B2AF2" w:rsidRPr="009B7FA2" w:rsidRDefault="009B7FA2" w:rsidP="009B7FA2">
      <w:pPr>
        <w:pStyle w:val="NormalHanging12a"/>
        <w:ind w:hanging="570"/>
      </w:pPr>
      <w:r w:rsidRPr="009B7FA2">
        <w:t>26.</w:t>
      </w:r>
      <w:r w:rsidRPr="009B7FA2">
        <w:tab/>
      </w:r>
      <w:r w:rsidR="006B2AF2" w:rsidRPr="009B7FA2">
        <w:t xml:space="preserve">καλεί την Επιτροπή, υπό το πρίσμα της αυξανόμενης στρατηγικής σημασίας των υπηρεσιών υπολογιστικού νέφους και του ρόλου τους στα ψηφιακά οικοσυστήματα και στα οικοσυστήματα ΤΝ, να αξιολογήσει στενά κατά πόσον οι πάροχοι των εν λόγω υπηρεσιών πληρούν τα κριτήρια για τον ορισμό τους ως πυλωρών στο πλαίσιο της πράξης για τις ψηφιακές αγορές, μεταξύ άλλων μέσω της χρήσης ερευνών αγοράς· καλεί την Επιτροπή, όταν διεξάγει έρευνες αγοράς και αξιολογεί το ενδεχόμενο ορισμών πυλωρών στον τομέα του υπολογιστικού νέφους, να εφαρμόζει τα κριτήρια της πράξης για τις ψηφιακές αγορές με συνεπή, διαφανή και τεκμηριωμένο τρόπο σε όλους τους παρόχους, όπου αυτό δικαιολογείται από τους δείκτες της αγοράς, προκειμένου να αποφευχθούν στρεβλώσεις του ανταγωνισμού και να διατηρηθεί η καινοτομία· εκφράζει την ικανοποίησή του για τις πρόσφατες έρευνες αγοράς της Επιτροπής σχετικά με τους παρόχους υπηρεσιών υπολογιστικού νέφους, όπως η </w:t>
      </w:r>
      <w:proofErr w:type="spellStart"/>
      <w:r w:rsidR="006B2AF2" w:rsidRPr="009B7FA2">
        <w:t>Amazon</w:t>
      </w:r>
      <w:proofErr w:type="spellEnd"/>
      <w:r w:rsidR="006B2AF2" w:rsidRPr="009B7FA2">
        <w:t xml:space="preserve"> Web Services και η Microsoft </w:t>
      </w:r>
      <w:proofErr w:type="spellStart"/>
      <w:r w:rsidR="006B2AF2" w:rsidRPr="009B7FA2">
        <w:t>Azure</w:t>
      </w:r>
      <w:proofErr w:type="spellEnd"/>
      <w:r w:rsidR="006B2AF2" w:rsidRPr="009B7FA2">
        <w:t>·</w:t>
      </w:r>
    </w:p>
    <w:p w14:paraId="5AB5A05B" w14:textId="0A8E577F" w:rsidR="006B2AF2" w:rsidRPr="009B7FA2" w:rsidRDefault="009B7FA2" w:rsidP="009B7FA2">
      <w:pPr>
        <w:pStyle w:val="NormalHanging12a"/>
        <w:ind w:hanging="570"/>
      </w:pPr>
      <w:r w:rsidRPr="009B7FA2">
        <w:t>27.</w:t>
      </w:r>
      <w:r w:rsidRPr="009B7FA2">
        <w:tab/>
      </w:r>
      <w:r w:rsidR="006B2AF2" w:rsidRPr="009B7FA2">
        <w:t xml:space="preserve">τονίζει ότι τα εργαλεία αναζήτησης και υποστήριξης που βασίζονται στην ΤΝ, όταν προσφέρονται ως καθορισμένες βασικές υπηρεσίες πλατφόρμας ή εντός αυτών, όπως το AI </w:t>
      </w:r>
      <w:proofErr w:type="spellStart"/>
      <w:r w:rsidR="006B2AF2" w:rsidRPr="009B7FA2">
        <w:t>Overviews</w:t>
      </w:r>
      <w:proofErr w:type="spellEnd"/>
      <w:r w:rsidR="006B2AF2" w:rsidRPr="009B7FA2">
        <w:t xml:space="preserve"> της </w:t>
      </w:r>
      <w:proofErr w:type="spellStart"/>
      <w:r w:rsidR="006B2AF2" w:rsidRPr="009B7FA2">
        <w:t>Google</w:t>
      </w:r>
      <w:proofErr w:type="spellEnd"/>
      <w:r w:rsidR="006B2AF2" w:rsidRPr="009B7FA2">
        <w:t xml:space="preserve">, το </w:t>
      </w:r>
      <w:proofErr w:type="spellStart"/>
      <w:r w:rsidR="006B2AF2" w:rsidRPr="009B7FA2">
        <w:t>Gemini</w:t>
      </w:r>
      <w:proofErr w:type="spellEnd"/>
      <w:r w:rsidR="006B2AF2" w:rsidRPr="009B7FA2">
        <w:t xml:space="preserve"> της </w:t>
      </w:r>
      <w:proofErr w:type="spellStart"/>
      <w:r w:rsidR="006B2AF2" w:rsidRPr="009B7FA2">
        <w:t>Google</w:t>
      </w:r>
      <w:proofErr w:type="spellEnd"/>
      <w:r w:rsidR="006B2AF2" w:rsidRPr="009B7FA2">
        <w:t xml:space="preserve">, το </w:t>
      </w:r>
      <w:proofErr w:type="spellStart"/>
      <w:r w:rsidR="006B2AF2" w:rsidRPr="009B7FA2">
        <w:t>Siri</w:t>
      </w:r>
      <w:proofErr w:type="spellEnd"/>
      <w:r w:rsidR="006B2AF2" w:rsidRPr="009B7FA2">
        <w:t xml:space="preserve"> της </w:t>
      </w:r>
      <w:proofErr w:type="spellStart"/>
      <w:r w:rsidR="006B2AF2" w:rsidRPr="009B7FA2">
        <w:t>Apple</w:t>
      </w:r>
      <w:proofErr w:type="spellEnd"/>
      <w:r w:rsidR="006B2AF2" w:rsidRPr="009B7FA2">
        <w:t xml:space="preserve">, το </w:t>
      </w:r>
      <w:proofErr w:type="spellStart"/>
      <w:r w:rsidR="006B2AF2" w:rsidRPr="009B7FA2">
        <w:t>WhatsApp</w:t>
      </w:r>
      <w:proofErr w:type="spellEnd"/>
      <w:r w:rsidR="006B2AF2" w:rsidRPr="009B7FA2">
        <w:t xml:space="preserve"> AI της </w:t>
      </w:r>
      <w:proofErr w:type="spellStart"/>
      <w:r w:rsidR="006B2AF2" w:rsidRPr="009B7FA2">
        <w:t>Meta</w:t>
      </w:r>
      <w:proofErr w:type="spellEnd"/>
      <w:r w:rsidR="006B2AF2" w:rsidRPr="009B7FA2">
        <w:t xml:space="preserve">, το </w:t>
      </w:r>
      <w:proofErr w:type="spellStart"/>
      <w:r w:rsidR="006B2AF2" w:rsidRPr="009B7FA2">
        <w:t>Rufus</w:t>
      </w:r>
      <w:proofErr w:type="spellEnd"/>
      <w:r w:rsidR="006B2AF2" w:rsidRPr="009B7FA2">
        <w:t xml:space="preserve"> της </w:t>
      </w:r>
      <w:proofErr w:type="spellStart"/>
      <w:r w:rsidR="006B2AF2" w:rsidRPr="009B7FA2">
        <w:t>Amazon</w:t>
      </w:r>
      <w:proofErr w:type="spellEnd"/>
      <w:r w:rsidR="006B2AF2" w:rsidRPr="009B7FA2">
        <w:t xml:space="preserve"> ή το </w:t>
      </w:r>
      <w:proofErr w:type="spellStart"/>
      <w:r w:rsidR="006B2AF2" w:rsidRPr="009B7FA2">
        <w:t>Copilot</w:t>
      </w:r>
      <w:proofErr w:type="spellEnd"/>
      <w:r w:rsidR="006B2AF2" w:rsidRPr="009B7FA2">
        <w:t xml:space="preserve"> της Microsoft, καθίστανται όλο και περισσότερο νέες πύλες πληροφόρησης, εμπορίου και ψηφιακών υπηρεσιών· καλεί την Επιτροπή να εξετάσει εγκαίρως κατά πόσον και με ποιον τρόπο οι εν λόγω λειτουργίες χρησιμοποιούνται από τους πυλωρούς με τρόπους που ενδέχεται να υπονομεύουν τη δυνατότητα διεκδίκησης και τη δικαιοσύνη, μεταξύ άλλων μέσω προεπιλεγμένων ρυθμίσεων, προεπιλογής ή της μεροληπτικής παρουσίασης ή επιλογής αποτελεσμάτων·</w:t>
      </w:r>
    </w:p>
    <w:p w14:paraId="04D5A4FE" w14:textId="28E23EC2" w:rsidR="006B2AF2" w:rsidRPr="009B7FA2" w:rsidRDefault="009B7FA2" w:rsidP="009B7FA2">
      <w:pPr>
        <w:pStyle w:val="NormalHanging12a"/>
        <w:ind w:hanging="570"/>
      </w:pPr>
      <w:r w:rsidRPr="009B7FA2">
        <w:t>28.</w:t>
      </w:r>
      <w:r w:rsidRPr="009B7FA2">
        <w:tab/>
      </w:r>
      <w:r w:rsidR="006B2AF2" w:rsidRPr="009B7FA2">
        <w:t>τονίζει ότι τα ολοκληρωμένα ψηφιακά οικοσυστήματα ορισμένων πυλωρών, τα οποία αποτελούνται από πολλαπλές βασικές υπηρεσίες πλατφόρμας και συναφείς υπηρεσίες, μπορούν να τους παρέχουν διαρθρωτικό ανταγωνιστικό πλεονέκτημα στην ανάπτυξη, την κατάρτιση και την εφαρμογή συστημάτων ΤΝ, ιδίως όταν η πρόσβαση σε μεγάλης κλίμακας ροές δεδομένων πολλαπλών υπηρεσιών, διεπαφές χρήστη, διαύλους διανομής ή συμπληρωματικές υπηρεσίες μπορεί να αξιοποιηθεί σε όλα τα οικοσυστήματα· υπογραμμίζει, ως εκ τούτου, την ανάγκη αυστηρής επιβολής του άρθρου 6 παράγραφος 10 της πράξης για τις ψηφιακές αγορές, προκειμένου να διασφαλιστούν αποτελεσματικά δικαιώματα πρόσβασης σε δεδομένα για τους επαγγελματίες χρήστες και να αποτραπεί η αξιοποίηση των πλεονεκτημάτων των δεδομένων σε ολόκληρο το οικοσύστημα με τρόπους που υπονομεύουν τη δυνατότητα διεκδίκησης και τη δικαιοσύνη, μεταξύ άλλων όταν οι λειτουργίες ΤΝ ενσωματώνονται σε βασικές υπηρεσίες πλατφόρμας ή ενδέχεται να καταστούν νέες πύλες πληροφόρησης, εμπορίου και ψηφιακών υπηρεσιών·</w:t>
      </w:r>
    </w:p>
    <w:p w14:paraId="13276743" w14:textId="25181B76" w:rsidR="006B2AF2" w:rsidRPr="009B7FA2" w:rsidRDefault="009B7FA2" w:rsidP="009B7FA2">
      <w:pPr>
        <w:pStyle w:val="NormalHanging12a"/>
        <w:ind w:hanging="570"/>
      </w:pPr>
      <w:r w:rsidRPr="009B7FA2">
        <w:t>29.</w:t>
      </w:r>
      <w:r w:rsidRPr="009B7FA2">
        <w:tab/>
      </w:r>
      <w:r w:rsidR="006B2AF2" w:rsidRPr="009B7FA2">
        <w:t>καλεί την Επιτροπή να διασφαλίσει επαρκείς ανθρώπινους και οικονομικούς πόρους για την επιβολή της πράξης για τις ψηφιακές αγορές, σύμφωνα με το πεδίο εφαρμογής, την πολυπλοκότητα και τη στρατηγική σημασία του κανονισμού, και ζητεί σημαντική ενίσχυση της στελέχωσης·</w:t>
      </w:r>
    </w:p>
    <w:p w14:paraId="69B137A6" w14:textId="49783F10" w:rsidR="006B2AF2" w:rsidRPr="009B7FA2" w:rsidRDefault="009B7FA2" w:rsidP="009B7FA2">
      <w:pPr>
        <w:pStyle w:val="NormalHanging12a"/>
        <w:ind w:hanging="570"/>
      </w:pPr>
      <w:r w:rsidRPr="009B7FA2">
        <w:t>30.</w:t>
      </w:r>
      <w:r w:rsidRPr="009B7FA2">
        <w:tab/>
      </w:r>
      <w:r w:rsidR="006B2AF2" w:rsidRPr="009B7FA2">
        <w:t>αναμένει ότι η επικείμενη επανεξέταση της πράξης για τις ψηφιακές αγορές θα είναι διαφανής και σταθερά θεμελιωμένη στην εμπειρία επιβολής και στα αποδεικτικά στοιχεία από την εφαρμογή της, συμπεριλαμβανομένης της αξιολόγησης των πραγματικών αποτελεσμάτων για τους χρήστες και τις αγορές, καθώς και του πρακτικού αντικτύπου της εφαρμογής στους καταναλωτές, ιδίως σε σχέση με την πρόσβαση στην καινοτομία, τη χρηστικότητα, την ιδιωτικότητα και την ασφάλεια, λαμβάνοντας παράλληλα δεόντως υπόψη τις τεχνολογικές εξελίξεις και την ανάγκη να διασφαλιστεί ότι το πλαίσιο παραμένει ανθεκτικό στις μελλοντικές εξελίξεις· καλεί την Επιτροπή να λάβει ιδιαίτερα υπόψη τις παρατηρήσεις που λαμβάνονται από τις ΜΜΕ κατά τη διαδικασία επανεξέτασης·</w:t>
      </w:r>
    </w:p>
    <w:p w14:paraId="4EB0D1FE" w14:textId="5E6450AF" w:rsidR="006B2AF2" w:rsidRPr="009B7FA2" w:rsidRDefault="009B7FA2" w:rsidP="009B7FA2">
      <w:pPr>
        <w:pStyle w:val="NormalHanging12a"/>
        <w:ind w:hanging="570"/>
      </w:pPr>
      <w:r w:rsidRPr="009B7FA2">
        <w:t>31.</w:t>
      </w:r>
      <w:r w:rsidRPr="009B7FA2">
        <w:tab/>
      </w:r>
      <w:r w:rsidR="006B2AF2" w:rsidRPr="009B7FA2">
        <w:t xml:space="preserve">τονίζει ότι η επανεξέταση θα πρέπει να επικεντρωθεί στην ενίσχυση της αποτελεσματικότητας και της </w:t>
      </w:r>
      <w:proofErr w:type="spellStart"/>
      <w:r w:rsidR="006B2AF2" w:rsidRPr="009B7FA2">
        <w:t>εφαρμοσιμότητας</w:t>
      </w:r>
      <w:proofErr w:type="spellEnd"/>
      <w:r w:rsidR="006B2AF2" w:rsidRPr="009B7FA2">
        <w:t xml:space="preserve"> του υφιστάμενου πλαισίου, αντιμετωπίζοντας παράλληλα τις προκλήσεις που θέτουν οι ταχέως εξελισσόμενες τεχνολογίες και τα οικοσυστήματα, αξιοποιώντας πλήρως τις εξουσίες που διατίθενται βάσει του ισχύοντος πλαισίου, μεταξύ άλλων μέσω διευκρινίσεων και καθοδήγησης, όπου απαιτείται, και θα πρέπει να αποφύγει το εκ νέου άνοιγμα των βασικών στόχων, του πεδίου εφαρμογής ή της αρχιτεκτονικής της πράξης για τις ψηφιακές αγορές, εκτός εάν αυτό δικαιολογείται σαφώς από αποδεδειγμένα κενά επιβολής ή σημαντικές εξελίξεις της αγοράς·</w:t>
      </w:r>
    </w:p>
    <w:p w14:paraId="3B590D51" w14:textId="187512F0" w:rsidR="00804D81" w:rsidRPr="009B7FA2" w:rsidRDefault="009B7FA2" w:rsidP="009B7FA2">
      <w:pPr>
        <w:pStyle w:val="NormalHanging12a"/>
        <w:ind w:hanging="570"/>
      </w:pPr>
      <w:r w:rsidRPr="009B7FA2">
        <w:t>32.</w:t>
      </w:r>
      <w:r w:rsidRPr="009B7FA2">
        <w:tab/>
      </w:r>
      <w:r w:rsidR="00804D81" w:rsidRPr="009B7FA2">
        <w:t xml:space="preserve">τονίζει ότι η αποτελεσματική επιβολή της πράξης για τις ψηφιακές αγορές απαιτεί συμπληρωματική χρήση της γενικής πολιτικής ανταγωνισμού και όλων των άλλων μέσων εμπορικής άμυνας και εποπτείας της αγοράς της ΕΕ, καθώς συστημικοί κίνδυνοι για τη δικαιοσύνη και την οικονομική ασφάλεια μπορούν επίσης να προκύψουν από συναλλαγές εκτός του πεδίου εφαρμογής της πράξης για τις ψηφιακές αγορές· σημειώνει, στο πλαίσιο αυτό, τις ανησυχίες σχετικά με την εξαγορά της </w:t>
      </w:r>
      <w:proofErr w:type="spellStart"/>
      <w:r w:rsidR="00804D81" w:rsidRPr="009B7FA2">
        <w:t>Ceconomy</w:t>
      </w:r>
      <w:proofErr w:type="spellEnd"/>
      <w:r w:rsidR="00804D81" w:rsidRPr="009B7FA2">
        <w:t xml:space="preserve"> AG από την JD.com, η οποία θα μεταβίβαζε τον έλεγχο ενός μεγάλου ευρωπαϊκού δικτύου λιανικής και διανομής σε οντότητα εκτός ΕΕ, αυξάνοντας τους κινδύνους πρόσβασης τρίτων χωρών σε ευαίσθητα δεδομένα καταναλωτών και πιθανές στρεβλώσεις που συνδέονται με την κρατική χρηματοδοτική στήριξη· καλεί την Επιτροπή να εφαρμόσει αυστηρά τον κανονισμό για τις ξένες επιδοτήσεις</w:t>
      </w:r>
      <w:r w:rsidR="00804D81" w:rsidRPr="009B7FA2">
        <w:rPr>
          <w:rStyle w:val="FootnoteReference"/>
        </w:rPr>
        <w:footnoteReference w:id="14"/>
      </w:r>
      <w:r w:rsidR="00804D81" w:rsidRPr="009B7FA2">
        <w:t xml:space="preserve"> και να εξετάσει τυχόν ξένες επιδοτήσεις στις οποίες βασίζεται τόσο η εν λόγω συναλλαγή όσο και οι μελλοντικές· καλεί την Επιτροπή να αξιολογήσει τους κινδύνους για τα δεδομένα των Ευρωπαίων καταναλωτών στο πλαίσιο του κανονισμού για τον έλεγχο των άμεσων ξένων επενδύσεων</w:t>
      </w:r>
      <w:r w:rsidR="00804D81" w:rsidRPr="009B7FA2">
        <w:rPr>
          <w:rStyle w:val="FootnoteReference"/>
        </w:rPr>
        <w:footnoteReference w:id="15"/>
      </w:r>
      <w:r w:rsidR="00804D81" w:rsidRPr="009B7FA2">
        <w:t xml:space="preserve"> και να διασφαλίσει τον αποτελεσματικό γεωγραφικό περιορισμό δεδομένων σύμφωνα με την ενωσιακή κυριαρχία των δεδομένων και το πλαίσιο επιβολής της πράξης για τις ψηφιακές αγορές·</w:t>
      </w:r>
    </w:p>
    <w:p w14:paraId="7074CC52" w14:textId="4C41EEDB" w:rsidR="00AF42E6" w:rsidRPr="009B7FA2" w:rsidRDefault="009B7FA2" w:rsidP="009B7FA2">
      <w:pPr>
        <w:pStyle w:val="NormalHanging12a"/>
        <w:ind w:hanging="570"/>
      </w:pPr>
      <w:r w:rsidRPr="009B7FA2">
        <w:t>33.</w:t>
      </w:r>
      <w:r w:rsidRPr="009B7FA2">
        <w:tab/>
      </w:r>
      <w:r w:rsidR="006B2AF2" w:rsidRPr="009B7FA2">
        <w:t>αναθέτει στην Πρόεδρό του να διαβιβάσει το παρόν ψήφισμα στην Επιτροπή.</w:t>
      </w:r>
    </w:p>
    <w:p w14:paraId="660CA330" w14:textId="6DE8CADF" w:rsidR="00E365E1" w:rsidRPr="009B7FA2" w:rsidRDefault="00E365E1" w:rsidP="008C4007"/>
    <w:sectPr w:rsidR="00E365E1" w:rsidRPr="009B7FA2" w:rsidSect="00AF42E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1BAA3" w14:textId="77777777" w:rsidR="008C4007" w:rsidRPr="00AF42E6" w:rsidRDefault="008C4007">
      <w:r w:rsidRPr="00AF42E6">
        <w:separator/>
      </w:r>
    </w:p>
  </w:endnote>
  <w:endnote w:type="continuationSeparator" w:id="0">
    <w:p w14:paraId="33ACDCBA" w14:textId="77777777" w:rsidR="008C4007" w:rsidRPr="00AF42E6" w:rsidRDefault="008C4007">
      <w:r w:rsidRPr="00AF42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AFEDB" w14:textId="77777777" w:rsidR="00064002" w:rsidRPr="00AF42E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31FEA" w14:textId="77777777" w:rsidR="00064002" w:rsidRPr="00AF42E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2C921" w14:textId="77777777" w:rsidR="00064002" w:rsidRPr="00AF42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14ACA" w14:textId="77777777" w:rsidR="008C4007" w:rsidRPr="00AF42E6" w:rsidRDefault="008C4007">
      <w:r w:rsidRPr="00AF42E6">
        <w:separator/>
      </w:r>
    </w:p>
  </w:footnote>
  <w:footnote w:type="continuationSeparator" w:id="0">
    <w:p w14:paraId="57E3444C" w14:textId="77777777" w:rsidR="008C4007" w:rsidRPr="00AF42E6" w:rsidRDefault="008C4007">
      <w:r w:rsidRPr="00AF42E6">
        <w:continuationSeparator/>
      </w:r>
    </w:p>
  </w:footnote>
  <w:footnote w:id="1">
    <w:p w14:paraId="6C694B89" w14:textId="69D76059" w:rsidR="006B2AF2" w:rsidRPr="00804D81" w:rsidRDefault="006B2AF2" w:rsidP="004845EF">
      <w:pPr>
        <w:pStyle w:val="FootnoteText"/>
        <w:spacing w:line="240" w:lineRule="auto"/>
        <w:ind w:left="567" w:hanging="567"/>
        <w:rPr>
          <w:sz w:val="24"/>
          <w:szCs w:val="24"/>
          <w:lang w:val="el-GR"/>
        </w:rPr>
      </w:pPr>
      <w:r w:rsidRPr="00804D81">
        <w:rPr>
          <w:rStyle w:val="FootnoteReference"/>
          <w:sz w:val="24"/>
          <w:szCs w:val="24"/>
          <w:lang w:val="el-GR"/>
        </w:rPr>
        <w:footnoteRef/>
      </w:r>
      <w:r w:rsidR="00AF42E6" w:rsidRPr="00804D81">
        <w:rPr>
          <w:sz w:val="24"/>
          <w:szCs w:val="24"/>
          <w:lang w:val="el-GR"/>
        </w:rPr>
        <w:t xml:space="preserve"> </w:t>
      </w:r>
      <w:r w:rsidR="00AF42E6" w:rsidRPr="00804D81">
        <w:rPr>
          <w:sz w:val="24"/>
          <w:szCs w:val="24"/>
          <w:lang w:val="el-GR"/>
        </w:rPr>
        <w:tab/>
      </w:r>
      <w:r w:rsidRPr="00804D81">
        <w:rPr>
          <w:sz w:val="24"/>
          <w:szCs w:val="24"/>
          <w:lang w:val="el-GR"/>
        </w:rPr>
        <w:t>ΕΕ L 265 της 12.10.2022, σ. 1, ELI: </w:t>
      </w:r>
      <w:r>
        <w:fldChar w:fldCharType="begin"/>
      </w:r>
      <w:r>
        <w:instrText>HYPERLINK</w:instrText>
      </w:r>
      <w:r w:rsidRPr="007A6A47">
        <w:rPr>
          <w:lang w:val="el-GR"/>
        </w:rPr>
        <w:instrText xml:space="preserve"> "</w:instrText>
      </w:r>
      <w:r>
        <w:instrText>http</w:instrText>
      </w:r>
      <w:r w:rsidRPr="007A6A47">
        <w:rPr>
          <w:lang w:val="el-GR"/>
        </w:rPr>
        <w:instrText>://</w:instrText>
      </w:r>
      <w:r>
        <w:instrText>data</w:instrText>
      </w:r>
      <w:r w:rsidRPr="007A6A47">
        <w:rPr>
          <w:lang w:val="el-GR"/>
        </w:rPr>
        <w:instrText>.</w:instrText>
      </w:r>
      <w:r>
        <w:instrText>europa</w:instrText>
      </w:r>
      <w:r w:rsidRPr="007A6A47">
        <w:rPr>
          <w:lang w:val="el-GR"/>
        </w:rPr>
        <w:instrText>.</w:instrText>
      </w:r>
      <w:r>
        <w:instrText>eu</w:instrText>
      </w:r>
      <w:r w:rsidRPr="007A6A47">
        <w:rPr>
          <w:lang w:val="el-GR"/>
        </w:rPr>
        <w:instrText>/</w:instrText>
      </w:r>
      <w:r>
        <w:instrText>eli</w:instrText>
      </w:r>
      <w:r w:rsidRPr="007A6A47">
        <w:rPr>
          <w:lang w:val="el-GR"/>
        </w:rPr>
        <w:instrText>/</w:instrText>
      </w:r>
      <w:r>
        <w:instrText>reg</w:instrText>
      </w:r>
      <w:r w:rsidRPr="007A6A47">
        <w:rPr>
          <w:lang w:val="el-GR"/>
        </w:rPr>
        <w:instrText>/2022/1925/</w:instrText>
      </w:r>
      <w:r>
        <w:instrText>oj</w:instrText>
      </w:r>
      <w:r w:rsidRPr="007A6A47">
        <w:rPr>
          <w:lang w:val="el-GR"/>
        </w:rPr>
        <w:instrText>" \</w:instrText>
      </w:r>
      <w:r>
        <w:instrText>o</w:instrText>
      </w:r>
      <w:r w:rsidRPr="007A6A47">
        <w:rPr>
          <w:lang w:val="el-GR"/>
        </w:rPr>
        <w:instrText xml:space="preserve"> "Πρόσβαση στο έγγραφο μέσω </w:instrText>
      </w:r>
      <w:r>
        <w:instrText>URI</w:instrText>
      </w:r>
      <w:r w:rsidRPr="007A6A47">
        <w:rPr>
          <w:lang w:val="el-GR"/>
        </w:rPr>
        <w:instrText xml:space="preserve"> τύπου </w:instrText>
      </w:r>
      <w:r>
        <w:instrText>ELI</w:instrText>
      </w:r>
      <w:r w:rsidRPr="007A6A47">
        <w:rPr>
          <w:lang w:val="el-GR"/>
        </w:rPr>
        <w:instrText>."</w:instrText>
      </w:r>
      <w:r>
        <w:fldChar w:fldCharType="separate"/>
      </w:r>
      <w:r w:rsidRPr="00804D81">
        <w:rPr>
          <w:rStyle w:val="Hyperlink"/>
          <w:sz w:val="24"/>
          <w:szCs w:val="24"/>
          <w:lang w:val="el-GR"/>
        </w:rPr>
        <w:t>http://data.europa.eu/eli/reg/2022/1925/oj</w:t>
      </w:r>
      <w:r>
        <w:fldChar w:fldCharType="end"/>
      </w:r>
      <w:r w:rsidRPr="00804D81">
        <w:rPr>
          <w:sz w:val="24"/>
          <w:szCs w:val="24"/>
          <w:lang w:val="el-GR"/>
        </w:rPr>
        <w:t>.</w:t>
      </w:r>
    </w:p>
  </w:footnote>
  <w:footnote w:id="2">
    <w:p w14:paraId="1E83B9B6" w14:textId="17B0601C" w:rsidR="006B2AF2" w:rsidRPr="00804D81" w:rsidRDefault="006B2AF2" w:rsidP="004845EF">
      <w:pPr>
        <w:pStyle w:val="FootnoteText"/>
        <w:spacing w:line="240" w:lineRule="auto"/>
        <w:ind w:left="567" w:hanging="567"/>
        <w:rPr>
          <w:sz w:val="24"/>
          <w:szCs w:val="24"/>
          <w:lang w:val="el-GR"/>
        </w:rPr>
      </w:pPr>
      <w:r w:rsidRPr="00804D81">
        <w:rPr>
          <w:rStyle w:val="FootnoteReference"/>
          <w:sz w:val="24"/>
          <w:szCs w:val="24"/>
          <w:lang w:val="el-GR"/>
        </w:rPr>
        <w:footnoteRef/>
      </w:r>
      <w:r w:rsidR="00AF42E6" w:rsidRPr="00804D81">
        <w:rPr>
          <w:sz w:val="24"/>
          <w:szCs w:val="24"/>
          <w:lang w:val="el-GR"/>
        </w:rPr>
        <w:t xml:space="preserve"> </w:t>
      </w:r>
      <w:r w:rsidR="00AF42E6" w:rsidRPr="00804D81">
        <w:rPr>
          <w:sz w:val="24"/>
          <w:szCs w:val="24"/>
          <w:lang w:val="el-GR"/>
        </w:rPr>
        <w:tab/>
      </w:r>
      <w:r w:rsidRPr="00804D81">
        <w:rPr>
          <w:sz w:val="24"/>
          <w:szCs w:val="24"/>
          <w:lang w:val="el-GR"/>
        </w:rPr>
        <w:t>ΕΕ C, C/2023/549, 27.10.2023, ELI: </w:t>
      </w:r>
      <w:r>
        <w:fldChar w:fldCharType="begin"/>
      </w:r>
      <w:r>
        <w:instrText>HYPERLINK</w:instrText>
      </w:r>
      <w:r w:rsidRPr="007A6A47">
        <w:rPr>
          <w:lang w:val="el-GR"/>
        </w:rPr>
        <w:instrText xml:space="preserve"> "</w:instrText>
      </w:r>
      <w:r>
        <w:instrText>http</w:instrText>
      </w:r>
      <w:r w:rsidRPr="007A6A47">
        <w:rPr>
          <w:lang w:val="el-GR"/>
        </w:rPr>
        <w:instrText>://</w:instrText>
      </w:r>
      <w:r>
        <w:instrText>data</w:instrText>
      </w:r>
      <w:r w:rsidRPr="007A6A47">
        <w:rPr>
          <w:lang w:val="el-GR"/>
        </w:rPr>
        <w:instrText>.</w:instrText>
      </w:r>
      <w:r>
        <w:instrText>europa</w:instrText>
      </w:r>
      <w:r w:rsidRPr="007A6A47">
        <w:rPr>
          <w:lang w:val="el-GR"/>
        </w:rPr>
        <w:instrText>.</w:instrText>
      </w:r>
      <w:r>
        <w:instrText>eu</w:instrText>
      </w:r>
      <w:r w:rsidRPr="007A6A47">
        <w:rPr>
          <w:lang w:val="el-GR"/>
        </w:rPr>
        <w:instrText>/</w:instrText>
      </w:r>
      <w:r>
        <w:instrText>eli</w:instrText>
      </w:r>
      <w:r w:rsidRPr="007A6A47">
        <w:rPr>
          <w:lang w:val="el-GR"/>
        </w:rPr>
        <w:instrText>/</w:instrText>
      </w:r>
      <w:r>
        <w:instrText>C</w:instrText>
      </w:r>
      <w:r w:rsidRPr="007A6A47">
        <w:rPr>
          <w:lang w:val="el-GR"/>
        </w:rPr>
        <w:instrText>/2023/549/</w:instrText>
      </w:r>
      <w:r>
        <w:instrText>oj</w:instrText>
      </w:r>
      <w:r w:rsidRPr="007A6A47">
        <w:rPr>
          <w:lang w:val="el-GR"/>
        </w:rPr>
        <w:instrText>" \</w:instrText>
      </w:r>
      <w:r>
        <w:instrText>t</w:instrText>
      </w:r>
      <w:r w:rsidRPr="007A6A47">
        <w:rPr>
          <w:lang w:val="el-GR"/>
        </w:rPr>
        <w:instrText xml:space="preserve"> "_</w:instrText>
      </w:r>
      <w:r>
        <w:instrText>blank</w:instrText>
      </w:r>
      <w:r w:rsidRPr="007A6A47">
        <w:rPr>
          <w:lang w:val="el-GR"/>
        </w:rPr>
        <w:instrText>" \</w:instrText>
      </w:r>
      <w:r>
        <w:instrText>o</w:instrText>
      </w:r>
      <w:r w:rsidRPr="007A6A47">
        <w:rPr>
          <w:lang w:val="el-GR"/>
        </w:rPr>
        <w:instrText xml:space="preserve"> "Πρόσβαση στο έγγραφο μέσω </w:instrText>
      </w:r>
      <w:r>
        <w:instrText>URI</w:instrText>
      </w:r>
      <w:r w:rsidRPr="007A6A47">
        <w:rPr>
          <w:lang w:val="el-GR"/>
        </w:rPr>
        <w:instrText xml:space="preserve"> τύπου </w:instrText>
      </w:r>
      <w:r>
        <w:instrText>ELI</w:instrText>
      </w:r>
      <w:r w:rsidRPr="007A6A47">
        <w:rPr>
          <w:lang w:val="el-GR"/>
        </w:rPr>
        <w:instrText>."</w:instrText>
      </w:r>
      <w:r>
        <w:fldChar w:fldCharType="separate"/>
      </w:r>
      <w:r w:rsidRPr="00804D81">
        <w:rPr>
          <w:rStyle w:val="Hyperlink"/>
          <w:sz w:val="24"/>
          <w:szCs w:val="24"/>
          <w:lang w:val="el-GR"/>
        </w:rPr>
        <w:t>http://data.europa.eu/eli/C/2023/549/oj</w:t>
      </w:r>
      <w:r>
        <w:fldChar w:fldCharType="end"/>
      </w:r>
      <w:r w:rsidRPr="00804D81">
        <w:rPr>
          <w:sz w:val="24"/>
          <w:szCs w:val="24"/>
          <w:lang w:val="el-GR"/>
        </w:rPr>
        <w:t>.</w:t>
      </w:r>
    </w:p>
  </w:footnote>
  <w:footnote w:id="3">
    <w:p w14:paraId="3E78472B" w14:textId="63B356B0" w:rsidR="006B2AF2" w:rsidRPr="00804D81" w:rsidRDefault="006B2AF2" w:rsidP="004845EF">
      <w:pPr>
        <w:pStyle w:val="FootnoteText"/>
        <w:spacing w:line="240" w:lineRule="auto"/>
        <w:ind w:left="567" w:hanging="567"/>
        <w:rPr>
          <w:sz w:val="24"/>
          <w:szCs w:val="24"/>
          <w:lang w:val="el-GR"/>
        </w:rPr>
      </w:pPr>
      <w:r w:rsidRPr="00804D81">
        <w:rPr>
          <w:rStyle w:val="FootnoteReference"/>
          <w:sz w:val="24"/>
          <w:szCs w:val="24"/>
          <w:lang w:val="el-GR"/>
        </w:rPr>
        <w:footnoteRef/>
      </w:r>
      <w:r w:rsidR="00AF42E6" w:rsidRPr="00804D81">
        <w:rPr>
          <w:sz w:val="24"/>
          <w:szCs w:val="24"/>
          <w:lang w:val="el-GR"/>
        </w:rPr>
        <w:t xml:space="preserve"> </w:t>
      </w:r>
      <w:r w:rsidR="00AF42E6" w:rsidRPr="00804D81">
        <w:rPr>
          <w:sz w:val="24"/>
          <w:szCs w:val="24"/>
          <w:lang w:val="el-GR"/>
        </w:rPr>
        <w:tab/>
      </w:r>
      <w:r w:rsidRPr="00804D81">
        <w:rPr>
          <w:sz w:val="24"/>
          <w:szCs w:val="24"/>
          <w:lang w:val="el-GR"/>
        </w:rPr>
        <w:t>ΕΕ C, C/2023/905, 15.11.2023, ELI: </w:t>
      </w:r>
      <w:r>
        <w:fldChar w:fldCharType="begin"/>
      </w:r>
      <w:r>
        <w:instrText>HYPERLINK</w:instrText>
      </w:r>
      <w:r w:rsidRPr="007A6A47">
        <w:rPr>
          <w:lang w:val="el-GR"/>
        </w:rPr>
        <w:instrText xml:space="preserve"> "</w:instrText>
      </w:r>
      <w:r>
        <w:instrText>http</w:instrText>
      </w:r>
      <w:r w:rsidRPr="007A6A47">
        <w:rPr>
          <w:lang w:val="el-GR"/>
        </w:rPr>
        <w:instrText>://</w:instrText>
      </w:r>
      <w:r>
        <w:instrText>data</w:instrText>
      </w:r>
      <w:r w:rsidRPr="007A6A47">
        <w:rPr>
          <w:lang w:val="el-GR"/>
        </w:rPr>
        <w:instrText>.</w:instrText>
      </w:r>
      <w:r>
        <w:instrText>europa</w:instrText>
      </w:r>
      <w:r w:rsidRPr="007A6A47">
        <w:rPr>
          <w:lang w:val="el-GR"/>
        </w:rPr>
        <w:instrText>.</w:instrText>
      </w:r>
      <w:r>
        <w:instrText>eu</w:instrText>
      </w:r>
      <w:r w:rsidRPr="007A6A47">
        <w:rPr>
          <w:lang w:val="el-GR"/>
        </w:rPr>
        <w:instrText>/</w:instrText>
      </w:r>
      <w:r>
        <w:instrText>eli</w:instrText>
      </w:r>
      <w:r w:rsidRPr="007A6A47">
        <w:rPr>
          <w:lang w:val="el-GR"/>
        </w:rPr>
        <w:instrText>/</w:instrText>
      </w:r>
      <w:r>
        <w:instrText>C</w:instrText>
      </w:r>
      <w:r w:rsidRPr="007A6A47">
        <w:rPr>
          <w:lang w:val="el-GR"/>
        </w:rPr>
        <w:instrText>/2023/905/</w:instrText>
      </w:r>
      <w:r>
        <w:instrText>oj</w:instrText>
      </w:r>
      <w:r w:rsidRPr="007A6A47">
        <w:rPr>
          <w:lang w:val="el-GR"/>
        </w:rPr>
        <w:instrText>" \</w:instrText>
      </w:r>
      <w:r>
        <w:instrText>t</w:instrText>
      </w:r>
      <w:r w:rsidRPr="007A6A47">
        <w:rPr>
          <w:lang w:val="el-GR"/>
        </w:rPr>
        <w:instrText xml:space="preserve"> "_</w:instrText>
      </w:r>
      <w:r>
        <w:instrText>blank</w:instrText>
      </w:r>
      <w:r w:rsidRPr="007A6A47">
        <w:rPr>
          <w:lang w:val="el-GR"/>
        </w:rPr>
        <w:instrText>" \</w:instrText>
      </w:r>
      <w:r>
        <w:instrText>o</w:instrText>
      </w:r>
      <w:r w:rsidRPr="007A6A47">
        <w:rPr>
          <w:lang w:val="el-GR"/>
        </w:rPr>
        <w:instrText xml:space="preserve"> "Πρόσβαση στο έγγραφο μέσω </w:instrText>
      </w:r>
      <w:r>
        <w:instrText>URI</w:instrText>
      </w:r>
      <w:r w:rsidRPr="007A6A47">
        <w:rPr>
          <w:lang w:val="el-GR"/>
        </w:rPr>
        <w:instrText xml:space="preserve"> τύπου </w:instrText>
      </w:r>
      <w:r>
        <w:instrText>ELI</w:instrText>
      </w:r>
      <w:r w:rsidRPr="007A6A47">
        <w:rPr>
          <w:lang w:val="el-GR"/>
        </w:rPr>
        <w:instrText>."</w:instrText>
      </w:r>
      <w:r>
        <w:fldChar w:fldCharType="separate"/>
      </w:r>
      <w:r w:rsidRPr="00804D81">
        <w:rPr>
          <w:rStyle w:val="Hyperlink"/>
          <w:sz w:val="24"/>
          <w:szCs w:val="24"/>
          <w:lang w:val="el-GR"/>
        </w:rPr>
        <w:t>http://data.europa.eu/eli/C/2023/905/oj</w:t>
      </w:r>
      <w:r>
        <w:fldChar w:fldCharType="end"/>
      </w:r>
      <w:r w:rsidRPr="00804D81">
        <w:rPr>
          <w:sz w:val="24"/>
          <w:szCs w:val="24"/>
          <w:lang w:val="el-GR"/>
        </w:rPr>
        <w:t>.</w:t>
      </w:r>
    </w:p>
  </w:footnote>
  <w:footnote w:id="4">
    <w:p w14:paraId="274F2479" w14:textId="27AD8B1B" w:rsidR="006B2AF2" w:rsidRPr="00804D81" w:rsidRDefault="006B2AF2" w:rsidP="004845EF">
      <w:pPr>
        <w:pStyle w:val="FootnoteText"/>
        <w:spacing w:line="240" w:lineRule="auto"/>
        <w:ind w:left="567" w:hanging="567"/>
        <w:rPr>
          <w:sz w:val="24"/>
          <w:szCs w:val="24"/>
          <w:lang w:val="el-GR"/>
        </w:rPr>
      </w:pPr>
      <w:r w:rsidRPr="00804D81">
        <w:rPr>
          <w:rStyle w:val="FootnoteReference"/>
          <w:sz w:val="24"/>
          <w:szCs w:val="24"/>
          <w:lang w:val="el-GR"/>
        </w:rPr>
        <w:footnoteRef/>
      </w:r>
      <w:r w:rsidR="00AF42E6" w:rsidRPr="00804D81">
        <w:rPr>
          <w:sz w:val="24"/>
          <w:szCs w:val="24"/>
          <w:lang w:val="el-GR"/>
        </w:rPr>
        <w:t xml:space="preserve"> </w:t>
      </w:r>
      <w:r w:rsidR="00AF42E6" w:rsidRPr="00804D81">
        <w:rPr>
          <w:sz w:val="24"/>
          <w:szCs w:val="24"/>
          <w:lang w:val="el-GR"/>
        </w:rPr>
        <w:tab/>
      </w:r>
      <w:r w:rsidRPr="00804D81">
        <w:rPr>
          <w:sz w:val="24"/>
          <w:szCs w:val="24"/>
          <w:lang w:val="el-GR"/>
        </w:rPr>
        <w:t>ΕΕ C, C/2025/4646, 14.8.2025, ELI: </w:t>
      </w:r>
      <w:r>
        <w:fldChar w:fldCharType="begin"/>
      </w:r>
      <w:r>
        <w:instrText>HYPERLINK</w:instrText>
      </w:r>
      <w:r w:rsidRPr="007A6A47">
        <w:rPr>
          <w:lang w:val="el-GR"/>
        </w:rPr>
        <w:instrText xml:space="preserve"> "</w:instrText>
      </w:r>
      <w:r>
        <w:instrText>http</w:instrText>
      </w:r>
      <w:r w:rsidRPr="007A6A47">
        <w:rPr>
          <w:lang w:val="el-GR"/>
        </w:rPr>
        <w:instrText>://</w:instrText>
      </w:r>
      <w:r>
        <w:instrText>data</w:instrText>
      </w:r>
      <w:r w:rsidRPr="007A6A47">
        <w:rPr>
          <w:lang w:val="el-GR"/>
        </w:rPr>
        <w:instrText>.</w:instrText>
      </w:r>
      <w:r>
        <w:instrText>europa</w:instrText>
      </w:r>
      <w:r w:rsidRPr="007A6A47">
        <w:rPr>
          <w:lang w:val="el-GR"/>
        </w:rPr>
        <w:instrText>.</w:instrText>
      </w:r>
      <w:r>
        <w:instrText>eu</w:instrText>
      </w:r>
      <w:r w:rsidRPr="007A6A47">
        <w:rPr>
          <w:lang w:val="el-GR"/>
        </w:rPr>
        <w:instrText>/</w:instrText>
      </w:r>
      <w:r>
        <w:instrText>eli</w:instrText>
      </w:r>
      <w:r w:rsidRPr="007A6A47">
        <w:rPr>
          <w:lang w:val="el-GR"/>
        </w:rPr>
        <w:instrText>/</w:instrText>
      </w:r>
      <w:r>
        <w:instrText>C</w:instrText>
      </w:r>
      <w:r w:rsidRPr="007A6A47">
        <w:rPr>
          <w:lang w:val="el-GR"/>
        </w:rPr>
        <w:instrText>/2025/4646/</w:instrText>
      </w:r>
      <w:r>
        <w:instrText>oj</w:instrText>
      </w:r>
      <w:r w:rsidRPr="007A6A47">
        <w:rPr>
          <w:lang w:val="el-GR"/>
        </w:rPr>
        <w:instrText>" \</w:instrText>
      </w:r>
      <w:r>
        <w:instrText>t</w:instrText>
      </w:r>
      <w:r w:rsidRPr="007A6A47">
        <w:rPr>
          <w:lang w:val="el-GR"/>
        </w:rPr>
        <w:instrText xml:space="preserve"> "_</w:instrText>
      </w:r>
      <w:r>
        <w:instrText>blank</w:instrText>
      </w:r>
      <w:r w:rsidRPr="007A6A47">
        <w:rPr>
          <w:lang w:val="el-GR"/>
        </w:rPr>
        <w:instrText>" \</w:instrText>
      </w:r>
      <w:r>
        <w:instrText>o</w:instrText>
      </w:r>
      <w:r w:rsidRPr="007A6A47">
        <w:rPr>
          <w:lang w:val="el-GR"/>
        </w:rPr>
        <w:instrText xml:space="preserve"> "Πρόσβαση στο έγγραφο μέσω </w:instrText>
      </w:r>
      <w:r>
        <w:instrText>URI</w:instrText>
      </w:r>
      <w:r w:rsidRPr="007A6A47">
        <w:rPr>
          <w:lang w:val="el-GR"/>
        </w:rPr>
        <w:instrText xml:space="preserve"> τύπου </w:instrText>
      </w:r>
      <w:r>
        <w:instrText>ELI</w:instrText>
      </w:r>
      <w:r w:rsidRPr="007A6A47">
        <w:rPr>
          <w:lang w:val="el-GR"/>
        </w:rPr>
        <w:instrText>."</w:instrText>
      </w:r>
      <w:r>
        <w:fldChar w:fldCharType="separate"/>
      </w:r>
      <w:r w:rsidRPr="00804D81">
        <w:rPr>
          <w:rStyle w:val="Hyperlink"/>
          <w:sz w:val="24"/>
          <w:szCs w:val="24"/>
          <w:lang w:val="el-GR"/>
        </w:rPr>
        <w:t>http://data.europa.eu/eli/C/2025/4646/oj</w:t>
      </w:r>
      <w:r>
        <w:fldChar w:fldCharType="end"/>
      </w:r>
      <w:r w:rsidRPr="00804D81">
        <w:rPr>
          <w:sz w:val="24"/>
          <w:szCs w:val="24"/>
          <w:lang w:val="el-GR"/>
        </w:rPr>
        <w:t>.</w:t>
      </w:r>
    </w:p>
  </w:footnote>
  <w:footnote w:id="5">
    <w:p w14:paraId="2237065B" w14:textId="6DA98BAA" w:rsidR="006B2AF2" w:rsidRPr="00804D81" w:rsidRDefault="006B2AF2" w:rsidP="004845EF">
      <w:pPr>
        <w:pStyle w:val="FootnoteText"/>
        <w:spacing w:line="240" w:lineRule="auto"/>
        <w:ind w:left="567" w:hanging="567"/>
        <w:rPr>
          <w:sz w:val="24"/>
          <w:szCs w:val="24"/>
          <w:lang w:val="el-GR"/>
        </w:rPr>
      </w:pPr>
      <w:r w:rsidRPr="00804D81">
        <w:rPr>
          <w:rStyle w:val="FootnoteReference"/>
          <w:sz w:val="24"/>
          <w:szCs w:val="24"/>
          <w:lang w:val="el-GR"/>
        </w:rPr>
        <w:footnoteRef/>
      </w:r>
      <w:r w:rsidR="00AF42E6" w:rsidRPr="00804D81">
        <w:rPr>
          <w:sz w:val="24"/>
          <w:szCs w:val="24"/>
          <w:lang w:val="el-GR"/>
        </w:rPr>
        <w:t xml:space="preserve"> </w:t>
      </w:r>
      <w:r w:rsidR="00AF42E6" w:rsidRPr="00804D81">
        <w:rPr>
          <w:sz w:val="24"/>
          <w:szCs w:val="24"/>
          <w:lang w:val="el-GR"/>
        </w:rPr>
        <w:tab/>
      </w:r>
      <w:r w:rsidRPr="00804D81">
        <w:rPr>
          <w:sz w:val="24"/>
          <w:szCs w:val="24"/>
          <w:lang w:val="el-GR"/>
        </w:rPr>
        <w:t>ΕΕ C, C/2023/552, 27.10.2023, ELI: </w:t>
      </w:r>
      <w:r>
        <w:fldChar w:fldCharType="begin"/>
      </w:r>
      <w:r>
        <w:instrText>HYPERLINK</w:instrText>
      </w:r>
      <w:r w:rsidRPr="007A6A47">
        <w:rPr>
          <w:lang w:val="el-GR"/>
        </w:rPr>
        <w:instrText xml:space="preserve"> "</w:instrText>
      </w:r>
      <w:r>
        <w:instrText>http</w:instrText>
      </w:r>
      <w:r w:rsidRPr="007A6A47">
        <w:rPr>
          <w:lang w:val="el-GR"/>
        </w:rPr>
        <w:instrText>://</w:instrText>
      </w:r>
      <w:r>
        <w:instrText>data</w:instrText>
      </w:r>
      <w:r w:rsidRPr="007A6A47">
        <w:rPr>
          <w:lang w:val="el-GR"/>
        </w:rPr>
        <w:instrText>.</w:instrText>
      </w:r>
      <w:r>
        <w:instrText>europa</w:instrText>
      </w:r>
      <w:r w:rsidRPr="007A6A47">
        <w:rPr>
          <w:lang w:val="el-GR"/>
        </w:rPr>
        <w:instrText>.</w:instrText>
      </w:r>
      <w:r>
        <w:instrText>eu</w:instrText>
      </w:r>
      <w:r w:rsidRPr="007A6A47">
        <w:rPr>
          <w:lang w:val="el-GR"/>
        </w:rPr>
        <w:instrText>/</w:instrText>
      </w:r>
      <w:r>
        <w:instrText>eli</w:instrText>
      </w:r>
      <w:r w:rsidRPr="007A6A47">
        <w:rPr>
          <w:lang w:val="el-GR"/>
        </w:rPr>
        <w:instrText>/</w:instrText>
      </w:r>
      <w:r>
        <w:instrText>C</w:instrText>
      </w:r>
      <w:r w:rsidRPr="007A6A47">
        <w:rPr>
          <w:lang w:val="el-GR"/>
        </w:rPr>
        <w:instrText>/2023/552/</w:instrText>
      </w:r>
      <w:r>
        <w:instrText>oj</w:instrText>
      </w:r>
      <w:r w:rsidRPr="007A6A47">
        <w:rPr>
          <w:lang w:val="el-GR"/>
        </w:rPr>
        <w:instrText>" \</w:instrText>
      </w:r>
      <w:r>
        <w:instrText>t</w:instrText>
      </w:r>
      <w:r w:rsidRPr="007A6A47">
        <w:rPr>
          <w:lang w:val="el-GR"/>
        </w:rPr>
        <w:instrText xml:space="preserve"> "_</w:instrText>
      </w:r>
      <w:r>
        <w:instrText>blank</w:instrText>
      </w:r>
      <w:r w:rsidRPr="007A6A47">
        <w:rPr>
          <w:lang w:val="el-GR"/>
        </w:rPr>
        <w:instrText>" \</w:instrText>
      </w:r>
      <w:r>
        <w:instrText>o</w:instrText>
      </w:r>
      <w:r w:rsidRPr="007A6A47">
        <w:rPr>
          <w:lang w:val="el-GR"/>
        </w:rPr>
        <w:instrText xml:space="preserve"> "Πρόσβαση στο έγγραφο μέσω </w:instrText>
      </w:r>
      <w:r>
        <w:instrText>URI</w:instrText>
      </w:r>
      <w:r w:rsidRPr="007A6A47">
        <w:rPr>
          <w:lang w:val="el-GR"/>
        </w:rPr>
        <w:instrText xml:space="preserve"> τύπου </w:instrText>
      </w:r>
      <w:r>
        <w:instrText>ELI</w:instrText>
      </w:r>
      <w:r w:rsidRPr="007A6A47">
        <w:rPr>
          <w:lang w:val="el-GR"/>
        </w:rPr>
        <w:instrText>."</w:instrText>
      </w:r>
      <w:r>
        <w:fldChar w:fldCharType="separate"/>
      </w:r>
      <w:r w:rsidRPr="00804D81">
        <w:rPr>
          <w:rStyle w:val="Hyperlink"/>
          <w:sz w:val="24"/>
          <w:szCs w:val="24"/>
          <w:lang w:val="el-GR"/>
        </w:rPr>
        <w:t>http://data.europa.eu/eli/C/2023/552/oj</w:t>
      </w:r>
      <w:r>
        <w:fldChar w:fldCharType="end"/>
      </w:r>
      <w:r w:rsidRPr="00804D81">
        <w:rPr>
          <w:sz w:val="24"/>
          <w:szCs w:val="24"/>
          <w:lang w:val="el-GR"/>
        </w:rPr>
        <w:t>.</w:t>
      </w:r>
    </w:p>
  </w:footnote>
  <w:footnote w:id="6">
    <w:p w14:paraId="33FBA714" w14:textId="273B19FF" w:rsidR="006B2AF2" w:rsidRPr="00804D81" w:rsidRDefault="006B2AF2" w:rsidP="004845EF">
      <w:pPr>
        <w:pStyle w:val="FootnoteText"/>
        <w:spacing w:line="240" w:lineRule="auto"/>
        <w:ind w:left="567" w:hanging="567"/>
        <w:rPr>
          <w:sz w:val="24"/>
          <w:szCs w:val="24"/>
          <w:lang w:val="el-GR"/>
        </w:rPr>
      </w:pPr>
      <w:r w:rsidRPr="00804D81">
        <w:rPr>
          <w:rStyle w:val="FootnoteReference"/>
          <w:sz w:val="24"/>
          <w:szCs w:val="24"/>
          <w:lang w:val="el-GR"/>
        </w:rPr>
        <w:footnoteRef/>
      </w:r>
      <w:r w:rsidR="00AF42E6" w:rsidRPr="00804D81">
        <w:rPr>
          <w:sz w:val="24"/>
          <w:szCs w:val="24"/>
          <w:lang w:val="el-GR"/>
        </w:rPr>
        <w:t xml:space="preserve"> </w:t>
      </w:r>
      <w:r w:rsidR="00AF42E6" w:rsidRPr="00804D81">
        <w:rPr>
          <w:sz w:val="24"/>
          <w:szCs w:val="24"/>
          <w:lang w:val="el-GR"/>
        </w:rPr>
        <w:tab/>
      </w:r>
      <w:r w:rsidRPr="00804D81">
        <w:rPr>
          <w:sz w:val="24"/>
          <w:szCs w:val="24"/>
          <w:lang w:val="el-GR"/>
        </w:rPr>
        <w:t>ΕΕ C, C/2023/1092, 23.11.2023, ELI: </w:t>
      </w:r>
      <w:r>
        <w:fldChar w:fldCharType="begin"/>
      </w:r>
      <w:r>
        <w:instrText>HYPERLINK</w:instrText>
      </w:r>
      <w:r w:rsidRPr="007A6A47">
        <w:rPr>
          <w:lang w:val="el-GR"/>
        </w:rPr>
        <w:instrText xml:space="preserve"> "</w:instrText>
      </w:r>
      <w:r>
        <w:instrText>http</w:instrText>
      </w:r>
      <w:r w:rsidRPr="007A6A47">
        <w:rPr>
          <w:lang w:val="el-GR"/>
        </w:rPr>
        <w:instrText>://</w:instrText>
      </w:r>
      <w:r>
        <w:instrText>data</w:instrText>
      </w:r>
      <w:r w:rsidRPr="007A6A47">
        <w:rPr>
          <w:lang w:val="el-GR"/>
        </w:rPr>
        <w:instrText>.</w:instrText>
      </w:r>
      <w:r>
        <w:instrText>europa</w:instrText>
      </w:r>
      <w:r w:rsidRPr="007A6A47">
        <w:rPr>
          <w:lang w:val="el-GR"/>
        </w:rPr>
        <w:instrText>.</w:instrText>
      </w:r>
      <w:r>
        <w:instrText>eu</w:instrText>
      </w:r>
      <w:r w:rsidRPr="007A6A47">
        <w:rPr>
          <w:lang w:val="el-GR"/>
        </w:rPr>
        <w:instrText>/</w:instrText>
      </w:r>
      <w:r>
        <w:instrText>eli</w:instrText>
      </w:r>
      <w:r w:rsidRPr="007A6A47">
        <w:rPr>
          <w:lang w:val="el-GR"/>
        </w:rPr>
        <w:instrText>/</w:instrText>
      </w:r>
      <w:r>
        <w:instrText>C</w:instrText>
      </w:r>
      <w:r w:rsidRPr="007A6A47">
        <w:rPr>
          <w:lang w:val="el-GR"/>
        </w:rPr>
        <w:instrText>/2023/1092/</w:instrText>
      </w:r>
      <w:r>
        <w:instrText>oj</w:instrText>
      </w:r>
      <w:r w:rsidRPr="007A6A47">
        <w:rPr>
          <w:lang w:val="el-GR"/>
        </w:rPr>
        <w:instrText>" \</w:instrText>
      </w:r>
      <w:r>
        <w:instrText>t</w:instrText>
      </w:r>
      <w:r w:rsidRPr="007A6A47">
        <w:rPr>
          <w:lang w:val="el-GR"/>
        </w:rPr>
        <w:instrText xml:space="preserve"> "_</w:instrText>
      </w:r>
      <w:r>
        <w:instrText>blank</w:instrText>
      </w:r>
      <w:r w:rsidRPr="007A6A47">
        <w:rPr>
          <w:lang w:val="el-GR"/>
        </w:rPr>
        <w:instrText>" \</w:instrText>
      </w:r>
      <w:r>
        <w:instrText>o</w:instrText>
      </w:r>
      <w:r w:rsidRPr="007A6A47">
        <w:rPr>
          <w:lang w:val="el-GR"/>
        </w:rPr>
        <w:instrText xml:space="preserve"> "Πρόσβαση στο έγγραφο μέσω </w:instrText>
      </w:r>
      <w:r>
        <w:instrText>URI</w:instrText>
      </w:r>
      <w:r w:rsidRPr="007A6A47">
        <w:rPr>
          <w:lang w:val="el-GR"/>
        </w:rPr>
        <w:instrText xml:space="preserve"> τύπου </w:instrText>
      </w:r>
      <w:r>
        <w:instrText>ELI</w:instrText>
      </w:r>
      <w:r w:rsidRPr="007A6A47">
        <w:rPr>
          <w:lang w:val="el-GR"/>
        </w:rPr>
        <w:instrText>."</w:instrText>
      </w:r>
      <w:r>
        <w:fldChar w:fldCharType="separate"/>
      </w:r>
      <w:r w:rsidRPr="00804D81">
        <w:rPr>
          <w:rStyle w:val="Hyperlink"/>
          <w:sz w:val="24"/>
          <w:szCs w:val="24"/>
          <w:lang w:val="el-GR"/>
        </w:rPr>
        <w:t>http://data.europa.eu/eli/C/2023/1092/oj</w:t>
      </w:r>
      <w:r>
        <w:fldChar w:fldCharType="end"/>
      </w:r>
      <w:r w:rsidRPr="00804D81">
        <w:rPr>
          <w:sz w:val="24"/>
          <w:szCs w:val="24"/>
          <w:lang w:val="el-GR"/>
        </w:rPr>
        <w:t xml:space="preserve">. </w:t>
      </w:r>
    </w:p>
  </w:footnote>
  <w:footnote w:id="7">
    <w:p w14:paraId="584571D2" w14:textId="260FF4B2" w:rsidR="006B2AF2" w:rsidRPr="00804D81" w:rsidRDefault="006B2AF2" w:rsidP="004845EF">
      <w:pPr>
        <w:pStyle w:val="FootnoteText"/>
        <w:spacing w:line="240" w:lineRule="auto"/>
        <w:ind w:left="567" w:hanging="567"/>
        <w:rPr>
          <w:sz w:val="24"/>
          <w:szCs w:val="24"/>
          <w:lang w:val="el-GR"/>
        </w:rPr>
      </w:pPr>
      <w:r w:rsidRPr="00804D81">
        <w:rPr>
          <w:rStyle w:val="FootnoteReference"/>
          <w:sz w:val="24"/>
          <w:szCs w:val="24"/>
          <w:lang w:val="el-GR"/>
        </w:rPr>
        <w:footnoteRef/>
      </w:r>
      <w:r w:rsidR="00AF42E6" w:rsidRPr="00804D81">
        <w:rPr>
          <w:sz w:val="24"/>
          <w:szCs w:val="24"/>
          <w:lang w:val="el-GR"/>
        </w:rPr>
        <w:t xml:space="preserve"> </w:t>
      </w:r>
      <w:r w:rsidR="00AF42E6" w:rsidRPr="00804D81">
        <w:rPr>
          <w:sz w:val="24"/>
          <w:szCs w:val="24"/>
          <w:lang w:val="el-GR"/>
        </w:rPr>
        <w:tab/>
      </w:r>
      <w:r w:rsidRPr="00804D81">
        <w:rPr>
          <w:sz w:val="24"/>
          <w:szCs w:val="24"/>
          <w:lang w:val="el-GR"/>
        </w:rPr>
        <w:t>ΕΕ C, C/2023/551, 27.10.2023, ELI: </w:t>
      </w:r>
      <w:r>
        <w:fldChar w:fldCharType="begin"/>
      </w:r>
      <w:r>
        <w:instrText>HYPERLINK</w:instrText>
      </w:r>
      <w:r w:rsidRPr="007A6A47">
        <w:rPr>
          <w:lang w:val="el-GR"/>
        </w:rPr>
        <w:instrText xml:space="preserve"> "</w:instrText>
      </w:r>
      <w:r>
        <w:instrText>http</w:instrText>
      </w:r>
      <w:r w:rsidRPr="007A6A47">
        <w:rPr>
          <w:lang w:val="el-GR"/>
        </w:rPr>
        <w:instrText>://</w:instrText>
      </w:r>
      <w:r>
        <w:instrText>data</w:instrText>
      </w:r>
      <w:r w:rsidRPr="007A6A47">
        <w:rPr>
          <w:lang w:val="el-GR"/>
        </w:rPr>
        <w:instrText>.</w:instrText>
      </w:r>
      <w:r>
        <w:instrText>europa</w:instrText>
      </w:r>
      <w:r w:rsidRPr="007A6A47">
        <w:rPr>
          <w:lang w:val="el-GR"/>
        </w:rPr>
        <w:instrText>.</w:instrText>
      </w:r>
      <w:r>
        <w:instrText>eu</w:instrText>
      </w:r>
      <w:r w:rsidRPr="007A6A47">
        <w:rPr>
          <w:lang w:val="el-GR"/>
        </w:rPr>
        <w:instrText>/</w:instrText>
      </w:r>
      <w:r>
        <w:instrText>eli</w:instrText>
      </w:r>
      <w:r w:rsidRPr="007A6A47">
        <w:rPr>
          <w:lang w:val="el-GR"/>
        </w:rPr>
        <w:instrText>/</w:instrText>
      </w:r>
      <w:r>
        <w:instrText>C</w:instrText>
      </w:r>
      <w:r w:rsidRPr="007A6A47">
        <w:rPr>
          <w:lang w:val="el-GR"/>
        </w:rPr>
        <w:instrText>/2023/551/</w:instrText>
      </w:r>
      <w:r>
        <w:instrText>oj</w:instrText>
      </w:r>
      <w:r w:rsidRPr="007A6A47">
        <w:rPr>
          <w:lang w:val="el-GR"/>
        </w:rPr>
        <w:instrText>" \</w:instrText>
      </w:r>
      <w:r>
        <w:instrText>t</w:instrText>
      </w:r>
      <w:r w:rsidRPr="007A6A47">
        <w:rPr>
          <w:lang w:val="el-GR"/>
        </w:rPr>
        <w:instrText xml:space="preserve"> "_</w:instrText>
      </w:r>
      <w:r>
        <w:instrText>blank</w:instrText>
      </w:r>
      <w:r w:rsidRPr="007A6A47">
        <w:rPr>
          <w:lang w:val="el-GR"/>
        </w:rPr>
        <w:instrText>" \</w:instrText>
      </w:r>
      <w:r>
        <w:instrText>o</w:instrText>
      </w:r>
      <w:r w:rsidRPr="007A6A47">
        <w:rPr>
          <w:lang w:val="el-GR"/>
        </w:rPr>
        <w:instrText xml:space="preserve"> "Πρόσβαση στο έγγραφο μέσω </w:instrText>
      </w:r>
      <w:r>
        <w:instrText>URI</w:instrText>
      </w:r>
      <w:r w:rsidRPr="007A6A47">
        <w:rPr>
          <w:lang w:val="el-GR"/>
        </w:rPr>
        <w:instrText xml:space="preserve"> τύπου </w:instrText>
      </w:r>
      <w:r>
        <w:instrText>ELI</w:instrText>
      </w:r>
      <w:r w:rsidRPr="007A6A47">
        <w:rPr>
          <w:lang w:val="el-GR"/>
        </w:rPr>
        <w:instrText>."</w:instrText>
      </w:r>
      <w:r>
        <w:fldChar w:fldCharType="separate"/>
      </w:r>
      <w:r w:rsidRPr="00804D81">
        <w:rPr>
          <w:rStyle w:val="Hyperlink"/>
          <w:sz w:val="24"/>
          <w:szCs w:val="24"/>
          <w:lang w:val="el-GR"/>
        </w:rPr>
        <w:t>http://data.europa.eu/eli/C/2023/551/oj</w:t>
      </w:r>
      <w:r>
        <w:fldChar w:fldCharType="end"/>
      </w:r>
      <w:r w:rsidRPr="00804D81">
        <w:rPr>
          <w:sz w:val="24"/>
          <w:szCs w:val="24"/>
          <w:lang w:val="el-GR"/>
        </w:rPr>
        <w:t xml:space="preserve">. </w:t>
      </w:r>
    </w:p>
  </w:footnote>
  <w:footnote w:id="8">
    <w:p w14:paraId="7B2C7108" w14:textId="068CC7C8" w:rsidR="006B2AF2" w:rsidRPr="00804D81" w:rsidRDefault="006B2AF2" w:rsidP="004845EF">
      <w:pPr>
        <w:pStyle w:val="FootnoteText"/>
        <w:spacing w:line="240" w:lineRule="auto"/>
        <w:ind w:left="567" w:hanging="567"/>
        <w:rPr>
          <w:sz w:val="24"/>
          <w:szCs w:val="24"/>
          <w:lang w:val="el-GR"/>
        </w:rPr>
      </w:pPr>
      <w:r w:rsidRPr="00804D81">
        <w:rPr>
          <w:rStyle w:val="FootnoteReference"/>
          <w:sz w:val="24"/>
          <w:szCs w:val="24"/>
          <w:lang w:val="el-GR"/>
        </w:rPr>
        <w:footnoteRef/>
      </w:r>
      <w:r w:rsidR="00AF42E6" w:rsidRPr="00804D81">
        <w:rPr>
          <w:sz w:val="24"/>
          <w:szCs w:val="24"/>
          <w:lang w:val="el-GR"/>
        </w:rPr>
        <w:t xml:space="preserve"> </w:t>
      </w:r>
      <w:r w:rsidR="00AF42E6" w:rsidRPr="00804D81">
        <w:rPr>
          <w:sz w:val="24"/>
          <w:szCs w:val="24"/>
          <w:lang w:val="el-GR"/>
        </w:rPr>
        <w:tab/>
      </w:r>
      <w:r w:rsidRPr="00804D81">
        <w:rPr>
          <w:sz w:val="24"/>
          <w:szCs w:val="24"/>
          <w:lang w:val="el-GR"/>
        </w:rPr>
        <w:t>ΕΕ C, C/2024/4374, 4.7.2024, ELI: </w:t>
      </w:r>
      <w:r>
        <w:fldChar w:fldCharType="begin"/>
      </w:r>
      <w:r>
        <w:instrText>HYPERLINK</w:instrText>
      </w:r>
      <w:r w:rsidRPr="007A6A47">
        <w:rPr>
          <w:lang w:val="el-GR"/>
        </w:rPr>
        <w:instrText xml:space="preserve"> "</w:instrText>
      </w:r>
      <w:r>
        <w:instrText>http</w:instrText>
      </w:r>
      <w:r w:rsidRPr="007A6A47">
        <w:rPr>
          <w:lang w:val="el-GR"/>
        </w:rPr>
        <w:instrText>://</w:instrText>
      </w:r>
      <w:r>
        <w:instrText>data</w:instrText>
      </w:r>
      <w:r w:rsidRPr="007A6A47">
        <w:rPr>
          <w:lang w:val="el-GR"/>
        </w:rPr>
        <w:instrText>.</w:instrText>
      </w:r>
      <w:r>
        <w:instrText>europa</w:instrText>
      </w:r>
      <w:r w:rsidRPr="007A6A47">
        <w:rPr>
          <w:lang w:val="el-GR"/>
        </w:rPr>
        <w:instrText>.</w:instrText>
      </w:r>
      <w:r>
        <w:instrText>eu</w:instrText>
      </w:r>
      <w:r w:rsidRPr="007A6A47">
        <w:rPr>
          <w:lang w:val="el-GR"/>
        </w:rPr>
        <w:instrText>/</w:instrText>
      </w:r>
      <w:r>
        <w:instrText>eli</w:instrText>
      </w:r>
      <w:r w:rsidRPr="007A6A47">
        <w:rPr>
          <w:lang w:val="el-GR"/>
        </w:rPr>
        <w:instrText>/</w:instrText>
      </w:r>
      <w:r>
        <w:instrText>C</w:instrText>
      </w:r>
      <w:r w:rsidRPr="007A6A47">
        <w:rPr>
          <w:lang w:val="el-GR"/>
        </w:rPr>
        <w:instrText>/2024/4374/</w:instrText>
      </w:r>
      <w:r>
        <w:instrText>oj</w:instrText>
      </w:r>
      <w:r w:rsidRPr="007A6A47">
        <w:rPr>
          <w:lang w:val="el-GR"/>
        </w:rPr>
        <w:instrText>" \</w:instrText>
      </w:r>
      <w:r>
        <w:instrText>t</w:instrText>
      </w:r>
      <w:r w:rsidRPr="007A6A47">
        <w:rPr>
          <w:lang w:val="el-GR"/>
        </w:rPr>
        <w:instrText xml:space="preserve"> "_</w:instrText>
      </w:r>
      <w:r>
        <w:instrText>blank</w:instrText>
      </w:r>
      <w:r w:rsidRPr="007A6A47">
        <w:rPr>
          <w:lang w:val="el-GR"/>
        </w:rPr>
        <w:instrText>" \</w:instrText>
      </w:r>
      <w:r>
        <w:instrText>o</w:instrText>
      </w:r>
      <w:r w:rsidRPr="007A6A47">
        <w:rPr>
          <w:lang w:val="el-GR"/>
        </w:rPr>
        <w:instrText xml:space="preserve"> "Πρόσβαση στο έγγραφο μέσω </w:instrText>
      </w:r>
      <w:r>
        <w:instrText>URI</w:instrText>
      </w:r>
      <w:r w:rsidRPr="007A6A47">
        <w:rPr>
          <w:lang w:val="el-GR"/>
        </w:rPr>
        <w:instrText xml:space="preserve"> τύπου </w:instrText>
      </w:r>
      <w:r>
        <w:instrText>ELI</w:instrText>
      </w:r>
      <w:r w:rsidRPr="007A6A47">
        <w:rPr>
          <w:lang w:val="el-GR"/>
        </w:rPr>
        <w:instrText>."</w:instrText>
      </w:r>
      <w:r>
        <w:fldChar w:fldCharType="separate"/>
      </w:r>
      <w:r w:rsidRPr="00804D81">
        <w:rPr>
          <w:rStyle w:val="Hyperlink"/>
          <w:sz w:val="24"/>
          <w:szCs w:val="24"/>
          <w:lang w:val="el-GR"/>
        </w:rPr>
        <w:t>http://data.europa.eu/eli/C/2024/4374/oj</w:t>
      </w:r>
      <w:r>
        <w:fldChar w:fldCharType="end"/>
      </w:r>
      <w:r w:rsidRPr="00804D81">
        <w:rPr>
          <w:sz w:val="24"/>
          <w:szCs w:val="24"/>
          <w:lang w:val="el-GR"/>
        </w:rPr>
        <w:t xml:space="preserve">. </w:t>
      </w:r>
    </w:p>
  </w:footnote>
  <w:footnote w:id="9">
    <w:p w14:paraId="72F947C0" w14:textId="58C7A4F7" w:rsidR="006B2AF2" w:rsidRPr="00804D81" w:rsidRDefault="006B2AF2" w:rsidP="004845EF">
      <w:pPr>
        <w:pStyle w:val="FootnoteText"/>
        <w:spacing w:line="240" w:lineRule="auto"/>
        <w:ind w:left="567" w:hanging="567"/>
        <w:rPr>
          <w:sz w:val="24"/>
          <w:szCs w:val="24"/>
          <w:lang w:val="el-GR"/>
        </w:rPr>
      </w:pPr>
      <w:r w:rsidRPr="00804D81">
        <w:rPr>
          <w:rStyle w:val="FootnoteReference"/>
          <w:sz w:val="24"/>
          <w:szCs w:val="24"/>
          <w:lang w:val="el-GR"/>
        </w:rPr>
        <w:footnoteRef/>
      </w:r>
      <w:r w:rsidR="00AF42E6" w:rsidRPr="00804D81">
        <w:rPr>
          <w:sz w:val="24"/>
          <w:szCs w:val="24"/>
          <w:lang w:val="el-GR"/>
        </w:rPr>
        <w:t xml:space="preserve"> </w:t>
      </w:r>
      <w:r w:rsidR="00AF42E6" w:rsidRPr="00804D81">
        <w:rPr>
          <w:sz w:val="24"/>
          <w:szCs w:val="24"/>
          <w:lang w:val="el-GR"/>
        </w:rPr>
        <w:tab/>
      </w:r>
      <w:r w:rsidRPr="00804D81">
        <w:rPr>
          <w:sz w:val="24"/>
          <w:szCs w:val="24"/>
          <w:lang w:val="el-GR"/>
        </w:rPr>
        <w:t>ΕΕ C, C/2024/4360, 4.7.2024, ELI: </w:t>
      </w:r>
      <w:r>
        <w:fldChar w:fldCharType="begin"/>
      </w:r>
      <w:r>
        <w:instrText>HYPERLINK</w:instrText>
      </w:r>
      <w:r w:rsidRPr="007A6A47">
        <w:rPr>
          <w:lang w:val="el-GR"/>
        </w:rPr>
        <w:instrText xml:space="preserve"> "</w:instrText>
      </w:r>
      <w:r>
        <w:instrText>http</w:instrText>
      </w:r>
      <w:r w:rsidRPr="007A6A47">
        <w:rPr>
          <w:lang w:val="el-GR"/>
        </w:rPr>
        <w:instrText>://</w:instrText>
      </w:r>
      <w:r>
        <w:instrText>data</w:instrText>
      </w:r>
      <w:r w:rsidRPr="007A6A47">
        <w:rPr>
          <w:lang w:val="el-GR"/>
        </w:rPr>
        <w:instrText>.</w:instrText>
      </w:r>
      <w:r>
        <w:instrText>europa</w:instrText>
      </w:r>
      <w:r w:rsidRPr="007A6A47">
        <w:rPr>
          <w:lang w:val="el-GR"/>
        </w:rPr>
        <w:instrText>.</w:instrText>
      </w:r>
      <w:r>
        <w:instrText>eu</w:instrText>
      </w:r>
      <w:r w:rsidRPr="007A6A47">
        <w:rPr>
          <w:lang w:val="el-GR"/>
        </w:rPr>
        <w:instrText>/</w:instrText>
      </w:r>
      <w:r>
        <w:instrText>eli</w:instrText>
      </w:r>
      <w:r w:rsidRPr="007A6A47">
        <w:rPr>
          <w:lang w:val="el-GR"/>
        </w:rPr>
        <w:instrText>/</w:instrText>
      </w:r>
      <w:r>
        <w:instrText>C</w:instrText>
      </w:r>
      <w:r w:rsidRPr="007A6A47">
        <w:rPr>
          <w:lang w:val="el-GR"/>
        </w:rPr>
        <w:instrText>/2024/4360/</w:instrText>
      </w:r>
      <w:r>
        <w:instrText>oj</w:instrText>
      </w:r>
      <w:r w:rsidRPr="007A6A47">
        <w:rPr>
          <w:lang w:val="el-GR"/>
        </w:rPr>
        <w:instrText>" \</w:instrText>
      </w:r>
      <w:r>
        <w:instrText>t</w:instrText>
      </w:r>
      <w:r w:rsidRPr="007A6A47">
        <w:rPr>
          <w:lang w:val="el-GR"/>
        </w:rPr>
        <w:instrText xml:space="preserve"> "_</w:instrText>
      </w:r>
      <w:r>
        <w:instrText>blank</w:instrText>
      </w:r>
      <w:r w:rsidRPr="007A6A47">
        <w:rPr>
          <w:lang w:val="el-GR"/>
        </w:rPr>
        <w:instrText>" \</w:instrText>
      </w:r>
      <w:r>
        <w:instrText>o</w:instrText>
      </w:r>
      <w:r w:rsidRPr="007A6A47">
        <w:rPr>
          <w:lang w:val="el-GR"/>
        </w:rPr>
        <w:instrText xml:space="preserve"> "Πρόσβαση στο έγγραφο μέσω </w:instrText>
      </w:r>
      <w:r>
        <w:instrText>URI</w:instrText>
      </w:r>
      <w:r w:rsidRPr="007A6A47">
        <w:rPr>
          <w:lang w:val="el-GR"/>
        </w:rPr>
        <w:instrText xml:space="preserve"> τύπου </w:instrText>
      </w:r>
      <w:r>
        <w:instrText>ELI</w:instrText>
      </w:r>
      <w:r w:rsidRPr="007A6A47">
        <w:rPr>
          <w:lang w:val="el-GR"/>
        </w:rPr>
        <w:instrText>."</w:instrText>
      </w:r>
      <w:r>
        <w:fldChar w:fldCharType="separate"/>
      </w:r>
      <w:r w:rsidRPr="00804D81">
        <w:rPr>
          <w:rStyle w:val="Hyperlink"/>
          <w:sz w:val="24"/>
          <w:szCs w:val="24"/>
          <w:lang w:val="el-GR"/>
        </w:rPr>
        <w:t>http://data.europa.eu/eli/C/2024/4360/oj</w:t>
      </w:r>
      <w:r>
        <w:fldChar w:fldCharType="end"/>
      </w:r>
      <w:r w:rsidRPr="00804D81">
        <w:rPr>
          <w:sz w:val="24"/>
          <w:szCs w:val="24"/>
          <w:lang w:val="el-GR"/>
        </w:rPr>
        <w:t>.</w:t>
      </w:r>
    </w:p>
  </w:footnote>
  <w:footnote w:id="10">
    <w:p w14:paraId="604276BA" w14:textId="5AE13D2E" w:rsidR="006B2AF2" w:rsidRPr="00804D81" w:rsidRDefault="006B2AF2" w:rsidP="004845EF">
      <w:pPr>
        <w:pStyle w:val="FootnoteText"/>
        <w:spacing w:line="240" w:lineRule="auto"/>
        <w:ind w:left="567" w:hanging="567"/>
        <w:rPr>
          <w:sz w:val="24"/>
          <w:szCs w:val="24"/>
          <w:lang w:val="el-GR"/>
        </w:rPr>
      </w:pPr>
      <w:r w:rsidRPr="00804D81">
        <w:rPr>
          <w:rStyle w:val="FootnoteReference"/>
          <w:sz w:val="24"/>
          <w:szCs w:val="24"/>
          <w:lang w:val="el-GR"/>
        </w:rPr>
        <w:footnoteRef/>
      </w:r>
      <w:r w:rsidR="00AF42E6" w:rsidRPr="00804D81">
        <w:rPr>
          <w:sz w:val="24"/>
          <w:szCs w:val="24"/>
          <w:lang w:val="el-GR"/>
        </w:rPr>
        <w:t xml:space="preserve"> </w:t>
      </w:r>
      <w:r w:rsidR="00AF42E6" w:rsidRPr="00804D81">
        <w:rPr>
          <w:sz w:val="24"/>
          <w:szCs w:val="24"/>
          <w:lang w:val="el-GR"/>
        </w:rPr>
        <w:tab/>
      </w:r>
      <w:r w:rsidRPr="00804D81">
        <w:rPr>
          <w:sz w:val="24"/>
          <w:szCs w:val="24"/>
          <w:lang w:val="el-GR"/>
        </w:rPr>
        <w:t>ΕΕ C, C/2025/3466, 27.6.2025, ELI: </w:t>
      </w:r>
      <w:r>
        <w:fldChar w:fldCharType="begin"/>
      </w:r>
      <w:r>
        <w:instrText>HYPERLINK</w:instrText>
      </w:r>
      <w:r w:rsidRPr="007A6A47">
        <w:rPr>
          <w:lang w:val="el-GR"/>
        </w:rPr>
        <w:instrText xml:space="preserve"> "</w:instrText>
      </w:r>
      <w:r>
        <w:instrText>http</w:instrText>
      </w:r>
      <w:r w:rsidRPr="007A6A47">
        <w:rPr>
          <w:lang w:val="el-GR"/>
        </w:rPr>
        <w:instrText>://</w:instrText>
      </w:r>
      <w:r>
        <w:instrText>data</w:instrText>
      </w:r>
      <w:r w:rsidRPr="007A6A47">
        <w:rPr>
          <w:lang w:val="el-GR"/>
        </w:rPr>
        <w:instrText>.</w:instrText>
      </w:r>
      <w:r>
        <w:instrText>europa</w:instrText>
      </w:r>
      <w:r w:rsidRPr="007A6A47">
        <w:rPr>
          <w:lang w:val="el-GR"/>
        </w:rPr>
        <w:instrText>.</w:instrText>
      </w:r>
      <w:r>
        <w:instrText>eu</w:instrText>
      </w:r>
      <w:r w:rsidRPr="007A6A47">
        <w:rPr>
          <w:lang w:val="el-GR"/>
        </w:rPr>
        <w:instrText>/</w:instrText>
      </w:r>
      <w:r>
        <w:instrText>eli</w:instrText>
      </w:r>
      <w:r w:rsidRPr="007A6A47">
        <w:rPr>
          <w:lang w:val="el-GR"/>
        </w:rPr>
        <w:instrText>/</w:instrText>
      </w:r>
      <w:r>
        <w:instrText>C</w:instrText>
      </w:r>
      <w:r w:rsidRPr="007A6A47">
        <w:rPr>
          <w:lang w:val="el-GR"/>
        </w:rPr>
        <w:instrText>/2025/3466/</w:instrText>
      </w:r>
      <w:r>
        <w:instrText>oj</w:instrText>
      </w:r>
      <w:r w:rsidRPr="007A6A47">
        <w:rPr>
          <w:lang w:val="el-GR"/>
        </w:rPr>
        <w:instrText>" \</w:instrText>
      </w:r>
      <w:r>
        <w:instrText>t</w:instrText>
      </w:r>
      <w:r w:rsidRPr="007A6A47">
        <w:rPr>
          <w:lang w:val="el-GR"/>
        </w:rPr>
        <w:instrText xml:space="preserve"> "_</w:instrText>
      </w:r>
      <w:r>
        <w:instrText>blank</w:instrText>
      </w:r>
      <w:r w:rsidRPr="007A6A47">
        <w:rPr>
          <w:lang w:val="el-GR"/>
        </w:rPr>
        <w:instrText>" \</w:instrText>
      </w:r>
      <w:r>
        <w:instrText>o</w:instrText>
      </w:r>
      <w:r w:rsidRPr="007A6A47">
        <w:rPr>
          <w:lang w:val="el-GR"/>
        </w:rPr>
        <w:instrText xml:space="preserve"> "Πρόσβαση στο έγγραφο μέσω </w:instrText>
      </w:r>
      <w:r>
        <w:instrText>URI</w:instrText>
      </w:r>
      <w:r w:rsidRPr="007A6A47">
        <w:rPr>
          <w:lang w:val="el-GR"/>
        </w:rPr>
        <w:instrText xml:space="preserve"> τύπου </w:instrText>
      </w:r>
      <w:r>
        <w:instrText>ELI</w:instrText>
      </w:r>
      <w:r w:rsidRPr="007A6A47">
        <w:rPr>
          <w:lang w:val="el-GR"/>
        </w:rPr>
        <w:instrText>."</w:instrText>
      </w:r>
      <w:r>
        <w:fldChar w:fldCharType="separate"/>
      </w:r>
      <w:r w:rsidRPr="00804D81">
        <w:rPr>
          <w:rStyle w:val="Hyperlink"/>
          <w:sz w:val="24"/>
          <w:szCs w:val="24"/>
          <w:lang w:val="el-GR"/>
        </w:rPr>
        <w:t>http://data.europa.eu/eli/C/2025/3466/oj</w:t>
      </w:r>
      <w:r>
        <w:fldChar w:fldCharType="end"/>
      </w:r>
      <w:r w:rsidRPr="00804D81">
        <w:rPr>
          <w:sz w:val="24"/>
          <w:szCs w:val="24"/>
          <w:lang w:val="el-GR"/>
        </w:rPr>
        <w:t xml:space="preserve">. </w:t>
      </w:r>
    </w:p>
  </w:footnote>
  <w:footnote w:id="11">
    <w:p w14:paraId="70D19FA6" w14:textId="092A0977" w:rsidR="006B2AF2" w:rsidRPr="00804D81" w:rsidRDefault="006B2AF2" w:rsidP="004845EF">
      <w:pPr>
        <w:pStyle w:val="FootnoteText"/>
        <w:spacing w:line="240" w:lineRule="auto"/>
        <w:ind w:left="567" w:hanging="567"/>
        <w:rPr>
          <w:sz w:val="24"/>
          <w:szCs w:val="24"/>
          <w:lang w:val="el-GR"/>
        </w:rPr>
      </w:pPr>
      <w:r w:rsidRPr="00804D81">
        <w:rPr>
          <w:rStyle w:val="FootnoteReference"/>
          <w:sz w:val="24"/>
          <w:szCs w:val="24"/>
          <w:lang w:val="el-GR"/>
        </w:rPr>
        <w:footnoteRef/>
      </w:r>
      <w:r w:rsidR="00AF42E6" w:rsidRPr="00804D81">
        <w:rPr>
          <w:sz w:val="24"/>
          <w:szCs w:val="24"/>
          <w:lang w:val="el-GR"/>
        </w:rPr>
        <w:t xml:space="preserve"> </w:t>
      </w:r>
      <w:r w:rsidR="00AF42E6" w:rsidRPr="00804D81">
        <w:rPr>
          <w:sz w:val="24"/>
          <w:szCs w:val="24"/>
          <w:lang w:val="el-GR"/>
        </w:rPr>
        <w:tab/>
      </w:r>
      <w:r w:rsidRPr="00804D81">
        <w:rPr>
          <w:sz w:val="24"/>
          <w:szCs w:val="24"/>
          <w:lang w:val="el-GR"/>
        </w:rPr>
        <w:t>ΕΕ L 102 της 17.4.2023, σ. 6, ELI: </w:t>
      </w:r>
      <w:r>
        <w:fldChar w:fldCharType="begin"/>
      </w:r>
      <w:r>
        <w:instrText>HYPERLINK</w:instrText>
      </w:r>
      <w:r w:rsidRPr="007A6A47">
        <w:rPr>
          <w:lang w:val="el-GR"/>
        </w:rPr>
        <w:instrText xml:space="preserve"> "</w:instrText>
      </w:r>
      <w:r>
        <w:instrText>http</w:instrText>
      </w:r>
      <w:r w:rsidRPr="007A6A47">
        <w:rPr>
          <w:lang w:val="el-GR"/>
        </w:rPr>
        <w:instrText>://</w:instrText>
      </w:r>
      <w:r>
        <w:instrText>data</w:instrText>
      </w:r>
      <w:r w:rsidRPr="007A6A47">
        <w:rPr>
          <w:lang w:val="el-GR"/>
        </w:rPr>
        <w:instrText>.</w:instrText>
      </w:r>
      <w:r>
        <w:instrText>europa</w:instrText>
      </w:r>
      <w:r w:rsidRPr="007A6A47">
        <w:rPr>
          <w:lang w:val="el-GR"/>
        </w:rPr>
        <w:instrText>.</w:instrText>
      </w:r>
      <w:r>
        <w:instrText>eu</w:instrText>
      </w:r>
      <w:r w:rsidRPr="007A6A47">
        <w:rPr>
          <w:lang w:val="el-GR"/>
        </w:rPr>
        <w:instrText>/</w:instrText>
      </w:r>
      <w:r>
        <w:instrText>eli</w:instrText>
      </w:r>
      <w:r w:rsidRPr="007A6A47">
        <w:rPr>
          <w:lang w:val="el-GR"/>
        </w:rPr>
        <w:instrText>/</w:instrText>
      </w:r>
      <w:r>
        <w:instrText>reg</w:instrText>
      </w:r>
      <w:r w:rsidRPr="007A6A47">
        <w:rPr>
          <w:lang w:val="el-GR"/>
        </w:rPr>
        <w:instrText>_</w:instrText>
      </w:r>
      <w:r>
        <w:instrText>impl</w:instrText>
      </w:r>
      <w:r w:rsidRPr="007A6A47">
        <w:rPr>
          <w:lang w:val="el-GR"/>
        </w:rPr>
        <w:instrText>/2023/814/</w:instrText>
      </w:r>
      <w:r>
        <w:instrText>oj</w:instrText>
      </w:r>
      <w:r w:rsidRPr="007A6A47">
        <w:rPr>
          <w:lang w:val="el-GR"/>
        </w:rPr>
        <w:instrText>" \</w:instrText>
      </w:r>
      <w:r>
        <w:instrText>o</w:instrText>
      </w:r>
      <w:r w:rsidRPr="007A6A47">
        <w:rPr>
          <w:lang w:val="el-GR"/>
        </w:rPr>
        <w:instrText xml:space="preserve"> "Πρόσβαση στο έγγραφο μέσω </w:instrText>
      </w:r>
      <w:r>
        <w:instrText>URI</w:instrText>
      </w:r>
      <w:r w:rsidRPr="007A6A47">
        <w:rPr>
          <w:lang w:val="el-GR"/>
        </w:rPr>
        <w:instrText xml:space="preserve"> τύπου </w:instrText>
      </w:r>
      <w:r>
        <w:instrText>ELI</w:instrText>
      </w:r>
      <w:r w:rsidRPr="007A6A47">
        <w:rPr>
          <w:lang w:val="el-GR"/>
        </w:rPr>
        <w:instrText>."</w:instrText>
      </w:r>
      <w:r>
        <w:fldChar w:fldCharType="separate"/>
      </w:r>
      <w:r w:rsidRPr="00804D81">
        <w:rPr>
          <w:rStyle w:val="Hyperlink"/>
          <w:sz w:val="24"/>
          <w:szCs w:val="24"/>
          <w:lang w:val="el-GR"/>
        </w:rPr>
        <w:t>http://data.europa.eu/eli/reg_impl/2023/814/oj</w:t>
      </w:r>
      <w:r>
        <w:fldChar w:fldCharType="end"/>
      </w:r>
      <w:r w:rsidRPr="00804D81">
        <w:rPr>
          <w:sz w:val="24"/>
          <w:szCs w:val="24"/>
          <w:lang w:val="el-GR"/>
        </w:rPr>
        <w:t xml:space="preserve">. </w:t>
      </w:r>
    </w:p>
  </w:footnote>
  <w:footnote w:id="12">
    <w:p w14:paraId="34E69A97" w14:textId="6F2C6963" w:rsidR="006B2AF2" w:rsidRPr="00804D81" w:rsidRDefault="006B2AF2" w:rsidP="004845EF">
      <w:pPr>
        <w:pStyle w:val="FootnoteText"/>
        <w:spacing w:line="240" w:lineRule="auto"/>
        <w:ind w:left="567" w:hanging="567"/>
        <w:rPr>
          <w:sz w:val="24"/>
          <w:szCs w:val="24"/>
          <w:lang w:val="el-GR"/>
        </w:rPr>
      </w:pPr>
      <w:r w:rsidRPr="00804D81">
        <w:rPr>
          <w:rStyle w:val="FootnoteReference"/>
          <w:sz w:val="24"/>
          <w:szCs w:val="24"/>
          <w:lang w:val="el-GR"/>
        </w:rPr>
        <w:footnoteRef/>
      </w:r>
      <w:r w:rsidR="00AF42E6" w:rsidRPr="00804D81">
        <w:rPr>
          <w:sz w:val="24"/>
          <w:szCs w:val="24"/>
          <w:lang w:val="el-GR"/>
        </w:rPr>
        <w:t xml:space="preserve"> </w:t>
      </w:r>
      <w:r w:rsidR="00AF42E6" w:rsidRPr="00804D81">
        <w:rPr>
          <w:sz w:val="24"/>
          <w:szCs w:val="24"/>
          <w:lang w:val="el-GR"/>
        </w:rPr>
        <w:tab/>
      </w:r>
      <w:r w:rsidRPr="00804D81">
        <w:rPr>
          <w:sz w:val="24"/>
          <w:szCs w:val="24"/>
          <w:lang w:val="el-GR"/>
        </w:rPr>
        <w:t xml:space="preserve">Κανονισμός (ΕΕ) 2023/2854 του Ευρωπαϊκού Κοινοβουλίου και του Συμβουλίου, της 13ης Δεκεμβρίου 2023, για εναρμονισμένους κανόνες σχετικά με τη δίκαιη πρόσβαση σε δεδομένα και τη δίκαιη χρήση τους και για την τροποποίηση του κανονισμού (ΕΕ) 2017/2394 και της οδηγίας (ΕΕ) 2020/1828 (κανονισμός για τα δεδομένα) (ΕΕ L, 2023/2854, 22.12.2023, ELI: </w:t>
      </w:r>
      <w:r>
        <w:fldChar w:fldCharType="begin"/>
      </w:r>
      <w:r>
        <w:instrText>HYPERLINK</w:instrText>
      </w:r>
      <w:r w:rsidRPr="007A6A47">
        <w:rPr>
          <w:lang w:val="el-GR"/>
        </w:rPr>
        <w:instrText xml:space="preserve"> "</w:instrText>
      </w:r>
      <w:r>
        <w:instrText>http</w:instrText>
      </w:r>
      <w:r w:rsidRPr="007A6A47">
        <w:rPr>
          <w:lang w:val="el-GR"/>
        </w:rPr>
        <w:instrText>://</w:instrText>
      </w:r>
      <w:r>
        <w:instrText>data</w:instrText>
      </w:r>
      <w:r w:rsidRPr="007A6A47">
        <w:rPr>
          <w:lang w:val="el-GR"/>
        </w:rPr>
        <w:instrText>.</w:instrText>
      </w:r>
      <w:r>
        <w:instrText>europa</w:instrText>
      </w:r>
      <w:r w:rsidRPr="007A6A47">
        <w:rPr>
          <w:lang w:val="el-GR"/>
        </w:rPr>
        <w:instrText>.</w:instrText>
      </w:r>
      <w:r>
        <w:instrText>eu</w:instrText>
      </w:r>
      <w:r w:rsidRPr="007A6A47">
        <w:rPr>
          <w:lang w:val="el-GR"/>
        </w:rPr>
        <w:instrText>/</w:instrText>
      </w:r>
      <w:r>
        <w:instrText>eli</w:instrText>
      </w:r>
      <w:r w:rsidRPr="007A6A47">
        <w:rPr>
          <w:lang w:val="el-GR"/>
        </w:rPr>
        <w:instrText>/</w:instrText>
      </w:r>
      <w:r>
        <w:instrText>reg</w:instrText>
      </w:r>
      <w:r w:rsidRPr="007A6A47">
        <w:rPr>
          <w:lang w:val="el-GR"/>
        </w:rPr>
        <w:instrText>/2023/2854/</w:instrText>
      </w:r>
      <w:r>
        <w:instrText>oj</w:instrText>
      </w:r>
      <w:r w:rsidRPr="007A6A47">
        <w:rPr>
          <w:lang w:val="el-GR"/>
        </w:rPr>
        <w:instrText>"</w:instrText>
      </w:r>
      <w:r>
        <w:fldChar w:fldCharType="separate"/>
      </w:r>
      <w:r w:rsidRPr="00804D81">
        <w:rPr>
          <w:rStyle w:val="Hyperlink"/>
          <w:sz w:val="24"/>
          <w:szCs w:val="24"/>
          <w:lang w:val="el-GR"/>
        </w:rPr>
        <w:t>http://data.europa.eu/eli/reg/2023/2854/oj</w:t>
      </w:r>
      <w:r>
        <w:fldChar w:fldCharType="end"/>
      </w:r>
      <w:r w:rsidRPr="00804D81">
        <w:rPr>
          <w:sz w:val="24"/>
          <w:szCs w:val="24"/>
          <w:lang w:val="el-GR"/>
        </w:rPr>
        <w:t>).</w:t>
      </w:r>
    </w:p>
  </w:footnote>
  <w:footnote w:id="13">
    <w:p w14:paraId="0DC5734B" w14:textId="011529D6" w:rsidR="006B2AF2" w:rsidRPr="00804D81" w:rsidRDefault="006B2AF2" w:rsidP="004845EF">
      <w:pPr>
        <w:pStyle w:val="FootnoteText"/>
        <w:spacing w:line="240" w:lineRule="auto"/>
        <w:ind w:left="567" w:hanging="567"/>
        <w:rPr>
          <w:sz w:val="24"/>
          <w:szCs w:val="24"/>
          <w:lang w:val="el-GR"/>
        </w:rPr>
      </w:pPr>
      <w:r w:rsidRPr="00804D81">
        <w:rPr>
          <w:rStyle w:val="FootnoteReference"/>
          <w:sz w:val="24"/>
          <w:szCs w:val="24"/>
          <w:lang w:val="el-GR"/>
        </w:rPr>
        <w:footnoteRef/>
      </w:r>
      <w:r w:rsidR="00AF42E6" w:rsidRPr="00804D81">
        <w:rPr>
          <w:sz w:val="24"/>
          <w:szCs w:val="24"/>
          <w:lang w:val="el-GR"/>
        </w:rPr>
        <w:t xml:space="preserve"> </w:t>
      </w:r>
      <w:r w:rsidR="00AF42E6" w:rsidRPr="00804D81">
        <w:rPr>
          <w:sz w:val="24"/>
          <w:szCs w:val="24"/>
          <w:lang w:val="el-GR"/>
        </w:rPr>
        <w:tab/>
      </w:r>
      <w:r w:rsidRPr="00804D81">
        <w:rPr>
          <w:sz w:val="24"/>
          <w:szCs w:val="24"/>
          <w:lang w:val="el-GR"/>
        </w:rPr>
        <w:t xml:space="preserve">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 (ΕΕ L, 2024/1689, 12.7.2024, ELI: </w:t>
      </w:r>
      <w:r>
        <w:fldChar w:fldCharType="begin"/>
      </w:r>
      <w:r>
        <w:instrText>HYPERLINK</w:instrText>
      </w:r>
      <w:r w:rsidRPr="007A6A47">
        <w:rPr>
          <w:lang w:val="el-GR"/>
        </w:rPr>
        <w:instrText xml:space="preserve"> "</w:instrText>
      </w:r>
      <w:r>
        <w:instrText>http</w:instrText>
      </w:r>
      <w:r w:rsidRPr="007A6A47">
        <w:rPr>
          <w:lang w:val="el-GR"/>
        </w:rPr>
        <w:instrText>://</w:instrText>
      </w:r>
      <w:r>
        <w:instrText>data</w:instrText>
      </w:r>
      <w:r w:rsidRPr="007A6A47">
        <w:rPr>
          <w:lang w:val="el-GR"/>
        </w:rPr>
        <w:instrText>.</w:instrText>
      </w:r>
      <w:r>
        <w:instrText>europa</w:instrText>
      </w:r>
      <w:r w:rsidRPr="007A6A47">
        <w:rPr>
          <w:lang w:val="el-GR"/>
        </w:rPr>
        <w:instrText>.</w:instrText>
      </w:r>
      <w:r>
        <w:instrText>eu</w:instrText>
      </w:r>
      <w:r w:rsidRPr="007A6A47">
        <w:rPr>
          <w:lang w:val="el-GR"/>
        </w:rPr>
        <w:instrText>/</w:instrText>
      </w:r>
      <w:r>
        <w:instrText>eli</w:instrText>
      </w:r>
      <w:r w:rsidRPr="007A6A47">
        <w:rPr>
          <w:lang w:val="el-GR"/>
        </w:rPr>
        <w:instrText>/</w:instrText>
      </w:r>
      <w:r>
        <w:instrText>reg</w:instrText>
      </w:r>
      <w:r w:rsidRPr="007A6A47">
        <w:rPr>
          <w:lang w:val="el-GR"/>
        </w:rPr>
        <w:instrText>/2024/1689/</w:instrText>
      </w:r>
      <w:r>
        <w:instrText>oj</w:instrText>
      </w:r>
      <w:r w:rsidRPr="007A6A47">
        <w:rPr>
          <w:lang w:val="el-GR"/>
        </w:rPr>
        <w:instrText>"</w:instrText>
      </w:r>
      <w:r>
        <w:fldChar w:fldCharType="separate"/>
      </w:r>
      <w:r w:rsidRPr="00804D81">
        <w:rPr>
          <w:rStyle w:val="Hyperlink"/>
          <w:sz w:val="24"/>
          <w:szCs w:val="24"/>
          <w:lang w:val="el-GR"/>
        </w:rPr>
        <w:t>http://data.europa.eu/eli/reg/2024/1689/oj</w:t>
      </w:r>
      <w:r>
        <w:fldChar w:fldCharType="end"/>
      </w:r>
      <w:r w:rsidRPr="00804D81">
        <w:rPr>
          <w:sz w:val="24"/>
          <w:szCs w:val="24"/>
          <w:lang w:val="el-GR"/>
        </w:rPr>
        <w:t>).</w:t>
      </w:r>
    </w:p>
  </w:footnote>
  <w:footnote w:id="14">
    <w:p w14:paraId="1D11EB88" w14:textId="3334B73E" w:rsidR="00804D81" w:rsidRPr="009B7FA2" w:rsidRDefault="00804D81" w:rsidP="004845EF">
      <w:pPr>
        <w:pStyle w:val="FootnoteText"/>
        <w:spacing w:line="240" w:lineRule="auto"/>
        <w:ind w:left="567" w:hanging="567"/>
        <w:rPr>
          <w:sz w:val="24"/>
          <w:szCs w:val="24"/>
          <w:lang w:val="el-GR"/>
        </w:rPr>
      </w:pPr>
      <w:r w:rsidRPr="009B7FA2">
        <w:rPr>
          <w:rStyle w:val="FootnoteReference"/>
          <w:sz w:val="24"/>
          <w:szCs w:val="24"/>
        </w:rPr>
        <w:footnoteRef/>
      </w:r>
      <w:r w:rsidRPr="009B7FA2">
        <w:rPr>
          <w:sz w:val="24"/>
          <w:szCs w:val="24"/>
          <w:lang w:val="el-GR"/>
        </w:rPr>
        <w:t xml:space="preserve"> </w:t>
      </w:r>
      <w:r w:rsidRPr="009B7FA2">
        <w:rPr>
          <w:sz w:val="24"/>
          <w:szCs w:val="24"/>
          <w:lang w:val="el-GR"/>
        </w:rPr>
        <w:tab/>
        <w:t xml:space="preserve">Κανονισμός (ΕΕ) 2022/2560 του Ευρωπαϊκού Κοινοβουλίου και του Συμβουλίου, της 14ης Δεκεμβρίου 2022, για τις ξένες επιδοτήσεις που στρεβλώνουν την εσωτερική αγορά (ΕΕ </w:t>
      </w:r>
      <w:r w:rsidRPr="009B7FA2">
        <w:rPr>
          <w:sz w:val="24"/>
          <w:szCs w:val="24"/>
        </w:rPr>
        <w:t>L</w:t>
      </w:r>
      <w:r w:rsidRPr="009B7FA2">
        <w:rPr>
          <w:sz w:val="24"/>
          <w:szCs w:val="24"/>
          <w:lang w:val="el-GR"/>
        </w:rPr>
        <w:t xml:space="preserve"> 330 της 23.12.2022, σ. 1, </w:t>
      </w:r>
      <w:r w:rsidRPr="009B7FA2">
        <w:rPr>
          <w:sz w:val="24"/>
          <w:szCs w:val="24"/>
        </w:rPr>
        <w:t>ELI</w:t>
      </w:r>
      <w:r w:rsidRPr="009B7FA2">
        <w:rPr>
          <w:sz w:val="24"/>
          <w:szCs w:val="24"/>
          <w:lang w:val="el-GR"/>
        </w:rPr>
        <w:t xml:space="preserve">: </w:t>
      </w:r>
      <w:r>
        <w:fldChar w:fldCharType="begin"/>
      </w:r>
      <w:r>
        <w:instrText>HYPERLINK</w:instrText>
      </w:r>
      <w:r w:rsidRPr="007A6A47">
        <w:rPr>
          <w:lang w:val="el-GR"/>
        </w:rPr>
        <w:instrText xml:space="preserve"> "</w:instrText>
      </w:r>
      <w:r>
        <w:instrText>http</w:instrText>
      </w:r>
      <w:r w:rsidRPr="007A6A47">
        <w:rPr>
          <w:lang w:val="el-GR"/>
        </w:rPr>
        <w:instrText>://</w:instrText>
      </w:r>
      <w:r>
        <w:instrText>data</w:instrText>
      </w:r>
      <w:r w:rsidRPr="007A6A47">
        <w:rPr>
          <w:lang w:val="el-GR"/>
        </w:rPr>
        <w:instrText>.</w:instrText>
      </w:r>
      <w:r>
        <w:instrText>europa</w:instrText>
      </w:r>
      <w:r w:rsidRPr="007A6A47">
        <w:rPr>
          <w:lang w:val="el-GR"/>
        </w:rPr>
        <w:instrText>.</w:instrText>
      </w:r>
      <w:r>
        <w:instrText>eu</w:instrText>
      </w:r>
      <w:r w:rsidRPr="007A6A47">
        <w:rPr>
          <w:lang w:val="el-GR"/>
        </w:rPr>
        <w:instrText>/</w:instrText>
      </w:r>
      <w:r>
        <w:instrText>eli</w:instrText>
      </w:r>
      <w:r w:rsidRPr="007A6A47">
        <w:rPr>
          <w:lang w:val="el-GR"/>
        </w:rPr>
        <w:instrText>/</w:instrText>
      </w:r>
      <w:r>
        <w:instrText>reg</w:instrText>
      </w:r>
      <w:r w:rsidRPr="007A6A47">
        <w:rPr>
          <w:lang w:val="el-GR"/>
        </w:rPr>
        <w:instrText>/2022/2560/</w:instrText>
      </w:r>
      <w:r>
        <w:instrText>oj</w:instrText>
      </w:r>
      <w:r w:rsidRPr="007A6A47">
        <w:rPr>
          <w:lang w:val="el-GR"/>
        </w:rPr>
        <w:instrText>"</w:instrText>
      </w:r>
      <w:r>
        <w:fldChar w:fldCharType="separate"/>
      </w:r>
      <w:r w:rsidRPr="009B7FA2">
        <w:rPr>
          <w:rStyle w:val="Hyperlink"/>
          <w:sz w:val="24"/>
          <w:szCs w:val="24"/>
        </w:rPr>
        <w:t>http</w:t>
      </w:r>
      <w:r w:rsidRPr="009B7FA2">
        <w:rPr>
          <w:rStyle w:val="Hyperlink"/>
          <w:sz w:val="24"/>
          <w:szCs w:val="24"/>
          <w:lang w:val="el-GR"/>
        </w:rPr>
        <w:t>://</w:t>
      </w:r>
      <w:r w:rsidRPr="009B7FA2">
        <w:rPr>
          <w:rStyle w:val="Hyperlink"/>
          <w:sz w:val="24"/>
          <w:szCs w:val="24"/>
        </w:rPr>
        <w:t>data</w:t>
      </w:r>
      <w:r w:rsidRPr="009B7FA2">
        <w:rPr>
          <w:rStyle w:val="Hyperlink"/>
          <w:sz w:val="24"/>
          <w:szCs w:val="24"/>
          <w:lang w:val="el-GR"/>
        </w:rPr>
        <w:t>.</w:t>
      </w:r>
      <w:proofErr w:type="spellStart"/>
      <w:r w:rsidRPr="009B7FA2">
        <w:rPr>
          <w:rStyle w:val="Hyperlink"/>
          <w:sz w:val="24"/>
          <w:szCs w:val="24"/>
        </w:rPr>
        <w:t>europa</w:t>
      </w:r>
      <w:proofErr w:type="spellEnd"/>
      <w:r w:rsidRPr="009B7FA2">
        <w:rPr>
          <w:rStyle w:val="Hyperlink"/>
          <w:sz w:val="24"/>
          <w:szCs w:val="24"/>
          <w:lang w:val="el-GR"/>
        </w:rPr>
        <w:t>.</w:t>
      </w:r>
      <w:r w:rsidRPr="009B7FA2">
        <w:rPr>
          <w:rStyle w:val="Hyperlink"/>
          <w:sz w:val="24"/>
          <w:szCs w:val="24"/>
        </w:rPr>
        <w:t>eu</w:t>
      </w:r>
      <w:r w:rsidRPr="009B7FA2">
        <w:rPr>
          <w:rStyle w:val="Hyperlink"/>
          <w:sz w:val="24"/>
          <w:szCs w:val="24"/>
          <w:lang w:val="el-GR"/>
        </w:rPr>
        <w:t>/</w:t>
      </w:r>
      <w:proofErr w:type="spellStart"/>
      <w:r w:rsidRPr="009B7FA2">
        <w:rPr>
          <w:rStyle w:val="Hyperlink"/>
          <w:sz w:val="24"/>
          <w:szCs w:val="24"/>
        </w:rPr>
        <w:t>eli</w:t>
      </w:r>
      <w:proofErr w:type="spellEnd"/>
      <w:r w:rsidRPr="009B7FA2">
        <w:rPr>
          <w:rStyle w:val="Hyperlink"/>
          <w:sz w:val="24"/>
          <w:szCs w:val="24"/>
          <w:lang w:val="el-GR"/>
        </w:rPr>
        <w:t>/</w:t>
      </w:r>
      <w:r w:rsidRPr="009B7FA2">
        <w:rPr>
          <w:rStyle w:val="Hyperlink"/>
          <w:sz w:val="24"/>
          <w:szCs w:val="24"/>
        </w:rPr>
        <w:t>reg</w:t>
      </w:r>
      <w:r w:rsidRPr="009B7FA2">
        <w:rPr>
          <w:rStyle w:val="Hyperlink"/>
          <w:sz w:val="24"/>
          <w:szCs w:val="24"/>
          <w:lang w:val="el-GR"/>
        </w:rPr>
        <w:t>/2022/2560/</w:t>
      </w:r>
      <w:proofErr w:type="spellStart"/>
      <w:r w:rsidRPr="009B7FA2">
        <w:rPr>
          <w:rStyle w:val="Hyperlink"/>
          <w:sz w:val="24"/>
          <w:szCs w:val="24"/>
        </w:rPr>
        <w:t>oj</w:t>
      </w:r>
      <w:proofErr w:type="spellEnd"/>
      <w:r>
        <w:fldChar w:fldCharType="end"/>
      </w:r>
      <w:r w:rsidRPr="009B7FA2">
        <w:rPr>
          <w:sz w:val="24"/>
          <w:szCs w:val="24"/>
          <w:lang w:val="el-GR"/>
        </w:rPr>
        <w:t>).</w:t>
      </w:r>
    </w:p>
  </w:footnote>
  <w:footnote w:id="15">
    <w:p w14:paraId="62E813CA" w14:textId="25B2826A" w:rsidR="00804D81" w:rsidRPr="009B7FA2" w:rsidRDefault="00804D81" w:rsidP="004845EF">
      <w:pPr>
        <w:pStyle w:val="FootnoteText"/>
        <w:spacing w:line="240" w:lineRule="auto"/>
        <w:ind w:left="567" w:hanging="567"/>
        <w:rPr>
          <w:sz w:val="24"/>
          <w:szCs w:val="24"/>
          <w:lang w:val="el-GR"/>
        </w:rPr>
      </w:pPr>
      <w:r w:rsidRPr="009B7FA2">
        <w:rPr>
          <w:rStyle w:val="FootnoteReference"/>
          <w:sz w:val="24"/>
          <w:szCs w:val="24"/>
        </w:rPr>
        <w:footnoteRef/>
      </w:r>
      <w:r w:rsidRPr="009B7FA2">
        <w:rPr>
          <w:sz w:val="24"/>
          <w:szCs w:val="24"/>
          <w:lang w:val="el-GR"/>
        </w:rPr>
        <w:t xml:space="preserve"> </w:t>
      </w:r>
      <w:r w:rsidRPr="009B7FA2">
        <w:rPr>
          <w:sz w:val="24"/>
          <w:szCs w:val="24"/>
          <w:lang w:val="el-GR"/>
        </w:rPr>
        <w:tab/>
        <w:t>Κανονισμός (ΕΕ) 2019/452 του Ευρωπαϊκού Κοινοβουλίου και του Συμβουλίου, της 19ης Μαρτίου 2019, για τη θέσπιση πλαισίου για τον έλεγχο των άμεσων ξένων επενδύσεων στην Ένωση (ΕΕ L 79</w:t>
      </w:r>
      <w:r w:rsidR="009B7FA2" w:rsidRPr="009B7FA2">
        <w:rPr>
          <w:sz w:val="24"/>
          <w:szCs w:val="24"/>
          <w:lang w:val="el-GR"/>
        </w:rPr>
        <w:t xml:space="preserve"> </w:t>
      </w:r>
      <w:r w:rsidRPr="009B7FA2">
        <w:rPr>
          <w:sz w:val="24"/>
          <w:szCs w:val="24"/>
          <w:lang w:val="el-GR"/>
        </w:rPr>
        <w:t>I της 21.3.2019, σ. 1</w:t>
      </w:r>
      <w:r w:rsidR="009B7FA2" w:rsidRPr="009B7FA2">
        <w:rPr>
          <w:sz w:val="24"/>
          <w:szCs w:val="24"/>
          <w:lang w:val="el-GR"/>
        </w:rPr>
        <w:t>,</w:t>
      </w:r>
      <w:r w:rsidRPr="009B7FA2">
        <w:rPr>
          <w:sz w:val="24"/>
          <w:szCs w:val="24"/>
          <w:lang w:val="el-GR"/>
        </w:rPr>
        <w:t xml:space="preserve"> ELI: </w:t>
      </w:r>
      <w:r>
        <w:fldChar w:fldCharType="begin"/>
      </w:r>
      <w:r>
        <w:instrText>HYPERLINK</w:instrText>
      </w:r>
      <w:r w:rsidRPr="007A6A47">
        <w:rPr>
          <w:lang w:val="el-GR"/>
        </w:rPr>
        <w:instrText xml:space="preserve"> "</w:instrText>
      </w:r>
      <w:r>
        <w:instrText>http</w:instrText>
      </w:r>
      <w:r w:rsidRPr="007A6A47">
        <w:rPr>
          <w:lang w:val="el-GR"/>
        </w:rPr>
        <w:instrText>://</w:instrText>
      </w:r>
      <w:r>
        <w:instrText>data</w:instrText>
      </w:r>
      <w:r w:rsidRPr="007A6A47">
        <w:rPr>
          <w:lang w:val="el-GR"/>
        </w:rPr>
        <w:instrText>.</w:instrText>
      </w:r>
      <w:r>
        <w:instrText>europa</w:instrText>
      </w:r>
      <w:r w:rsidRPr="007A6A47">
        <w:rPr>
          <w:lang w:val="el-GR"/>
        </w:rPr>
        <w:instrText>.</w:instrText>
      </w:r>
      <w:r>
        <w:instrText>eu</w:instrText>
      </w:r>
      <w:r w:rsidRPr="007A6A47">
        <w:rPr>
          <w:lang w:val="el-GR"/>
        </w:rPr>
        <w:instrText>/</w:instrText>
      </w:r>
      <w:r>
        <w:instrText>eli</w:instrText>
      </w:r>
      <w:r w:rsidRPr="007A6A47">
        <w:rPr>
          <w:lang w:val="el-GR"/>
        </w:rPr>
        <w:instrText>/</w:instrText>
      </w:r>
      <w:r>
        <w:instrText>reg</w:instrText>
      </w:r>
      <w:r w:rsidRPr="007A6A47">
        <w:rPr>
          <w:lang w:val="el-GR"/>
        </w:rPr>
        <w:instrText>/2019/452/</w:instrText>
      </w:r>
      <w:r>
        <w:instrText>oj</w:instrText>
      </w:r>
      <w:r w:rsidRPr="007A6A47">
        <w:rPr>
          <w:lang w:val="el-GR"/>
        </w:rPr>
        <w:instrText>"</w:instrText>
      </w:r>
      <w:r>
        <w:fldChar w:fldCharType="separate"/>
      </w:r>
      <w:r w:rsidRPr="009B7FA2">
        <w:rPr>
          <w:rStyle w:val="Hyperlink"/>
          <w:sz w:val="24"/>
          <w:szCs w:val="24"/>
        </w:rPr>
        <w:t>http</w:t>
      </w:r>
      <w:r w:rsidRPr="009B7FA2">
        <w:rPr>
          <w:rStyle w:val="Hyperlink"/>
          <w:sz w:val="24"/>
          <w:szCs w:val="24"/>
          <w:lang w:val="el-GR"/>
        </w:rPr>
        <w:t>://</w:t>
      </w:r>
      <w:r w:rsidRPr="009B7FA2">
        <w:rPr>
          <w:rStyle w:val="Hyperlink"/>
          <w:sz w:val="24"/>
          <w:szCs w:val="24"/>
        </w:rPr>
        <w:t>data</w:t>
      </w:r>
      <w:r w:rsidRPr="009B7FA2">
        <w:rPr>
          <w:rStyle w:val="Hyperlink"/>
          <w:sz w:val="24"/>
          <w:szCs w:val="24"/>
          <w:lang w:val="el-GR"/>
        </w:rPr>
        <w:t>.</w:t>
      </w:r>
      <w:proofErr w:type="spellStart"/>
      <w:r w:rsidRPr="009B7FA2">
        <w:rPr>
          <w:rStyle w:val="Hyperlink"/>
          <w:sz w:val="24"/>
          <w:szCs w:val="24"/>
        </w:rPr>
        <w:t>europa</w:t>
      </w:r>
      <w:proofErr w:type="spellEnd"/>
      <w:r w:rsidRPr="009B7FA2">
        <w:rPr>
          <w:rStyle w:val="Hyperlink"/>
          <w:sz w:val="24"/>
          <w:szCs w:val="24"/>
          <w:lang w:val="el-GR"/>
        </w:rPr>
        <w:t>.</w:t>
      </w:r>
      <w:r w:rsidRPr="009B7FA2">
        <w:rPr>
          <w:rStyle w:val="Hyperlink"/>
          <w:sz w:val="24"/>
          <w:szCs w:val="24"/>
        </w:rPr>
        <w:t>eu</w:t>
      </w:r>
      <w:r w:rsidRPr="009B7FA2">
        <w:rPr>
          <w:rStyle w:val="Hyperlink"/>
          <w:sz w:val="24"/>
          <w:szCs w:val="24"/>
          <w:lang w:val="el-GR"/>
        </w:rPr>
        <w:t>/</w:t>
      </w:r>
      <w:proofErr w:type="spellStart"/>
      <w:r w:rsidRPr="009B7FA2">
        <w:rPr>
          <w:rStyle w:val="Hyperlink"/>
          <w:sz w:val="24"/>
          <w:szCs w:val="24"/>
        </w:rPr>
        <w:t>eli</w:t>
      </w:r>
      <w:proofErr w:type="spellEnd"/>
      <w:r w:rsidRPr="009B7FA2">
        <w:rPr>
          <w:rStyle w:val="Hyperlink"/>
          <w:sz w:val="24"/>
          <w:szCs w:val="24"/>
          <w:lang w:val="el-GR"/>
        </w:rPr>
        <w:t>/</w:t>
      </w:r>
      <w:r w:rsidRPr="009B7FA2">
        <w:rPr>
          <w:rStyle w:val="Hyperlink"/>
          <w:sz w:val="24"/>
          <w:szCs w:val="24"/>
        </w:rPr>
        <w:t>reg</w:t>
      </w:r>
      <w:r w:rsidRPr="009B7FA2">
        <w:rPr>
          <w:rStyle w:val="Hyperlink"/>
          <w:sz w:val="24"/>
          <w:szCs w:val="24"/>
          <w:lang w:val="el-GR"/>
        </w:rPr>
        <w:t>/2019/452/</w:t>
      </w:r>
      <w:proofErr w:type="spellStart"/>
      <w:r w:rsidRPr="009B7FA2">
        <w:rPr>
          <w:rStyle w:val="Hyperlink"/>
          <w:sz w:val="24"/>
          <w:szCs w:val="24"/>
        </w:rPr>
        <w:t>oj</w:t>
      </w:r>
      <w:proofErr w:type="spellEnd"/>
      <w:r>
        <w:fldChar w:fldCharType="end"/>
      </w:r>
      <w:r w:rsidRPr="009B7FA2">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3B74" w14:textId="77777777" w:rsidR="00064002" w:rsidRPr="00AF42E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1A3EB" w14:textId="77777777" w:rsidR="00064002" w:rsidRPr="00AF42E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AEC8C" w14:textId="77777777" w:rsidR="00064002" w:rsidRPr="00AF42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8604D11"/>
    <w:multiLevelType w:val="hybridMultilevel"/>
    <w:tmpl w:val="2C029490"/>
    <w:lvl w:ilvl="0" w:tplc="E2D20CB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7491C3F"/>
    <w:multiLevelType w:val="hybridMultilevel"/>
    <w:tmpl w:val="82A69A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8870898">
    <w:abstractNumId w:val="9"/>
  </w:num>
  <w:num w:numId="2" w16cid:durableId="351610981">
    <w:abstractNumId w:val="9"/>
  </w:num>
  <w:num w:numId="3" w16cid:durableId="14549809">
    <w:abstractNumId w:val="7"/>
  </w:num>
  <w:num w:numId="4" w16cid:durableId="485902245">
    <w:abstractNumId w:val="7"/>
  </w:num>
  <w:num w:numId="5" w16cid:durableId="1296063164">
    <w:abstractNumId w:val="6"/>
  </w:num>
  <w:num w:numId="6" w16cid:durableId="252789447">
    <w:abstractNumId w:val="6"/>
  </w:num>
  <w:num w:numId="7" w16cid:durableId="923413549">
    <w:abstractNumId w:val="5"/>
  </w:num>
  <w:num w:numId="8" w16cid:durableId="506098532">
    <w:abstractNumId w:val="5"/>
  </w:num>
  <w:num w:numId="9" w16cid:durableId="1468626500">
    <w:abstractNumId w:val="4"/>
  </w:num>
  <w:num w:numId="10" w16cid:durableId="806974153">
    <w:abstractNumId w:val="4"/>
  </w:num>
  <w:num w:numId="11" w16cid:durableId="704213646">
    <w:abstractNumId w:val="8"/>
  </w:num>
  <w:num w:numId="12" w16cid:durableId="1703019418">
    <w:abstractNumId w:val="8"/>
  </w:num>
  <w:num w:numId="13" w16cid:durableId="2117483489">
    <w:abstractNumId w:val="3"/>
  </w:num>
  <w:num w:numId="14" w16cid:durableId="1792747434">
    <w:abstractNumId w:val="3"/>
  </w:num>
  <w:num w:numId="15" w16cid:durableId="1405375853">
    <w:abstractNumId w:val="2"/>
  </w:num>
  <w:num w:numId="16" w16cid:durableId="2091659374">
    <w:abstractNumId w:val="2"/>
  </w:num>
  <w:num w:numId="17" w16cid:durableId="1283002458">
    <w:abstractNumId w:val="1"/>
  </w:num>
  <w:num w:numId="18" w16cid:durableId="222452937">
    <w:abstractNumId w:val="1"/>
  </w:num>
  <w:num w:numId="19" w16cid:durableId="2082365997">
    <w:abstractNumId w:val="0"/>
  </w:num>
  <w:num w:numId="20" w16cid:durableId="1906330732">
    <w:abstractNumId w:val="0"/>
  </w:num>
  <w:num w:numId="21" w16cid:durableId="2052800426">
    <w:abstractNumId w:val="9"/>
  </w:num>
  <w:num w:numId="22" w16cid:durableId="1253007624">
    <w:abstractNumId w:val="7"/>
  </w:num>
  <w:num w:numId="23" w16cid:durableId="323945013">
    <w:abstractNumId w:val="6"/>
  </w:num>
  <w:num w:numId="24" w16cid:durableId="961812255">
    <w:abstractNumId w:val="5"/>
  </w:num>
  <w:num w:numId="25" w16cid:durableId="1279098799">
    <w:abstractNumId w:val="4"/>
  </w:num>
  <w:num w:numId="26" w16cid:durableId="1946419629">
    <w:abstractNumId w:val="8"/>
  </w:num>
  <w:num w:numId="27" w16cid:durableId="1440953395">
    <w:abstractNumId w:val="3"/>
  </w:num>
  <w:num w:numId="28" w16cid:durableId="691493867">
    <w:abstractNumId w:val="2"/>
  </w:num>
  <w:num w:numId="29" w16cid:durableId="163590065">
    <w:abstractNumId w:val="1"/>
  </w:num>
  <w:num w:numId="30" w16cid:durableId="660621221">
    <w:abstractNumId w:val="0"/>
  </w:num>
  <w:num w:numId="31" w16cid:durableId="650256605">
    <w:abstractNumId w:val="9"/>
  </w:num>
  <w:num w:numId="32" w16cid:durableId="1365902938">
    <w:abstractNumId w:val="7"/>
  </w:num>
  <w:num w:numId="33" w16cid:durableId="1973053791">
    <w:abstractNumId w:val="6"/>
  </w:num>
  <w:num w:numId="34" w16cid:durableId="1076366095">
    <w:abstractNumId w:val="5"/>
  </w:num>
  <w:num w:numId="35" w16cid:durableId="894926223">
    <w:abstractNumId w:val="4"/>
  </w:num>
  <w:num w:numId="36" w16cid:durableId="133180182">
    <w:abstractNumId w:val="8"/>
  </w:num>
  <w:num w:numId="37" w16cid:durableId="1111166793">
    <w:abstractNumId w:val="3"/>
  </w:num>
  <w:num w:numId="38" w16cid:durableId="696007731">
    <w:abstractNumId w:val="2"/>
  </w:num>
  <w:num w:numId="39" w16cid:durableId="625426039">
    <w:abstractNumId w:val="1"/>
  </w:num>
  <w:num w:numId="40" w16cid:durableId="1272741532">
    <w:abstractNumId w:val="0"/>
  </w:num>
  <w:num w:numId="41" w16cid:durableId="1746760070">
    <w:abstractNumId w:val="10"/>
  </w:num>
  <w:num w:numId="42" w16cid:durableId="617029316">
    <w:abstractNumId w:val="10"/>
  </w:num>
  <w:num w:numId="43" w16cid:durableId="1788042392">
    <w:abstractNumId w:val="10"/>
  </w:num>
  <w:num w:numId="44" w16cid:durableId="1125732355">
    <w:abstractNumId w:val="11"/>
  </w:num>
  <w:num w:numId="45" w16cid:durableId="2073262991">
    <w:abstractNumId w:val="13"/>
  </w:num>
  <w:num w:numId="46" w16cid:durableId="20697168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0/2026"/>
    <w:docVar w:name="dvlangue" w:val="EL"/>
    <w:docVar w:name="dvnumam" w:val="0"/>
    <w:docVar w:name="dvpe" w:val="785.295"/>
    <w:docVar w:name="dvtitre" w:val="Ψήφισμα του Ευρωπαϊκού Κοινοβουλίου της ... 2026 σχετικά με την επιβολή της πράξης για τις ψηφιακές αγορές(2026/2596(RSP))"/>
  </w:docVars>
  <w:rsids>
    <w:rsidRoot w:val="008C4007"/>
    <w:rsid w:val="00002272"/>
    <w:rsid w:val="00043E5F"/>
    <w:rsid w:val="00064002"/>
    <w:rsid w:val="000677B9"/>
    <w:rsid w:val="000831BA"/>
    <w:rsid w:val="000A42CC"/>
    <w:rsid w:val="000E7DD9"/>
    <w:rsid w:val="0010095E"/>
    <w:rsid w:val="00125B37"/>
    <w:rsid w:val="00182E0D"/>
    <w:rsid w:val="00187494"/>
    <w:rsid w:val="001F32AE"/>
    <w:rsid w:val="00227294"/>
    <w:rsid w:val="0023607C"/>
    <w:rsid w:val="002767FF"/>
    <w:rsid w:val="002B18FE"/>
    <w:rsid w:val="002B5493"/>
    <w:rsid w:val="002F0706"/>
    <w:rsid w:val="00343214"/>
    <w:rsid w:val="00361C00"/>
    <w:rsid w:val="00395FA1"/>
    <w:rsid w:val="003E15D4"/>
    <w:rsid w:val="00411CCE"/>
    <w:rsid w:val="0041666E"/>
    <w:rsid w:val="00421060"/>
    <w:rsid w:val="00471C19"/>
    <w:rsid w:val="004845EF"/>
    <w:rsid w:val="004867E3"/>
    <w:rsid w:val="00494A28"/>
    <w:rsid w:val="004C0004"/>
    <w:rsid w:val="004C5D52"/>
    <w:rsid w:val="0050519A"/>
    <w:rsid w:val="005072A1"/>
    <w:rsid w:val="00514517"/>
    <w:rsid w:val="00545827"/>
    <w:rsid w:val="00560270"/>
    <w:rsid w:val="005C2568"/>
    <w:rsid w:val="005E48D1"/>
    <w:rsid w:val="005F1B17"/>
    <w:rsid w:val="006037C0"/>
    <w:rsid w:val="006631B6"/>
    <w:rsid w:val="00680577"/>
    <w:rsid w:val="006B2AF2"/>
    <w:rsid w:val="006F74FA"/>
    <w:rsid w:val="00731ADD"/>
    <w:rsid w:val="00734777"/>
    <w:rsid w:val="00747932"/>
    <w:rsid w:val="00751A4A"/>
    <w:rsid w:val="00756632"/>
    <w:rsid w:val="00762C74"/>
    <w:rsid w:val="00786EC0"/>
    <w:rsid w:val="007A6A47"/>
    <w:rsid w:val="007D1690"/>
    <w:rsid w:val="007E22AD"/>
    <w:rsid w:val="00804D81"/>
    <w:rsid w:val="00817416"/>
    <w:rsid w:val="00842779"/>
    <w:rsid w:val="00865F67"/>
    <w:rsid w:val="00881A7B"/>
    <w:rsid w:val="008840E5"/>
    <w:rsid w:val="00887B3E"/>
    <w:rsid w:val="008C2AC6"/>
    <w:rsid w:val="008C4007"/>
    <w:rsid w:val="00926C92"/>
    <w:rsid w:val="00930C23"/>
    <w:rsid w:val="0093193B"/>
    <w:rsid w:val="009509D8"/>
    <w:rsid w:val="00950B64"/>
    <w:rsid w:val="00981893"/>
    <w:rsid w:val="009B7FA2"/>
    <w:rsid w:val="00A1687D"/>
    <w:rsid w:val="00A43E52"/>
    <w:rsid w:val="00A4678D"/>
    <w:rsid w:val="00A778C7"/>
    <w:rsid w:val="00AB441E"/>
    <w:rsid w:val="00AB6293"/>
    <w:rsid w:val="00AE0928"/>
    <w:rsid w:val="00AF3B82"/>
    <w:rsid w:val="00AF42E6"/>
    <w:rsid w:val="00B12E95"/>
    <w:rsid w:val="00B22876"/>
    <w:rsid w:val="00B558F0"/>
    <w:rsid w:val="00BD48FE"/>
    <w:rsid w:val="00BD7BD8"/>
    <w:rsid w:val="00BE6ADC"/>
    <w:rsid w:val="00C05BFE"/>
    <w:rsid w:val="00C23CD4"/>
    <w:rsid w:val="00C61C0C"/>
    <w:rsid w:val="00C941CB"/>
    <w:rsid w:val="00C97DD4"/>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697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E1144"/>
  <w15:chartTrackingRefBased/>
  <w15:docId w15:val="{97316886-31D3-404C-8B5F-E7B633468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B2AF2"/>
    <w:pPr>
      <w:spacing w:before="480" w:after="240"/>
    </w:pPr>
  </w:style>
  <w:style w:type="paragraph" w:customStyle="1" w:styleId="NormalHanging12a">
    <w:name w:val="NormalHanging12a"/>
    <w:basedOn w:val="Normal"/>
    <w:rsid w:val="006B2AF2"/>
    <w:pPr>
      <w:spacing w:after="240"/>
      <w:ind w:left="567" w:hanging="567"/>
    </w:pPr>
  </w:style>
  <w:style w:type="character" w:styleId="Hyperlink">
    <w:name w:val="Hyperlink"/>
    <w:basedOn w:val="DefaultParagraphFont"/>
    <w:uiPriority w:val="99"/>
    <w:unhideWhenUsed/>
    <w:rsid w:val="006B2AF2"/>
    <w:rPr>
      <w:color w:val="0563C1" w:themeColor="hyperlink"/>
      <w:u w:val="single"/>
    </w:rPr>
  </w:style>
  <w:style w:type="paragraph" w:styleId="Revision">
    <w:name w:val="Revision"/>
    <w:hidden/>
    <w:uiPriority w:val="99"/>
    <w:semiHidden/>
    <w:rsid w:val="0023607C"/>
    <w:rPr>
      <w:sz w:val="24"/>
      <w:lang w:val="el-GR"/>
    </w:rPr>
  </w:style>
  <w:style w:type="character" w:styleId="UnresolvedMention">
    <w:name w:val="Unresolved Mention"/>
    <w:basedOn w:val="DefaultParagraphFont"/>
    <w:uiPriority w:val="99"/>
    <w:semiHidden/>
    <w:unhideWhenUsed/>
    <w:rsid w:val="00804D81"/>
    <w:rPr>
      <w:color w:val="605E5C"/>
      <w:shd w:val="clear" w:color="auto" w:fill="E1DFDD"/>
    </w:rPr>
  </w:style>
  <w:style w:type="character" w:styleId="FollowedHyperlink">
    <w:name w:val="FollowedHyperlink"/>
    <w:basedOn w:val="DefaultParagraphFont"/>
    <w:rsid w:val="00FB69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5027</Words>
  <Characters>30738</Characters>
  <Application>Microsoft Office Word</Application>
  <DocSecurity>0</DocSecurity>
  <Lines>256</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TZANIDI Anastasia</cp:lastModifiedBy>
  <cp:revision>2</cp:revision>
  <cp:lastPrinted>2004-11-19T15:42:00Z</cp:lastPrinted>
  <dcterms:created xsi:type="dcterms:W3CDTF">2026-06-04T12:48:00Z</dcterms:created>
  <dcterms:modified xsi:type="dcterms:W3CDTF">2026-06-04T12:48:00Z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B10-0190/2026</vt:lpwstr>
  </property>
  <property fmtid="{D5CDD505-2E9C-101B-9397-08002B2CF9AE}" pid="4" name="&lt;Type&gt;">
    <vt:lpwstr>RR</vt:lpwstr>
  </property>
</Properties>
</file>