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517" w14:paraId="03A40598" w14:textId="77777777" w:rsidTr="0010095E">
        <w:trPr>
          <w:trHeight w:hRule="exact" w:val="1418"/>
        </w:trPr>
        <w:tc>
          <w:tcPr>
            <w:tcW w:w="6804" w:type="dxa"/>
            <w:shd w:val="clear" w:color="auto" w:fill="auto"/>
            <w:vAlign w:val="center"/>
          </w:tcPr>
          <w:p w14:paraId="2522DC07" w14:textId="77777777" w:rsidR="00751A4A" w:rsidRPr="00D53517" w:rsidRDefault="009573E1" w:rsidP="0010095E">
            <w:pPr>
              <w:pStyle w:val="EPName"/>
            </w:pPr>
            <w:r w:rsidRPr="00D53517">
              <w:t>Euroopan parlamentti</w:t>
            </w:r>
          </w:p>
          <w:p w14:paraId="455FBF5A" w14:textId="77777777" w:rsidR="00751A4A" w:rsidRPr="00D53517" w:rsidRDefault="005F1B17" w:rsidP="005F1B17">
            <w:pPr>
              <w:pStyle w:val="EPTerm"/>
              <w:rPr>
                <w:rStyle w:val="HideTWBExt"/>
                <w:noProof w:val="0"/>
                <w:vanish w:val="0"/>
                <w:color w:val="auto"/>
              </w:rPr>
            </w:pPr>
            <w:r w:rsidRPr="00D53517">
              <w:t>2024</w:t>
            </w:r>
            <w:r w:rsidR="00817416" w:rsidRPr="00D53517">
              <w:t>-202</w:t>
            </w:r>
            <w:r w:rsidRPr="00D53517">
              <w:t>9</w:t>
            </w:r>
          </w:p>
        </w:tc>
        <w:tc>
          <w:tcPr>
            <w:tcW w:w="2268" w:type="dxa"/>
            <w:shd w:val="clear" w:color="auto" w:fill="auto"/>
          </w:tcPr>
          <w:p w14:paraId="053CAC20" w14:textId="77777777" w:rsidR="00751A4A" w:rsidRPr="00D53517" w:rsidRDefault="00187494" w:rsidP="0010095E">
            <w:pPr>
              <w:pStyle w:val="EPLogo"/>
            </w:pPr>
            <w:r w:rsidRPr="00D53517">
              <w:rPr>
                <w:noProof/>
                <w:lang w:eastAsia="ja-JP"/>
              </w:rPr>
              <w:drawing>
                <wp:inline distT="0" distB="0" distL="0" distR="0" wp14:anchorId="32F1608F" wp14:editId="71122A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775403" w14:textId="77777777" w:rsidR="00D058B8" w:rsidRPr="00D53517" w:rsidRDefault="00D058B8" w:rsidP="004C5D52">
      <w:pPr>
        <w:pStyle w:val="LineTop"/>
      </w:pPr>
    </w:p>
    <w:p w14:paraId="6ADECEFA" w14:textId="77777777" w:rsidR="00680577" w:rsidRPr="00D53517" w:rsidRDefault="009573E1" w:rsidP="00680577">
      <w:pPr>
        <w:pStyle w:val="EPBodyTA1"/>
      </w:pPr>
      <w:r w:rsidRPr="00D53517">
        <w:t>HYVÄKSYTYT TEKSTIT</w:t>
      </w:r>
    </w:p>
    <w:p w14:paraId="00B74F80" w14:textId="77777777" w:rsidR="00D058B8" w:rsidRPr="00D53517" w:rsidRDefault="00D058B8" w:rsidP="00D058B8">
      <w:pPr>
        <w:pStyle w:val="LineBottom"/>
      </w:pPr>
    </w:p>
    <w:p w14:paraId="13718C96" w14:textId="17360024" w:rsidR="009573E1" w:rsidRPr="00D53517" w:rsidRDefault="009573E1" w:rsidP="009573E1">
      <w:pPr>
        <w:pStyle w:val="ATHeading1"/>
      </w:pPr>
      <w:bookmarkStart w:id="0" w:name="TANumber"/>
      <w:r w:rsidRPr="00D53517">
        <w:t>P10_TA(2026)0</w:t>
      </w:r>
      <w:r w:rsidR="000A4FC1" w:rsidRPr="00D53517">
        <w:t>160</w:t>
      </w:r>
      <w:bookmarkEnd w:id="0"/>
    </w:p>
    <w:p w14:paraId="062B1AFB" w14:textId="0B4F61F9" w:rsidR="009573E1" w:rsidRPr="00D53517" w:rsidRDefault="00AE58A3" w:rsidP="009573E1">
      <w:pPr>
        <w:pStyle w:val="ATHeading2"/>
      </w:pPr>
      <w:bookmarkStart w:id="1" w:name="title"/>
      <w:r w:rsidRPr="00D53517">
        <w:rPr>
          <w:bCs/>
        </w:rPr>
        <w:t>Digimarkkinasäädöksen täytäntöönpanon</w:t>
      </w:r>
      <w:bookmarkEnd w:id="1"/>
      <w:r w:rsidRPr="00D53517">
        <w:rPr>
          <w:bCs/>
        </w:rPr>
        <w:t xml:space="preserve"> valvonta</w:t>
      </w:r>
    </w:p>
    <w:p w14:paraId="3EB6CEE9" w14:textId="77777777" w:rsidR="009573E1" w:rsidRPr="00D53517" w:rsidRDefault="009573E1" w:rsidP="009573E1">
      <w:pPr>
        <w:rPr>
          <w:i/>
          <w:vanish/>
        </w:rPr>
      </w:pPr>
      <w:r w:rsidRPr="00D53517">
        <w:rPr>
          <w:i/>
        </w:rPr>
        <w:fldChar w:fldCharType="begin"/>
      </w:r>
      <w:r w:rsidRPr="00D53517">
        <w:rPr>
          <w:i/>
        </w:rPr>
        <w:instrText xml:space="preserve"> TC"(</w:instrText>
      </w:r>
      <w:bookmarkStart w:id="2" w:name="DocNumber"/>
      <w:r w:rsidRPr="00D53517">
        <w:rPr>
          <w:i/>
        </w:rPr>
        <w:instrText>B10-0190/2026</w:instrText>
      </w:r>
      <w:bookmarkEnd w:id="2"/>
      <w:r w:rsidRPr="00D53517">
        <w:rPr>
          <w:i/>
        </w:rPr>
        <w:instrText xml:space="preserve">)"\l3 \n&gt; \* MERGEFORMAT </w:instrText>
      </w:r>
      <w:r w:rsidRPr="00D53517">
        <w:rPr>
          <w:i/>
        </w:rPr>
        <w:fldChar w:fldCharType="end"/>
      </w:r>
    </w:p>
    <w:p w14:paraId="062C99ED" w14:textId="77777777" w:rsidR="009573E1" w:rsidRPr="00D53517" w:rsidRDefault="009573E1" w:rsidP="009573E1">
      <w:pPr>
        <w:rPr>
          <w:vanish/>
        </w:rPr>
      </w:pPr>
      <w:bookmarkStart w:id="3" w:name="PE"/>
      <w:r w:rsidRPr="00D53517">
        <w:rPr>
          <w:vanish/>
        </w:rPr>
        <w:t>PE785.295</w:t>
      </w:r>
      <w:bookmarkEnd w:id="3"/>
    </w:p>
    <w:p w14:paraId="7819C9A6" w14:textId="77777777" w:rsidR="009573E1" w:rsidRPr="00D53517" w:rsidRDefault="009573E1" w:rsidP="009573E1">
      <w:pPr>
        <w:pStyle w:val="ATHeading3"/>
      </w:pPr>
      <w:bookmarkStart w:id="4" w:name="Sujet"/>
      <w:r w:rsidRPr="00D53517">
        <w:t>Euroopan parlamentin päätöslauselma 30. huhtikuuta 2026 digimarkkinasäädöksen täytäntöönpanon valvonnasta</w:t>
      </w:r>
      <w:bookmarkEnd w:id="4"/>
      <w:r w:rsidRPr="00D53517">
        <w:t xml:space="preserve"> </w:t>
      </w:r>
      <w:bookmarkStart w:id="5" w:name="References"/>
      <w:r w:rsidRPr="00D53517">
        <w:t>(2026/2596(RSP))</w:t>
      </w:r>
      <w:bookmarkEnd w:id="5"/>
    </w:p>
    <w:p w14:paraId="3775259A" w14:textId="77777777" w:rsidR="00D74B10" w:rsidRPr="00D53517" w:rsidRDefault="00D74B10" w:rsidP="00C27A81">
      <w:pPr>
        <w:pStyle w:val="EPComma"/>
        <w:widowControl/>
      </w:pPr>
      <w:bookmarkStart w:id="6" w:name="TextBodyBegin"/>
      <w:bookmarkEnd w:id="6"/>
      <w:r w:rsidRPr="00D53517">
        <w:rPr>
          <w:i/>
          <w:iCs/>
        </w:rPr>
        <w:t>Euroopan parlamentti</w:t>
      </w:r>
      <w:r w:rsidRPr="00D53517">
        <w:t>, joka</w:t>
      </w:r>
    </w:p>
    <w:p w14:paraId="2430659B" w14:textId="77777777" w:rsidR="00D74B10" w:rsidRPr="00D53517" w:rsidRDefault="00D74B10" w:rsidP="00C27A81">
      <w:pPr>
        <w:pStyle w:val="NormalHanging12a"/>
        <w:widowControl/>
      </w:pPr>
      <w:r w:rsidRPr="00D53517">
        <w:t>–</w:t>
      </w:r>
      <w:r w:rsidRPr="00D53517">
        <w:tab/>
        <w:t>ottaa huomioon kilpailullisista ja oikeudenmukaisista markkinoista digitaalialalla ja direktiivien (EU) 2019/1937 ja (EU) 2020/1828 muuttamisesta 14. syyskuuta 2022 annetun Euroopan parlamentin ja neuvoston asetuksen (EU) 2022/1925 (digimarkkinasäädös)</w:t>
      </w:r>
      <w:r w:rsidRPr="00D53517">
        <w:rPr>
          <w:rStyle w:val="FootnoteReference"/>
        </w:rPr>
        <w:footnoteReference w:id="1"/>
      </w:r>
      <w:r w:rsidRPr="00D53517">
        <w:t>, erityisesti sen 53 artiklan,</w:t>
      </w:r>
    </w:p>
    <w:p w14:paraId="6FB6B662" w14:textId="638E75FB" w:rsidR="00D74B10" w:rsidRPr="00D53517" w:rsidRDefault="00D74B10" w:rsidP="00C27A81">
      <w:pPr>
        <w:pStyle w:val="NormalHanging12a"/>
        <w:widowControl/>
      </w:pPr>
      <w:r w:rsidRPr="00D53517">
        <w:t>–</w:t>
      </w:r>
      <w:r w:rsidRPr="00D53517">
        <w:tab/>
        <w:t>ottaa huomioon kysymyksen komissiolle digimarkkinasäädöksen täytäntöönpanosta (O</w:t>
      </w:r>
      <w:r w:rsidRPr="00D53517">
        <w:noBreakHyphen/>
      </w:r>
      <w:r w:rsidR="008356BD" w:rsidRPr="00D53517">
        <w:t>000016/2026</w:t>
      </w:r>
      <w:r w:rsidRPr="00D53517">
        <w:t xml:space="preserve"> – B10-</w:t>
      </w:r>
      <w:r w:rsidR="008356BD" w:rsidRPr="00D53517">
        <w:t>0010</w:t>
      </w:r>
      <w:r w:rsidRPr="00D53517">
        <w:t>/2026),</w:t>
      </w:r>
    </w:p>
    <w:p w14:paraId="4F7FCDF4" w14:textId="77777777" w:rsidR="00D74B10" w:rsidRPr="00D53517" w:rsidRDefault="00D74B10" w:rsidP="00C27A81">
      <w:pPr>
        <w:pStyle w:val="NormalHanging12a"/>
        <w:widowControl/>
        <w:rPr>
          <w:rFonts w:eastAsia="Aptos"/>
          <w:kern w:val="2"/>
          <w:szCs w:val="24"/>
          <w14:ligatures w14:val="standardContextual"/>
        </w:rPr>
      </w:pPr>
      <w:r w:rsidRPr="00D53517">
        <w:t>–</w:t>
      </w:r>
      <w:r w:rsidRPr="00D53517">
        <w:tab/>
        <w:t xml:space="preserve">ottaa huomioon 6. syyskuuta 2023 asetuksen (EU) 2022/1925 3 artiklan nojalla annetut komission päätökset, joissa </w:t>
      </w:r>
      <w:proofErr w:type="spellStart"/>
      <w:r w:rsidRPr="00D53517">
        <w:t>Alphabet</w:t>
      </w:r>
      <w:proofErr w:type="spellEnd"/>
      <w:r w:rsidRPr="00D53517">
        <w:rPr>
          <w:rFonts w:eastAsia="MS Mincho"/>
          <w:vertAlign w:val="superscript"/>
          <w:lang w:eastAsia="en-US"/>
        </w:rPr>
        <w:footnoteReference w:id="2"/>
      </w:r>
      <w:r w:rsidRPr="00D53517">
        <w:t>, Amazon</w:t>
      </w:r>
      <w:r w:rsidRPr="00D53517">
        <w:rPr>
          <w:rFonts w:eastAsia="MS Mincho"/>
          <w:vertAlign w:val="superscript"/>
          <w:lang w:eastAsia="en-US"/>
        </w:rPr>
        <w:footnoteReference w:id="3"/>
      </w:r>
      <w:r w:rsidRPr="00D53517">
        <w:t>, Apple</w:t>
      </w:r>
      <w:r w:rsidRPr="00D53517">
        <w:rPr>
          <w:rFonts w:eastAsia="MS Mincho"/>
          <w:vertAlign w:val="superscript"/>
          <w:lang w:eastAsia="en-US"/>
        </w:rPr>
        <w:footnoteReference w:id="4"/>
      </w:r>
      <w:r w:rsidRPr="00D53517">
        <w:t xml:space="preserve">, </w:t>
      </w:r>
      <w:proofErr w:type="spellStart"/>
      <w:r w:rsidRPr="00D53517">
        <w:t>ByteDance</w:t>
      </w:r>
      <w:proofErr w:type="spellEnd"/>
      <w:r w:rsidRPr="00D53517">
        <w:rPr>
          <w:rFonts w:eastAsia="MS Mincho"/>
          <w:vertAlign w:val="superscript"/>
          <w:lang w:eastAsia="en-US"/>
        </w:rPr>
        <w:footnoteReference w:id="5"/>
      </w:r>
      <w:r w:rsidRPr="00D53517">
        <w:t>, Meta</w:t>
      </w:r>
      <w:r w:rsidRPr="00D53517">
        <w:rPr>
          <w:rFonts w:eastAsia="MS Mincho"/>
          <w:vertAlign w:val="superscript"/>
          <w:lang w:eastAsia="en-US"/>
        </w:rPr>
        <w:footnoteReference w:id="6"/>
      </w:r>
      <w:r w:rsidRPr="00D53517">
        <w:t xml:space="preserve"> ja Microsoft</w:t>
      </w:r>
      <w:r w:rsidRPr="00D53517">
        <w:rPr>
          <w:rFonts w:eastAsia="MS Mincho"/>
          <w:vertAlign w:val="superscript"/>
          <w:lang w:eastAsia="en-US"/>
        </w:rPr>
        <w:footnoteReference w:id="7"/>
      </w:r>
      <w:r w:rsidRPr="00D53517">
        <w:t xml:space="preserve"> nimetään portinvartijoiksi useiden ydinalustapalvelujen osalta,</w:t>
      </w:r>
    </w:p>
    <w:p w14:paraId="750CE952" w14:textId="77777777" w:rsidR="00D74B10" w:rsidRPr="00D53517" w:rsidRDefault="00D74B10" w:rsidP="00C27A81">
      <w:pPr>
        <w:pStyle w:val="NormalHanging12a"/>
        <w:widowControl/>
        <w:rPr>
          <w:rFonts w:eastAsia="Aptos"/>
          <w:kern w:val="2"/>
          <w:szCs w:val="24"/>
          <w14:ligatures w14:val="standardContextual"/>
        </w:rPr>
      </w:pPr>
      <w:r w:rsidRPr="00D53517">
        <w:t>–</w:t>
      </w:r>
      <w:r w:rsidRPr="00D53517">
        <w:tab/>
        <w:t>ottaa huomioon 29. huhtikuuta 2024 asetuksen (EU) 2022/1925 3 artiklan nojalla annetun komission päätöksen</w:t>
      </w:r>
      <w:r w:rsidRPr="00D53517">
        <w:rPr>
          <w:rFonts w:eastAsia="MS Mincho"/>
          <w:szCs w:val="24"/>
          <w:vertAlign w:val="superscript"/>
          <w:lang w:eastAsia="en-US"/>
        </w:rPr>
        <w:footnoteReference w:id="8"/>
      </w:r>
      <w:r w:rsidRPr="00D53517">
        <w:t xml:space="preserve">, jossa Applen </w:t>
      </w:r>
      <w:proofErr w:type="spellStart"/>
      <w:r w:rsidRPr="00D53517">
        <w:t>iPadOS</w:t>
      </w:r>
      <w:proofErr w:type="spellEnd"/>
      <w:r w:rsidRPr="00D53517">
        <w:t>-käyttöjärjestelmä nimetään ydinalustapalveluksi,</w:t>
      </w:r>
    </w:p>
    <w:p w14:paraId="0B5FED46" w14:textId="77777777" w:rsidR="00D74B10" w:rsidRPr="00D53517" w:rsidRDefault="00D74B10" w:rsidP="00C27A81">
      <w:pPr>
        <w:pStyle w:val="NormalHanging12a"/>
        <w:widowControl/>
        <w:rPr>
          <w:rFonts w:eastAsia="Aptos"/>
          <w:kern w:val="2"/>
          <w:szCs w:val="24"/>
          <w14:ligatures w14:val="standardContextual"/>
        </w:rPr>
      </w:pPr>
      <w:r w:rsidRPr="00D53517">
        <w:t>–</w:t>
      </w:r>
      <w:r w:rsidRPr="00D53517">
        <w:tab/>
        <w:t>ottaa huomioon 13. toukokuuta 2024 asetuksen (EU) 2022/1925 3 artiklan nojalla annetun komission päätöksen</w:t>
      </w:r>
      <w:r w:rsidRPr="00D53517">
        <w:rPr>
          <w:rFonts w:eastAsia="MS Mincho"/>
          <w:szCs w:val="24"/>
          <w:vertAlign w:val="superscript"/>
          <w:lang w:eastAsia="en-US"/>
        </w:rPr>
        <w:footnoteReference w:id="9"/>
      </w:r>
      <w:r w:rsidRPr="00D53517">
        <w:t>, jossa Booking.com nimetään portinvartijaksi sen verkossa toimivien välityspalvelujen osalta,</w:t>
      </w:r>
    </w:p>
    <w:p w14:paraId="7A1E3AEB" w14:textId="04E42AD5" w:rsidR="00D74B10" w:rsidRPr="00D53517" w:rsidRDefault="00D74B10" w:rsidP="00C27A81">
      <w:pPr>
        <w:pStyle w:val="NormalHanging12a"/>
        <w:widowControl/>
        <w:rPr>
          <w:rFonts w:eastAsia="Aptos"/>
          <w:kern w:val="2"/>
          <w:szCs w:val="24"/>
          <w14:ligatures w14:val="standardContextual"/>
        </w:rPr>
      </w:pPr>
      <w:r w:rsidRPr="00D53517">
        <w:t>–</w:t>
      </w:r>
      <w:r w:rsidRPr="00D53517">
        <w:tab/>
        <w:t xml:space="preserve">ottaa huomioon 23. huhtikuuta 2025 asetuksen (EU) 2022/1925 29 artiklan 1 kohdan a alakohdan, 30 artiklan 1 kohdan a alakohdan ja 31 artiklan 1 kohdan h alakohdan </w:t>
      </w:r>
      <w:r w:rsidRPr="00D53517">
        <w:lastRenderedPageBreak/>
        <w:t>nojalla annetun komission päätöksen</w:t>
      </w:r>
      <w:r w:rsidRPr="00D53517">
        <w:rPr>
          <w:rFonts w:eastAsia="MS Mincho"/>
          <w:szCs w:val="24"/>
          <w:vertAlign w:val="superscript"/>
          <w:lang w:eastAsia="en-US"/>
        </w:rPr>
        <w:footnoteReference w:id="10"/>
      </w:r>
      <w:r w:rsidRPr="00D53517">
        <w:t>, jossa peruutetaan Metan Facebook Marketplacen nimeäminen ydinalustapalveluksi,</w:t>
      </w:r>
    </w:p>
    <w:p w14:paraId="74C734D1" w14:textId="77777777" w:rsidR="00D74B10" w:rsidRPr="00D53517" w:rsidRDefault="00D74B10" w:rsidP="00C27A81">
      <w:pPr>
        <w:pStyle w:val="NormalHanging12a"/>
        <w:widowControl/>
        <w:rPr>
          <w:rFonts w:eastAsia="Aptos"/>
          <w:kern w:val="2"/>
          <w:szCs w:val="24"/>
          <w14:ligatures w14:val="standardContextual"/>
        </w:rPr>
      </w:pPr>
      <w:r w:rsidRPr="00D53517">
        <w:t>–</w:t>
      </w:r>
      <w:r w:rsidRPr="00D53517">
        <w:tab/>
        <w:t>ottaa huomioon tiettyjen Euroopan parlamentin ja neuvoston asetuksen (EU) 2022/1925 mukaisten komission menettelyjen toteuttamista koskevista yksityiskohtaisista säännöistä 14. huhtikuuta 2023 annetun komission täytäntöönpanoasetuksen (EU) 2023/814</w:t>
      </w:r>
      <w:r w:rsidRPr="00D53517">
        <w:rPr>
          <w:rFonts w:eastAsia="MS Mincho"/>
          <w:szCs w:val="24"/>
          <w:vertAlign w:val="superscript"/>
          <w:lang w:eastAsia="en-US"/>
        </w:rPr>
        <w:footnoteReference w:id="11"/>
      </w:r>
      <w:r w:rsidRPr="00D53517">
        <w:t>,</w:t>
      </w:r>
    </w:p>
    <w:p w14:paraId="19210466" w14:textId="77777777" w:rsidR="00D74B10" w:rsidRPr="00D53517" w:rsidRDefault="00D74B10" w:rsidP="00C27A81">
      <w:pPr>
        <w:pStyle w:val="NormalHanging12a"/>
        <w:widowControl/>
      </w:pPr>
      <w:r w:rsidRPr="00D53517">
        <w:t>–</w:t>
      </w:r>
      <w:r w:rsidRPr="00D53517">
        <w:tab/>
        <w:t>ottaa huomioon työjärjestyksen 142 artiklan 5 kohdan ja 136 artiklan 2 kohdan,</w:t>
      </w:r>
    </w:p>
    <w:p w14:paraId="22B26EF6" w14:textId="77777777" w:rsidR="00D74B10" w:rsidRPr="00D53517" w:rsidRDefault="00D74B10" w:rsidP="00C27A81">
      <w:pPr>
        <w:pStyle w:val="NormalHanging12a"/>
        <w:widowControl/>
      </w:pPr>
      <w:r w:rsidRPr="00D53517">
        <w:t>A.</w:t>
      </w:r>
      <w:r w:rsidRPr="00D53517">
        <w:tab/>
        <w:t xml:space="preserve">ottaa huomioon, että digimarkkinasäädöksellä luodaan yhdenmukaistettu ennakkosääntelyjärjestelmä, jolla varmistetaan oikeudenmukaiset, avoimet ja kilpailulliset digitaaliset markkinat kaikkialla EU:ssa, estetään epäoikeudenmukaiset portinvartijakäytännöt, turvataan sisämarkkinoiden eheys ja moitteeton toiminta, varmistetaan velvoitteiden tehokas ja syrjimätön soveltaminen kaikkiin nimettyihin portinvartijoihin, poistetaan markkinoille pääsyn esteitä ja edistetään </w:t>
      </w:r>
      <w:proofErr w:type="spellStart"/>
      <w:r w:rsidRPr="00D53517">
        <w:t>rajatylittäviä</w:t>
      </w:r>
      <w:proofErr w:type="spellEnd"/>
      <w:r w:rsidRPr="00D53517">
        <w:t xml:space="preserve"> digitaalisia palveluja, innovointia, kuluttajien valinnanvaraa ja reilua kilpailua kaikkialla EU:ssa;</w:t>
      </w:r>
    </w:p>
    <w:p w14:paraId="325785CC" w14:textId="77777777" w:rsidR="00D74B10" w:rsidRPr="00D53517" w:rsidRDefault="00D74B10" w:rsidP="00C27A81">
      <w:pPr>
        <w:pStyle w:val="NormalHanging12a"/>
        <w:widowControl/>
      </w:pPr>
      <w:r w:rsidRPr="00D53517">
        <w:t>B.</w:t>
      </w:r>
      <w:r w:rsidRPr="00D53517">
        <w:tab/>
        <w:t>ottaa huomioon, että digimarkkinasäädöksellä pyritään tuottamaan todellisia hyötyjä digitaalisille markkinoille ja varmistamaan, että yrityskäyttäjät ja loppukäyttäjät voivat tosiasiallisesti käyttää asetuksen mukaisia oikeuksiaan ja että portinvartijakäytännöt eivät enää luo rakenteellisia esteitä markkinoille pääsylle tai kyvylle kasvaa tai innovoida sisämarkkinoilla, sekä estämään kuluttajien lukkiutumista, joka estää kuluttajia vaihtamasta toiseen palveluun;</w:t>
      </w:r>
    </w:p>
    <w:p w14:paraId="62B49FF3" w14:textId="77777777" w:rsidR="00D74B10" w:rsidRPr="00D53517" w:rsidRDefault="00D74B10" w:rsidP="00C27A81">
      <w:pPr>
        <w:pStyle w:val="NormalHanging12a"/>
        <w:widowControl/>
      </w:pPr>
      <w:r w:rsidRPr="00D53517">
        <w:t>C.</w:t>
      </w:r>
      <w:r w:rsidRPr="00D53517">
        <w:tab/>
        <w:t>ottaa huomioon, että parlamentti harjoittaa digimarkkinasäädöksen täytäntöönpanon ja sen noudattamisen valvonnan demokraattista valvontaa erityisesti sisämarkkina- ja kuluttajansuojavaliokunnan (IMCO) kautta;</w:t>
      </w:r>
    </w:p>
    <w:p w14:paraId="46691A00" w14:textId="77777777" w:rsidR="00D74B10" w:rsidRPr="00D53517" w:rsidRDefault="00D74B10" w:rsidP="00C27A81">
      <w:pPr>
        <w:pStyle w:val="NormalHanging12a"/>
        <w:widowControl/>
      </w:pPr>
      <w:r w:rsidRPr="00D53517">
        <w:t>D.</w:t>
      </w:r>
      <w:r w:rsidRPr="00D53517">
        <w:tab/>
        <w:t>ottaa huomioon, että digimarkkinasäädöksen varhainen täytäntöönpano vahvistaa sen merkityksen keskeisenä välineenä markkinoiden avoimuuden ja oikeudenmukaisuuden, kilpailun ja käyttäjien valinnanvaran parantamisessa EU:ssa, ja korostaa, että kaikkien EU:ssa toimivien yritysten on koostaan tai alkuperästään riippumatta noudatettava kaikilta osin EU:n lainsäädäntöä;</w:t>
      </w:r>
    </w:p>
    <w:p w14:paraId="49173AFB" w14:textId="77777777" w:rsidR="00D74B10" w:rsidRPr="00D53517" w:rsidRDefault="00D74B10" w:rsidP="00C27A81">
      <w:pPr>
        <w:pStyle w:val="NormalHanging12a"/>
        <w:widowControl/>
      </w:pPr>
      <w:r w:rsidRPr="00D53517">
        <w:t>E.</w:t>
      </w:r>
      <w:r w:rsidRPr="00D53517">
        <w:tab/>
        <w:t>ottaa huomioon, että digimarkkinasäädöksen täytäntöönpano on vielä varhaisessa vaiheessa ja siihen liittyy haasteita, jotka liittyvät oikea-aikaiseen ja tehokkaaseen täytäntöönpanoon, seurantavalmiuksiin ja tiettyjen vaatimusten noudattamista koskevien ratkaisujen käytännön tehokkuuteen, erityisesti kun otetaan huomioon taustalla olevien teknologioiden, käyttöliittymän suunnittelun ja valinta-arkkitehtuurin monimutkaisuus;</w:t>
      </w:r>
    </w:p>
    <w:p w14:paraId="1B3E85E1" w14:textId="77777777" w:rsidR="00D74B10" w:rsidRPr="00D53517" w:rsidRDefault="00D74B10" w:rsidP="00C27A81">
      <w:pPr>
        <w:pStyle w:val="NormalHanging12a"/>
        <w:widowControl/>
      </w:pPr>
      <w:r w:rsidRPr="00D53517">
        <w:t>F.</w:t>
      </w:r>
      <w:r w:rsidRPr="00D53517">
        <w:tab/>
        <w:t xml:space="preserve">ottaa huomioon, että pienemmät yritykset, mukaan lukien startup-yritykset ja innovatiiviset </w:t>
      </w:r>
      <w:proofErr w:type="spellStart"/>
      <w:r w:rsidRPr="00D53517">
        <w:t>scaleup</w:t>
      </w:r>
      <w:proofErr w:type="spellEnd"/>
      <w:r w:rsidRPr="00D53517">
        <w:t>-yritykset, kohtaavat edelleen esteitä ja epäoikeudenmukaisia esteitä digitaalisilla markkinoilla, mukaan lukien syrjivät käytännöt ja portinvartijoiden asettamat rajoitukset, jotka voivat haitata innovointia, rajoittaa kilpailua ja vähentää kasvumahdollisuuksia ja viime kädessä vähentää kuluttajien valinnanvaraa;</w:t>
      </w:r>
    </w:p>
    <w:p w14:paraId="48A2C248" w14:textId="77777777" w:rsidR="00D74B10" w:rsidRPr="00D53517" w:rsidRDefault="00D74B10" w:rsidP="00C27A81">
      <w:pPr>
        <w:pStyle w:val="NormalHanging12a"/>
        <w:widowControl/>
      </w:pPr>
      <w:r w:rsidRPr="00D53517">
        <w:lastRenderedPageBreak/>
        <w:t>G.</w:t>
      </w:r>
      <w:r w:rsidRPr="00D53517">
        <w:tab/>
        <w:t>ottaa huomioon, että tiedon epäsymmetria portinvartijoiden ja sääntelyviranomaisten välillä sekä vaatimusten noudattamista koskevien toimenpiteiden vähäinen avoimuus uhkaavat heikentää digimarkkinasäädöksen täytäntöönpanon tehokasta valvontaa, vastuuvelvollisuutta ja sitä kohtaan tunnettua luottamusta;</w:t>
      </w:r>
    </w:p>
    <w:p w14:paraId="2704312E" w14:textId="77777777" w:rsidR="00D74B10" w:rsidRPr="00D53517" w:rsidRDefault="00D74B10" w:rsidP="00C27A81">
      <w:pPr>
        <w:pStyle w:val="NormalHanging12a"/>
        <w:widowControl/>
      </w:pPr>
      <w:r w:rsidRPr="00D53517">
        <w:t>H.</w:t>
      </w:r>
      <w:r w:rsidRPr="00D53517">
        <w:tab/>
        <w:t xml:space="preserve">ottaa huomioon, että </w:t>
      </w:r>
      <w:proofErr w:type="spellStart"/>
      <w:r w:rsidRPr="00D53517">
        <w:t>yhteentoimivuus</w:t>
      </w:r>
      <w:proofErr w:type="spellEnd"/>
      <w:r w:rsidRPr="00D53517">
        <w:t>, tietojen saatavuus, tietojen siirrettävyys ja omien tuotteiden ja palvelujen suosimisen estäminen ovat digimarkkinasäädöksen keskeisiä osatekijöitä ja edellyttävät jatkuvaa ja tiukkaa täytäntöönpanoa, myös silloin, kun kilpailuhaitta johtuu oletusasetuksista, teknisestä integroinnista tai ekosysteemivaikutuksista;</w:t>
      </w:r>
    </w:p>
    <w:p w14:paraId="66DF7033" w14:textId="77777777" w:rsidR="00D74B10" w:rsidRPr="00D53517" w:rsidRDefault="00D74B10" w:rsidP="00C27A81">
      <w:pPr>
        <w:pStyle w:val="NormalHanging12a"/>
        <w:widowControl/>
      </w:pPr>
      <w:r w:rsidRPr="00D53517">
        <w:t>I.</w:t>
      </w:r>
      <w:r w:rsidRPr="00D53517">
        <w:tab/>
        <w:t>ottaa huomioon, että useat digimarkkinasäädöksen mukaiset velvoitteet perustuvat käyttäjien aktiivisiin valintoihin, kuten suostumuksen epäämiseen, esiasennettujen sovellusten poistamiseen, oletusasetusten muuttamiseen ja tietojen siirtämiseen, minkä vuoksi käyttäjien tietoisuus ja käyttöliittymien suunnittelu ovat keskeisessä asemassa asetuksen vaikuttavuuden kannalta;</w:t>
      </w:r>
    </w:p>
    <w:p w14:paraId="24E0411A" w14:textId="77777777" w:rsidR="00D74B10" w:rsidRPr="00D53517" w:rsidRDefault="00D74B10" w:rsidP="00C27A81">
      <w:pPr>
        <w:pStyle w:val="NormalHanging12a"/>
        <w:widowControl/>
      </w:pPr>
      <w:r w:rsidRPr="00D53517">
        <w:t>J.</w:t>
      </w:r>
      <w:r w:rsidRPr="00D53517">
        <w:tab/>
        <w:t>ottaa huomioon, että digimarkkinasäädöksen voimaantulon jälkeen on havaittu konkreettisia tuloksia oikeudenmukaisten, avointen ja kilpailullisten digitaalisten markkinoiden luomisessa, sillä kuluttajille tarjotaan nyt parempia ja neutraalimpia valintanäyttöjä, kun he valitsevat oletusselaimia ja -sovelluksia, sekä laitteen käyttöönoton yhteydessä että järjestelmäasetusten kautta valitessa, ja he voivat määrittää kolmannen osapuolen palvelut oletuksiksi luokissa, jotka aiemmin oli rajoitettu esiasennettuihin palveluihin;</w:t>
      </w:r>
    </w:p>
    <w:p w14:paraId="4A2E3D7D" w14:textId="77777777" w:rsidR="00D74B10" w:rsidRPr="00D53517" w:rsidRDefault="00D74B10" w:rsidP="00C27A81">
      <w:pPr>
        <w:pStyle w:val="NormalHanging12a"/>
        <w:widowControl/>
      </w:pPr>
      <w:r w:rsidRPr="00D53517">
        <w:t>K.</w:t>
      </w:r>
      <w:r w:rsidRPr="00D53517">
        <w:tab/>
        <w:t xml:space="preserve">ottaa huomioon, että lisääntyneet </w:t>
      </w:r>
      <w:proofErr w:type="spellStart"/>
      <w:r w:rsidRPr="00D53517">
        <w:t>yhteentoimivuusvaatimukset</w:t>
      </w:r>
      <w:proofErr w:type="spellEnd"/>
      <w:r w:rsidRPr="00D53517">
        <w:t xml:space="preserve"> lisäävät myös kuluttajien valinnanvaraa, sillä niiden ansiosta suurempi määrä verkkoon liitettyjä ja puettavia laitteita ja palveluja toimii ydinalustapalvelujen kanssa, mikä vähentää riippuvuutta esiasennetuista ekosysteemeistä ja edistää kilpailullisuutta ja kuluttajien riippumattomuutta;</w:t>
      </w:r>
    </w:p>
    <w:p w14:paraId="6AF9C358" w14:textId="77777777" w:rsidR="00D74B10" w:rsidRPr="00D53517" w:rsidRDefault="00D74B10" w:rsidP="00C27A81">
      <w:pPr>
        <w:pStyle w:val="NormalHanging12a"/>
        <w:widowControl/>
      </w:pPr>
      <w:r w:rsidRPr="00D53517">
        <w:t>L.</w:t>
      </w:r>
      <w:r w:rsidRPr="00D53517">
        <w:tab/>
        <w:t>katsoo, että digimarkkinasäädöksen onnistumista olisi arvioitava paitsi muodollisen noudattamisen myös sen perusteella, saavutetaanko sen tavoitteet käytännössä ja pitävätkö loppukäyttäjät, yrityskäyttäjät ja suuri yleisö niitä oikeutettuina;</w:t>
      </w:r>
    </w:p>
    <w:p w14:paraId="0AC7E622" w14:textId="77777777" w:rsidR="00D74B10" w:rsidRPr="00D53517" w:rsidRDefault="00D74B10" w:rsidP="00C27A81">
      <w:pPr>
        <w:pStyle w:val="NormalHanging12a"/>
        <w:widowControl/>
      </w:pPr>
      <w:r w:rsidRPr="00D53517">
        <w:t>M.</w:t>
      </w:r>
      <w:r w:rsidRPr="00D53517">
        <w:tab/>
        <w:t>ottaa huomioon, että digimarkkinasäädöksessä säädetään useista täytäntöönpanovälineistä, kuten sääntelyä koskevasta vuoropuhelusta, markkinatutkimuksista ja velvoitteiden noudattamatta jättämistä koskevista menettelyistä, joiden avulla rikkomiset voidaan havaita, niihin voidaan puuttua ja niistä voidaan määrätä sakkoja; katsoo, että tehokkaat ja oikeasuhteiset sakot ovat olennaisen tärkeitä, jotta voidaan varmistaa pelotevaikutus ja turvata digimarkkinasäädöksen vaikuttavuus; ottaa huomioon, että teknologian kehitys, mukaan lukien tekoälyyn perustuvat toiminnot ja pilvipohjaiset palvelut, aiheuttaa uusia kilpailullisuuteen ja oikeudenmukaisuuteen liittyviä haasteita, ja toteaa, että niihin on vastattava soveltamalla digimarkkinasäädöksen säännöksiä oikea-aikaisesti, yhdenmukaisesti ja johdonmukaisesti;</w:t>
      </w:r>
    </w:p>
    <w:p w14:paraId="31D44DD7" w14:textId="77777777" w:rsidR="00D74B10" w:rsidRPr="00D53517" w:rsidRDefault="00D74B10" w:rsidP="00C27A81">
      <w:pPr>
        <w:pStyle w:val="NormalHanging12a"/>
        <w:widowControl/>
      </w:pPr>
      <w:r w:rsidRPr="00D53517">
        <w:t>N.</w:t>
      </w:r>
      <w:r w:rsidRPr="00D53517">
        <w:tab/>
        <w:t>ottaa huomioon, että generatiivisten tekoälyjärjestelmien ja tekoälyyn perustuvien virtuaaliavustajien nopea kehitys muuttaa merkittävästi kilpailudynamiikkaa, markkinarakenteita, arvoketjuja ja käyttäjien pääsyä digitaalisiin palveluihin kaikkialla EU:ssa, mikä voi vaikuttaa kilpailullisuuteen ja oikeudenmukaisuuteen digitaalisilla markkinoilla;</w:t>
      </w:r>
    </w:p>
    <w:p w14:paraId="38BB0061" w14:textId="77777777" w:rsidR="00D74B10" w:rsidRPr="00D53517" w:rsidRDefault="00D74B10" w:rsidP="00C27A81">
      <w:pPr>
        <w:pStyle w:val="NormalHanging12a"/>
        <w:widowControl/>
      </w:pPr>
      <w:r w:rsidRPr="00D53517">
        <w:lastRenderedPageBreak/>
        <w:t>O.</w:t>
      </w:r>
      <w:r w:rsidRPr="00D53517">
        <w:tab/>
        <w:t>ottaa huomioon, että digimarkkinasäädös sisältää useita säännöksiä, jotka ovat merkityksellisiä sen estämiseksi, että portinvartijat rajoittavat uusien tekoälyn kehittäjien kykyä kilpailla ja innovoida, mukaan lukien velvoitteet, jotka liittyvät oikeudenmukaiseen ja syrjimättömään järjestyksen määrittämiseen, mainospalvelujen avoimuuteen ja tietoihin pääsyyn;</w:t>
      </w:r>
    </w:p>
    <w:p w14:paraId="790A69D1" w14:textId="77777777" w:rsidR="00D74B10" w:rsidRPr="00D53517" w:rsidRDefault="00D74B10" w:rsidP="00C27A81">
      <w:pPr>
        <w:pStyle w:val="NormalHanging12a"/>
        <w:widowControl/>
      </w:pPr>
      <w:r w:rsidRPr="00D53517">
        <w:t>P.</w:t>
      </w:r>
      <w:r w:rsidRPr="00D53517">
        <w:tab/>
        <w:t xml:space="preserve">ottaa huomioon, että pilvipalvelut ovat joissakin tapauksissa yhä enemmän digitaalisten ekosysteemien kriittinen kerros, myös tekoälysovellusten kehittämisessä, käyttöönotossa ja laajentamisessa; ottaa huomioon, että keskittymisen korkea taso, vaihtokustannukset, </w:t>
      </w:r>
      <w:proofErr w:type="spellStart"/>
      <w:r w:rsidRPr="00D53517">
        <w:t>yhteentoimivuuden</w:t>
      </w:r>
      <w:proofErr w:type="spellEnd"/>
      <w:r w:rsidRPr="00D53517">
        <w:t xml:space="preserve"> rajoitukset ja riippuvuusriskit tietyillä pilvipalvelumarkkinoiden segmenteillä voivat herättää samanlaisia huolenaiheita kuin ne, joita digimarkkinasäädöksessä käsitellään; ottaa huomioon, että marraskuussa 2025 käynnistettiin tutkimus sen arvioimiseksi, olisiko Amazon ja Microsoft nimettävä pilvipalvelujensa, Amazon Web Services -palvelunsa ja Microsoft </w:t>
      </w:r>
      <w:proofErr w:type="spellStart"/>
      <w:r w:rsidRPr="00D53517">
        <w:t>Azure</w:t>
      </w:r>
      <w:proofErr w:type="spellEnd"/>
      <w:r w:rsidRPr="00D53517">
        <w:t xml:space="preserve"> -palvelunsa osalta portinvartijoiksi, ja ottaa huomioon, että toinen tutkimus käynnistettiin sen arvioimiseksi, ovatko digimarkkinasäädöksen mukaiset nykyiset velvoitteet tehokkaita kilpailullisuutta rajoittaviin tai epäoikeudenmukaisiin käytäntöihin puuttumisessa pilvipalvelualalla; ottaa huomioon, että tähän mennessä yhtäkään pilvipalvelujen tarjoajaa ei ole nimetty asetuksen nojalla portinvartijaksi;</w:t>
      </w:r>
    </w:p>
    <w:p w14:paraId="1F8A7C4D" w14:textId="77777777" w:rsidR="00D74B10" w:rsidRPr="00D53517" w:rsidRDefault="00D74B10" w:rsidP="00C27A81">
      <w:pPr>
        <w:pStyle w:val="NormalHanging12a"/>
        <w:widowControl/>
      </w:pPr>
      <w:r w:rsidRPr="00D53517">
        <w:t>Q.</w:t>
      </w:r>
      <w:r w:rsidRPr="00D53517">
        <w:tab/>
        <w:t>ottaa huomioon, että suuren mittakaavan laskentatehon, kehittyneiden tekoälymallien sekä data- ja pilvi-infrastruktuurin saatavuus voi luoda uusia rakenteellisia riippuvuuksia ja ekosysteemin lukkiutumisvaikutuksia, jotka voivat rajoittaa kilpailullisuutta, jos niitä ei käsitellä asianmukaisesti EU:n sääntelykehyksessä;</w:t>
      </w:r>
    </w:p>
    <w:p w14:paraId="1ECF55BD" w14:textId="77777777" w:rsidR="00D74B10" w:rsidRPr="00D53517" w:rsidRDefault="00D74B10" w:rsidP="00C27A81">
      <w:pPr>
        <w:pStyle w:val="NormalHanging12a"/>
        <w:widowControl/>
      </w:pPr>
      <w:r w:rsidRPr="00D53517">
        <w:t>R.</w:t>
      </w:r>
      <w:r w:rsidRPr="00D53517">
        <w:tab/>
        <w:t>katsoo, että komission riittävät institutionaaliset valmiudet, tekninen asiantuntemus ja resurssit ovat välttämättömiä, jotta voidaan varmistaa digimarkkinasäädöksen tehokas, riippumaton ja oikea-aikainen täytäntöönpano ja säilyttää sen uskottavuus ja pelotevaikutus;</w:t>
      </w:r>
    </w:p>
    <w:p w14:paraId="1318FD3E" w14:textId="77777777" w:rsidR="00D74B10" w:rsidRPr="00D53517" w:rsidRDefault="00D74B10" w:rsidP="00C27A81">
      <w:pPr>
        <w:pStyle w:val="NormalHanging12a"/>
        <w:widowControl/>
      </w:pPr>
      <w:r w:rsidRPr="00D53517">
        <w:t>S.</w:t>
      </w:r>
      <w:r w:rsidRPr="00D53517">
        <w:tab/>
        <w:t>ottaa huomioon, että digimarkkinasäädöksen mukaan komissio on velvollinen tarkastelemaan asetusta säännöllisesti uudelleen, mikä tarjoaa mahdollisuuden arvioida täytäntöönpanon tehokkuutta ja siitä kuluttajille koituvia hyötyjä, tunnistaa täytäntöönpanoon liittyviä haasteita ja varmistaa, että digimarkkinasäädös on edelleen tarkoituksenmukainen, kun otetaan huomioon teknologian ja markkinoiden kehitys ja tekoälyyn perustuvien ekosysteemien muuttuvat muodot;</w:t>
      </w:r>
    </w:p>
    <w:p w14:paraId="40B7F53C" w14:textId="77777777" w:rsidR="00D74B10" w:rsidRPr="00D53517" w:rsidRDefault="00D74B10" w:rsidP="00C27A81">
      <w:pPr>
        <w:pStyle w:val="NormalHanging12a"/>
        <w:widowControl/>
      </w:pPr>
      <w:r w:rsidRPr="00D53517">
        <w:t>1.</w:t>
      </w:r>
      <w:r w:rsidRPr="00D53517">
        <w:tab/>
        <w:t>vahvistaa, että digimarkkinasäädöksen tehokas, oikea-aikainen ja johdonmukainen täytäntöönpano sekä komission poliittinen tuki ovat olennaisen tärkeitä sisämarkkinoiden toiminnan turvaamiseksi ja konkreettisten hyötyjen varmistamiseksi kuluttajille, yrityskäyttäjille ja innovoijille kaikkialla EU:ssa;</w:t>
      </w:r>
    </w:p>
    <w:p w14:paraId="6C47E419" w14:textId="77777777" w:rsidR="00D74B10" w:rsidRPr="00D53517" w:rsidRDefault="00D74B10" w:rsidP="00C27A81">
      <w:pPr>
        <w:pStyle w:val="NormalHanging12a"/>
        <w:widowControl/>
      </w:pPr>
      <w:r w:rsidRPr="00D53517">
        <w:t>2.</w:t>
      </w:r>
      <w:r w:rsidRPr="00D53517">
        <w:tab/>
        <w:t>on huolissaan kolmansien maiden poliittisesta painostuksesta, kun ne vaativat EU:ta harkitsemaan digimarkkinasäädöstä uudelleen tai heikentämään sitä, ja korostaa, että tällainen ulkoinen sekaantuminen ei saa vaarantaa EU:n suvereniteettia ja riippumattomuutta määritellä omat sääntönsä ja valvoa niiden noudattamista; korostaa, että digimarkkinasäädöksen velvoitteita sovelletaan yhtäläisesti kaikkiin nimettyihin portinvartijoihin, jotka tarjoavat palveluja EU:ssa, riippumatta niiden sijoittautumispaikasta tai kansalaisuudesta;</w:t>
      </w:r>
    </w:p>
    <w:p w14:paraId="1D06831A" w14:textId="77777777" w:rsidR="00D74B10" w:rsidRPr="00D53517" w:rsidRDefault="00D74B10" w:rsidP="00C27A81">
      <w:pPr>
        <w:pStyle w:val="NormalHanging12a"/>
        <w:widowControl/>
      </w:pPr>
      <w:r w:rsidRPr="00D53517">
        <w:t>3.</w:t>
      </w:r>
      <w:r w:rsidRPr="00D53517">
        <w:tab/>
        <w:t xml:space="preserve">kehottaa komissiota hyödyntämään kokonaisuudessaan ennakoivasti kaikkia digimarkkinasäädöksessä säädettyjä täytäntöönpanovälineitä, markkinatutkimuksia, </w:t>
      </w:r>
      <w:r w:rsidRPr="00D53517">
        <w:lastRenderedPageBreak/>
        <w:t>mukaan lukien velvoitteiden noudattamatta jättämistä koskevia menettelyjä, tarkastuksia, väliaikaisia toimenpiteitä, sakkoja ja uhkasakkoja, toimien kiertämisen estämiseksi ja tehokkaan noudattamisen varmistamiseksi;</w:t>
      </w:r>
    </w:p>
    <w:p w14:paraId="1DE04534" w14:textId="77777777" w:rsidR="00D74B10" w:rsidRPr="00D53517" w:rsidRDefault="00D74B10" w:rsidP="00C27A81">
      <w:pPr>
        <w:pStyle w:val="NormalHanging12a"/>
        <w:widowControl/>
      </w:pPr>
      <w:r w:rsidRPr="00D53517">
        <w:t>4.</w:t>
      </w:r>
      <w:r w:rsidRPr="00D53517">
        <w:tab/>
        <w:t>korostaa, että vaikka komissiolla on yksinomainen toimivalta digimarkkinasäädöksen täytäntöönpanon valvonnassa, asetuksen tehokas, oikea-aikainen ja johdonmukainen soveltaminen kaikkialla EU:ssa edellyttää jäsenneltyä ja tiivistä yhteistyötä kansallisten kilpailuviranomaisten ja muiden asiaankuuluvien kansallisten julkisten elinten kanssa; korostaa, että nämä viranomaiset toimivat digimarkkinasäädöksellä käyttöön otetussa kehyksessä keskeisessä tukiroolissa muun muassa avustamalla tutkimuksia ja tarkastuksia, osallistumalla markkinoiden seurantaan ja helpottamalla tietojenvaihtoa, mikä vahvistaa digimarkkinasäädöksen tehokasta ja yhdenmukaista täytäntöönpanoa ja turvaa oikeudenmukaiset ja kilpailulliset digitaaliset markkinat kaikkialla EU:ssa;</w:t>
      </w:r>
    </w:p>
    <w:p w14:paraId="3FCB9DAE" w14:textId="77777777" w:rsidR="00D74B10" w:rsidRPr="00D53517" w:rsidRDefault="00D74B10" w:rsidP="00C27A81">
      <w:pPr>
        <w:pStyle w:val="NormalHanging12a"/>
        <w:widowControl/>
      </w:pPr>
      <w:r w:rsidRPr="00D53517">
        <w:t>5.</w:t>
      </w:r>
      <w:r w:rsidRPr="00D53517">
        <w:tab/>
        <w:t>korostaa, että markkinoiden avoimuuden varmistaminen, myös digimarkkinasäädöksen tehokkaan soveltamisen avulla, on olennainen osa tekoälyn soveltamisstrategian menestystä, jolla pyritään edistämään tekoälyn käyttöönottoa ja innovointia kaikkialla Euroopassa, koska tehokas kilpailullisuus digitaalisilla markkinoilla on avoimen ja oikeudenmukaisen eurooppalaisen tekoälyekosysteemin ennakkoedellytys;</w:t>
      </w:r>
    </w:p>
    <w:p w14:paraId="016CE220" w14:textId="77777777" w:rsidR="00D74B10" w:rsidRPr="00D53517" w:rsidRDefault="00D74B10" w:rsidP="00C27A81">
      <w:pPr>
        <w:pStyle w:val="NormalHanging12a"/>
        <w:widowControl/>
      </w:pPr>
      <w:r w:rsidRPr="00D53517">
        <w:t>6.</w:t>
      </w:r>
      <w:r w:rsidRPr="00D53517">
        <w:tab/>
        <w:t>kehottaa komissiota saattamaan velvoitteiden noudattamatta jättämistä koskevat menettelyt päätökseen ilman aiheetonta viivytystä ja varmistamaan oikea-aikaisen täytäntöönpanon digimarkkinasäädöksen nojalla erityisesti noudattamalla sekä sitovia että ohjeellisia määräaikoja ja tiedottamaan parlamentille asianmukaisesti täytäntöönpanon edistymisestä; korostaa, että menettelyjen vaiheiden ja aikataulujen avoimuutta on lisättävä, jotta parlamentti ja erityisesti sisämarkkina- ja kuluttajansuojavaliokunnan digimarkkinasäädöstä käsittelevä työryhmä voivat käyttää valvontavaltaansa; kehottaa komissiota tiedottamaan parlamentille ennakoivasti ja säännöllisesti digimarkkinasäädöksen täytäntöönpanon tilanteesta, mukaan lukien sääntelyä koskevan vuoropuhelun kehitys, korkean tason työryhmän toiminta ja esityslista, asiaankuuluvat komission tilaamat tutkimukset ja kaikki muut tiedot, joita parlamentti tarvitsee valvontatehtävänsä hoitamiseksi;</w:t>
      </w:r>
    </w:p>
    <w:p w14:paraId="492B84CC" w14:textId="77777777" w:rsidR="00D74B10" w:rsidRPr="00D53517" w:rsidRDefault="00D74B10" w:rsidP="00C27A81">
      <w:pPr>
        <w:pStyle w:val="NormalHanging12a"/>
        <w:widowControl/>
      </w:pPr>
      <w:r w:rsidRPr="00D53517">
        <w:t>7.</w:t>
      </w:r>
      <w:r w:rsidRPr="00D53517">
        <w:tab/>
        <w:t>kehottaa komissiota hyödyntämään täysin korkean tason työryhmää; korostaa sääntelyviranomaisten välisen tehokkaan koordinoinnin merkitystä, kun otetaan huomioon uusien sääntöjen ja digitaalisilla markkinoilla toimivien sääntelyviranomaisten suuri määrä;</w:t>
      </w:r>
    </w:p>
    <w:p w14:paraId="25924F2B" w14:textId="77777777" w:rsidR="00D74B10" w:rsidRPr="00D53517" w:rsidRDefault="00D74B10" w:rsidP="00C27A81">
      <w:pPr>
        <w:pStyle w:val="NormalHanging12a"/>
        <w:widowControl/>
      </w:pPr>
      <w:r w:rsidRPr="00D53517">
        <w:t>8.</w:t>
      </w:r>
      <w:r w:rsidRPr="00D53517">
        <w:tab/>
        <w:t>korostaa, että digimarkkinasäädöksen noudattamista on arvioitava niiden käytännön ja todellisten vaikutusten perusteella, joita sillä on markkinoiden avoimuuteen, kilpailuun, innovointiin ja käyttäjien valinnanvaraan, millä varmistetaan oikeusvarmuus, ennustettavuus ja yhdenvertainen kohtelu;</w:t>
      </w:r>
    </w:p>
    <w:p w14:paraId="78F3E761" w14:textId="77777777" w:rsidR="00D74B10" w:rsidRPr="00D53517" w:rsidRDefault="00D74B10" w:rsidP="00C27A81">
      <w:pPr>
        <w:pStyle w:val="NormalHanging12a"/>
        <w:widowControl/>
      </w:pPr>
      <w:r w:rsidRPr="00D53517">
        <w:t>9.</w:t>
      </w:r>
      <w:r w:rsidRPr="00D53517">
        <w:tab/>
        <w:t xml:space="preserve">kehottaa komissiota puuttumaan tietojen epäsymmetriaan vahvistamalla mekanismeja, joiden avulla yrityskäyttäjät ja loppukäyttäjät voivat tosiasiallisesti käyttää digimarkkinasäädöksen mukaisia oikeuksiaan, mukaan lukien valinnanvapauteen, tietojen saatavuuteen, </w:t>
      </w:r>
      <w:proofErr w:type="spellStart"/>
      <w:r w:rsidRPr="00D53517">
        <w:t>yhteentoimivuuteen</w:t>
      </w:r>
      <w:proofErr w:type="spellEnd"/>
      <w:r w:rsidRPr="00D53517">
        <w:t>, syrjimättömyyteen ja kostotoimien välttämiseen liittyvät oikeudet, helposti saatavilla olevien ja turvallisten ilmoitus- ja valituskanavien, kostotoimien vastaisten suojatoimien sekä digimarkkinasäädöksessä säädettyjä oikeuksia ja oikeussuojakeinoja koskevan tietoisuuden parantamisen avulla, ja ottamaan huomioon, että digimarkkinasäädöksen tehokkuus riippuu vaikutusvaltaisista loppukäyttäjistä;</w:t>
      </w:r>
    </w:p>
    <w:p w14:paraId="40006E5F" w14:textId="77777777" w:rsidR="00D74B10" w:rsidRPr="00D53517" w:rsidRDefault="00D74B10" w:rsidP="00C27A81">
      <w:pPr>
        <w:pStyle w:val="NormalHanging12a"/>
        <w:widowControl/>
      </w:pPr>
      <w:r w:rsidRPr="00D53517">
        <w:lastRenderedPageBreak/>
        <w:t>10.</w:t>
      </w:r>
      <w:r w:rsidRPr="00D53517">
        <w:tab/>
        <w:t xml:space="preserve">kehottaa komissiota asettamaan etusijalle </w:t>
      </w:r>
      <w:proofErr w:type="spellStart"/>
      <w:r w:rsidRPr="00D53517">
        <w:t>yhteentoimivuutta</w:t>
      </w:r>
      <w:proofErr w:type="spellEnd"/>
      <w:r w:rsidRPr="00D53517">
        <w:t>, tietojen saatavuutta, tietojen siirrettävyyttä, ohjailun ja omien tuotteiden ja palvelujen suosimisen estämistä koskevien velvoitteiden tiukan täytäntöönpanon, myös silloin, kun oletusasetukset, tekniset integroinnit tai alustaekosysteemien suunnittelu aiheuttavat kilpailuhaittaa; kehottaa komissiota ottamaan täytäntöönpanon painopisteitä asettaessaan asianmukaisesti huomioon merkityksellisen markkinakehityksen ja sovellettavien EU:n välineiden, myös datasäädöksen</w:t>
      </w:r>
      <w:r w:rsidRPr="00D53517">
        <w:rPr>
          <w:rStyle w:val="FootnoteReference"/>
        </w:rPr>
        <w:footnoteReference w:id="12"/>
      </w:r>
      <w:r w:rsidRPr="00D53517">
        <w:t>, välisen vuorovaikutuksen; toteaa, että tietyissä tapauksissa portinvartijoiden vuorovaikutus kilpailijoiden ja liikekumppaneiden kanssa voi vaikuttaa digimarkkinasäädöksen tehokkaaseen täytäntöönpanoon ja noudattamisen valvontaan erityisesti tilanteissa, joissa on ilmaistu huolenaiheita liiketoimintakäytäntöjen oikeudenmukaisuudesta;</w:t>
      </w:r>
    </w:p>
    <w:p w14:paraId="6B970F58" w14:textId="77777777" w:rsidR="00D74B10" w:rsidRPr="00D53517" w:rsidRDefault="00D74B10" w:rsidP="00C27A81">
      <w:pPr>
        <w:pStyle w:val="NormalHanging12a"/>
        <w:widowControl/>
      </w:pPr>
      <w:r w:rsidRPr="00D53517">
        <w:t>11.</w:t>
      </w:r>
      <w:r w:rsidRPr="00D53517">
        <w:tab/>
        <w:t xml:space="preserve">kehottaa komissiota jatkamaan työtään, jotta voidaan mahdollistaa viestipalvelujen </w:t>
      </w:r>
      <w:proofErr w:type="spellStart"/>
      <w:r w:rsidRPr="00D53517">
        <w:t>yhteentoimivuus</w:t>
      </w:r>
      <w:proofErr w:type="spellEnd"/>
      <w:r w:rsidRPr="00D53517">
        <w:t xml:space="preserve"> pienempien kolmansien osapuolten viestisovellusten kanssa pyynnöstä, jotta käyttäjät voivat vaihtaa tekstejä, tiedostoja ja ääni-/videopuheluja eri alustojen välillä säilyttäen samalla päästä päähän -salauksen;</w:t>
      </w:r>
    </w:p>
    <w:p w14:paraId="1D34A532" w14:textId="77777777" w:rsidR="00D74B10" w:rsidRPr="00D53517" w:rsidRDefault="00D74B10" w:rsidP="00C27A81">
      <w:pPr>
        <w:pStyle w:val="NormalHanging12a"/>
        <w:widowControl/>
      </w:pPr>
      <w:r w:rsidRPr="00D53517">
        <w:t>12.</w:t>
      </w:r>
      <w:r w:rsidRPr="00D53517">
        <w:tab/>
        <w:t xml:space="preserve">ilmaisee vakavan huolensa Googlen omia tuotteita ja palveluja suosivista käytännöistä sen haku-, ostos-, matkustus- ja videopalveluissa, sillä ne vääristävät edelleen kilpailua ja rajoittavat kuluttajien valinnanvaraa; panee merkille, että tuotemainokset ovat edelleen näkyvästi hakutulosten kärjessä, mikä pitää yllä määräävän aseman mallia ja avoimuuden puutetta, jotka heikentävät digimarkkinasäädöksen tarkoitusta; muistuttaa, että digimarkkinasäädöksen 6 artiklan 5 kohdan nojalla tehdyt alustavat havainnot osoittavat, että Google käyttää visuaalisia tehokeinoja ja näkyvämpää esittämistä suosiakseen omia palvelujaan, joita ovat esimerkiksi Google </w:t>
      </w:r>
      <w:proofErr w:type="spellStart"/>
      <w:r w:rsidRPr="00D53517">
        <w:t>Shopping</w:t>
      </w:r>
      <w:proofErr w:type="spellEnd"/>
      <w:r w:rsidRPr="00D53517">
        <w:t xml:space="preserve">, Google </w:t>
      </w:r>
      <w:proofErr w:type="spellStart"/>
      <w:r w:rsidRPr="00D53517">
        <w:t>Flights</w:t>
      </w:r>
      <w:proofErr w:type="spellEnd"/>
      <w:r w:rsidRPr="00D53517">
        <w:t xml:space="preserve"> ja Google </w:t>
      </w:r>
      <w:proofErr w:type="spellStart"/>
      <w:r w:rsidRPr="00D53517">
        <w:t>Hotels</w:t>
      </w:r>
      <w:proofErr w:type="spellEnd"/>
      <w:r w:rsidRPr="00D53517">
        <w:t xml:space="preserve">, mikä rajoittaa kilpailijoiden oikeudenmukaista pääsyä markkinoille ja vahvistaa sen markkinavoimaa; muistuttaa, että kansallisten tuomioistuinten äskettäin käsittelemissä tapauksissa on vahvistettu, että Googlen omia tuotteita ja palveluja suosivat käytännöt hakupalveluissa vahingoittivat kilpailevia vertailualustoja, kuten Berliinin alioikeuden asiassa </w:t>
      </w:r>
      <w:proofErr w:type="spellStart"/>
      <w:r w:rsidRPr="00D53517">
        <w:t>Idealo</w:t>
      </w:r>
      <w:proofErr w:type="spellEnd"/>
      <w:r w:rsidRPr="00D53517">
        <w:t xml:space="preserve"> v. Google vuonna 2025 antama tuomio osoittaa; korostaa, että portinvartijoiden yritykset jatkaa digimarkkinasäädöksen noudattamatta jättämistä tai viivyttää sen noudattamista voivat näin ollen altistaa ne merkittävälle taloudelliselle vastuulle seurannaiskanteiden kautta;</w:t>
      </w:r>
    </w:p>
    <w:p w14:paraId="07B23D51" w14:textId="77777777" w:rsidR="00D74B10" w:rsidRPr="00D53517" w:rsidRDefault="00D74B10" w:rsidP="00C27A81">
      <w:pPr>
        <w:pStyle w:val="NormalHanging12a"/>
        <w:widowControl/>
      </w:pPr>
      <w:r w:rsidRPr="00D53517">
        <w:t>13.</w:t>
      </w:r>
      <w:r w:rsidRPr="00D53517">
        <w:tab/>
        <w:t>korostaa, että kun Google sisällyttää hakuprosesseihinsa tekoälyn, yritys voi yhä enemmän hallita koko kuluttajan ostopolkua – hausta ja suosituksista ostoaikeeseen –, mikä marginalisoi kilpailevia palveluja entisestään ja heikentää kuluttajien kykyä tehdä itsenäisiä valintoja; korostaa, että tämä dynamiikka uhkaa tehdä riippumattomista kauppiaista pelkkiä jakelukanavia Googlelle, mikä heijastaa aiempia ja aiemmin rajoitettuja yrityksiä hallita kauppaa, ja että ilman digimarkkinasäädöksen mukaisia selkeitä suojatoimia nämä käytännöt voivat vakiintua entisestään;</w:t>
      </w:r>
    </w:p>
    <w:p w14:paraId="5BE71135" w14:textId="77777777" w:rsidR="00D74B10" w:rsidRPr="00D53517" w:rsidRDefault="00D74B10" w:rsidP="00C27A81">
      <w:pPr>
        <w:pStyle w:val="NormalHanging12a"/>
        <w:widowControl/>
      </w:pPr>
      <w:r w:rsidRPr="00D53517">
        <w:t>14.</w:t>
      </w:r>
      <w:r w:rsidRPr="00D53517">
        <w:tab/>
        <w:t>panee merkille vaihtoehtoisten sovellusmarkkinapaikkojen ilmaantumisen iOS</w:t>
      </w:r>
      <w:r w:rsidRPr="00D53517">
        <w:noBreakHyphen/>
        <w:t xml:space="preserve">käyttöjärjestelmään sisämarkkinoilla, mutta ilmaisee huolensa siitä, että niiden käytännön toteutettavuus ja skaalautuvuus ovat edelleen rajallisia käyttäjien ostopolun suunnittelun sekä rajoittavien taloudellisten ja sopimusehtojen vuoksi; korostaa, että </w:t>
      </w:r>
      <w:r w:rsidRPr="00D53517">
        <w:lastRenderedPageBreak/>
        <w:t>portinvartijat järjestävät maksujaan uudelleen siten, että kehittäjät ovat nyt huonommassa asemassa kuin ennen digimarkkinasäädöstä vallinneessa tilanteessa; kehottaa komissiota arvioimaan, ovatko Applen käyttöehdot oikeudenmukaiset ja syrjimättömät, kuten digimarkkinasäädöksen 6 artiklan 12 kohdassa edellytetään;</w:t>
      </w:r>
    </w:p>
    <w:p w14:paraId="7168F4D8" w14:textId="167E93F8" w:rsidR="00E1570F" w:rsidRPr="00D53517" w:rsidRDefault="00B9630B" w:rsidP="00C27A81">
      <w:pPr>
        <w:pStyle w:val="NormalHanging12a"/>
        <w:widowControl/>
        <w:rPr>
          <w:bCs/>
          <w:iCs/>
        </w:rPr>
      </w:pPr>
      <w:r w:rsidRPr="00D53517">
        <w:rPr>
          <w:bCs/>
          <w:iCs/>
        </w:rPr>
        <w:t>15.</w:t>
      </w:r>
      <w:r w:rsidRPr="00D53517">
        <w:rPr>
          <w:bCs/>
          <w:iCs/>
        </w:rPr>
        <w:tab/>
      </w:r>
      <w:r w:rsidR="00E1570F" w:rsidRPr="00D53517">
        <w:rPr>
          <w:bCs/>
          <w:iCs/>
        </w:rPr>
        <w:t>panee merkille, että tietyt portinvartijat, kuten esimerkiksi Google äskettäin ilmoitti, vetoavat turvallisuus- ja kyberturvallisuussyihin asettaakseen sovellusten kehittäjille rekisteröinti- ja tunnistautumisvaatimuksia, mikä rajoittaa tosiasiallista pääsyä sovellusten vaihtoehtoisiin jakelukanaviin tavalla, joka voi olla ristiriidassa digimarkkinasäädöksen 6 artiklan 4 kohdan kanssa; kehottaa siksi komissiota tutkimaan, ovatko turvallisuuteen liittyvät toimenpiteet, joihin on vedottu, ehdottoman välttämättömiä ja oikeasuhteisia, ja varmistamaan, että niitä ei käytetä tekosyynä kiertää digimarkkinasäädöksen tavoitetta mahdollistaa kolmansien osapuolten aito pääsy ohjelmistoihin, varmistaa oikeudenmukaiset, kohtuulliset ja syrjimättömät pääsyehdot ja turvata samalla kehittäjien mahdollisuus ohjata käyttäjiä vaihtoehtoisiin jakelukanaviin;</w:t>
      </w:r>
    </w:p>
    <w:p w14:paraId="4A8C14B7" w14:textId="7C9AECE7" w:rsidR="00D74B10" w:rsidRPr="00D53517" w:rsidRDefault="00B9630B" w:rsidP="00C27A81">
      <w:pPr>
        <w:pStyle w:val="NormalHanging12a"/>
        <w:widowControl/>
      </w:pPr>
      <w:r w:rsidRPr="00D53517">
        <w:t>16</w:t>
      </w:r>
      <w:r w:rsidR="00D74B10" w:rsidRPr="00D53517">
        <w:t>.</w:t>
      </w:r>
      <w:r w:rsidR="00D74B10" w:rsidRPr="00D53517">
        <w:tab/>
        <w:t xml:space="preserve">muistuttaa, että digimarkkinasäädöksen 5 artiklan 4 kohdan mukaan yrityskäyttäjien olisi voitava ilmoittaa loppukäyttäjille maksutta vaihtoehtoisista tarjouksista ja ohjata heidät näihin tarjouksiin ja tekemään sopimuksia; panee merkille, että digimarkkinasäädöksen johdanto-osan 40 kappaleessa todetaan, että on mahdollista saada korvaus loppukäyttäjän alkuperäisen hankkimisen helpottamisesta, mutta korostaa, että tällaisen korvauksen on rajoituttava tiukasti alkuperäiseen hankintaan, sen on oltava oikeasuhteinen eikä se saa heikentää ohjausta käytännössä; kehottaa komissiota varmistamaan, että Applen uudelleen muotoiltuja käyttöehtoja arvioidaan perusteellisesti suhteessa digimarkkinasäädöksen vaatimukseen, joka koskee kaikkia ohjaukseen liittyviä maksuja, ja että kaikkia kiertämisyrityksiä valvotaan tarkasti ja tarvittaessa niistä määrätään seuraamuksia odottamatta Yhdysvalloissa asiassa </w:t>
      </w:r>
      <w:proofErr w:type="spellStart"/>
      <w:r w:rsidR="00D74B10" w:rsidRPr="00D53517">
        <w:t>Epic</w:t>
      </w:r>
      <w:proofErr w:type="spellEnd"/>
      <w:r w:rsidR="00D74B10" w:rsidRPr="00D53517">
        <w:t xml:space="preserve"> </w:t>
      </w:r>
      <w:proofErr w:type="spellStart"/>
      <w:r w:rsidR="00D74B10" w:rsidRPr="00D53517">
        <w:t>Games</w:t>
      </w:r>
      <w:proofErr w:type="spellEnd"/>
      <w:r w:rsidR="00D74B10" w:rsidRPr="00D53517">
        <w:t xml:space="preserve"> v. Apple käynnissä olevan oikeusprosessin tulosta; korostaa, että EU:n lainsäädännön täytäntöönpanoa olisi jatkettava kolmansien maiden oikeudenkäynneistä riippumatta;</w:t>
      </w:r>
    </w:p>
    <w:p w14:paraId="7B0390FC" w14:textId="341B0BA0" w:rsidR="00D74B10" w:rsidRPr="00D53517" w:rsidRDefault="00B9630B" w:rsidP="00C27A81">
      <w:pPr>
        <w:pStyle w:val="NormalHanging12a"/>
        <w:widowControl/>
      </w:pPr>
      <w:r w:rsidRPr="00D53517">
        <w:t>17</w:t>
      </w:r>
      <w:r w:rsidR="00D74B10" w:rsidRPr="00D53517">
        <w:t>.</w:t>
      </w:r>
      <w:r w:rsidR="00D74B10" w:rsidRPr="00D53517">
        <w:tab/>
        <w:t xml:space="preserve">on huolissaan </w:t>
      </w:r>
      <w:proofErr w:type="spellStart"/>
      <w:r w:rsidR="00D74B10" w:rsidRPr="00D53517">
        <w:t>ByteDancen</w:t>
      </w:r>
      <w:proofErr w:type="spellEnd"/>
      <w:r w:rsidR="00D74B10" w:rsidRPr="00D53517">
        <w:t xml:space="preserve"> ylläpitämästä </w:t>
      </w:r>
      <w:proofErr w:type="spellStart"/>
      <w:r w:rsidR="00D74B10" w:rsidRPr="00D53517">
        <w:t>TikTokista</w:t>
      </w:r>
      <w:proofErr w:type="spellEnd"/>
      <w:r w:rsidR="00D74B10" w:rsidRPr="00D53517">
        <w:t xml:space="preserve"> ja sen alustalla olevista suostumusruuduista, jotka perustuvat voimakkaasti käyttäytymiseen liittyviin tekniikoihin käyttäjän suostumuksen saamiseksi; toteaa, että tällaiset käytännöt voivat heikentää tietoon perustuvan ja vapaaehtoisesti annetun suostumuksen periaatteita ja olla vastoin digimarkkinasäädöksen 5 artiklan 2 kohtaa; korostaa, että suostumuksen antamiseen käytettävien mekanismien on oltava avoimia, käyttäjäystävällisiä ja aidosti vapaaehtoisia eivätkä ne saa sisältää manipuloivaa suunnittelua tai psykologista painostusta; kehottaa komissiota seuraamaan tiiviisti mekanismeja, joita </w:t>
      </w:r>
      <w:proofErr w:type="spellStart"/>
      <w:r w:rsidR="00D74B10" w:rsidRPr="00D53517">
        <w:t>TikTok</w:t>
      </w:r>
      <w:proofErr w:type="spellEnd"/>
      <w:r w:rsidR="00D74B10" w:rsidRPr="00D53517">
        <w:t xml:space="preserve"> käyttää suostumuksen antamiseen, ja varmistamaan, että kaikki säännösten vastaiset mekanismit korjataan viipymättä käyttäjien itsemääräämisoikeuden ja digitaalisten oikeuksien säilyttämiseksi;</w:t>
      </w:r>
    </w:p>
    <w:p w14:paraId="52DE11F3" w14:textId="0C99DAC3" w:rsidR="00D74B10" w:rsidRPr="00D53517" w:rsidRDefault="00B9630B" w:rsidP="00C27A81">
      <w:pPr>
        <w:pStyle w:val="NormalHanging12a"/>
        <w:widowControl/>
      </w:pPr>
      <w:r w:rsidRPr="00D53517">
        <w:t>18</w:t>
      </w:r>
      <w:r w:rsidR="00D74B10" w:rsidRPr="00D53517">
        <w:t>.</w:t>
      </w:r>
      <w:r w:rsidR="00D74B10" w:rsidRPr="00D53517">
        <w:tab/>
        <w:t xml:space="preserve">panee merkille, että on tärkeää, että Microsoft noudattaa tosiasiallisesti digimarkkinasäädöksen 6 artiklan 3 kohtaa, erityisesti velvoitetta antaa loppukäyttäjille mahdollisuus muuttaa helposti Windows-käyttöjärjestelmänsä oletusasetuksia ja käyttää kilpailevia palveluja kitkattomasti; toteaa, että Bingin sisällyttäminen oletusarvoisena verkkohaun tulosten palveluntarjoajana Windowsin tehtäväpalkissa ja sen vaihtamisen hankaluudet voivat ohjata käyttäjiä aiheettomasti käyttämään Microsoftin omia palveluja ja rajoittaa käyttäjien tosiasiallista valinnanvaraa; muistuttaa, että Microsoft on toimittanut komissiolle noudattamista koskevia toimenpiteitä, mutta ilmaisee huolensa niiden käytännön vaikutuksista, mukaan lukien mahdolliset esteet tehokkaalle </w:t>
      </w:r>
      <w:proofErr w:type="spellStart"/>
      <w:r w:rsidR="00D74B10" w:rsidRPr="00D53517">
        <w:lastRenderedPageBreak/>
        <w:t>yhteentoimivuudelle</w:t>
      </w:r>
      <w:proofErr w:type="spellEnd"/>
      <w:r w:rsidR="00D74B10" w:rsidRPr="00D53517">
        <w:t xml:space="preserve"> Windows-ekosysteemissä; muistuttaa, että komission olisi edelleen arvioitava tiiviisti näitä toimenpiteitä, jotta voidaan varmistaa käyttäjien tosiasiallinen valinnanmahdollisuus sekä oikeudenmukainen ja kilpailullinen toimintaympäristö kolmansille palveluntarjoajille käytännössä, erityisesti silloin, kun sovellusrajapintojen rajallinen tai hidas käyttöönotto muita kuin Microsoftin palveluja varten voi estää kolmansia kehittäjiä tarjoamasta loppukäyttäjille vertailukelpoista kokemusta;</w:t>
      </w:r>
    </w:p>
    <w:p w14:paraId="2C63819A" w14:textId="056A11F5" w:rsidR="00D74B10" w:rsidRPr="00D53517" w:rsidRDefault="00B9630B" w:rsidP="00C27A81">
      <w:pPr>
        <w:pStyle w:val="NormalHanging12a"/>
        <w:widowControl/>
      </w:pPr>
      <w:r w:rsidRPr="00D53517">
        <w:t>19</w:t>
      </w:r>
      <w:r w:rsidR="00D74B10" w:rsidRPr="00D53517">
        <w:t>.</w:t>
      </w:r>
      <w:r w:rsidR="00D74B10" w:rsidRPr="00D53517">
        <w:tab/>
        <w:t xml:space="preserve">panee huolestuneena merkille matkailualan eri sidosryhmien esittämät tiedot välityspalkkioiden edelleen vallitsevasta korkeasta tasosta ja siitä, että Booking.com käyttää edelleen käytäntöjä, jotka vaikuttavat vastaavan kiellettyjä pariteettilausekkeita, mukaan lukien hotellien tulosohjelmat, jotka perustuvat läpinäkymättömiin kriteereihin, ja jatkuvat vaikeudet jättäytyä </w:t>
      </w:r>
      <w:proofErr w:type="spellStart"/>
      <w:r w:rsidR="00D74B10" w:rsidRPr="00D53517">
        <w:t>Booking.comin</w:t>
      </w:r>
      <w:proofErr w:type="spellEnd"/>
      <w:r w:rsidR="00D74B10" w:rsidRPr="00D53517">
        <w:t xml:space="preserve"> sponsoroitujen maksujärjestelmien ulkopuolelle; muistuttaa, että kansalliset kilpailuviranomaiset, esimerkiksi Ranskan ja Espanjan kilpailuviranomaiset, ovat määränneet </w:t>
      </w:r>
      <w:proofErr w:type="spellStart"/>
      <w:r w:rsidR="00D74B10" w:rsidRPr="00D53517">
        <w:t>Booking.comille</w:t>
      </w:r>
      <w:proofErr w:type="spellEnd"/>
      <w:r w:rsidR="00D74B10" w:rsidRPr="00D53517">
        <w:t xml:space="preserve"> seuraamuksia pariteettilausekkeista; kehottaa komissiota arvioimaan verkossa toimivan matkailualan nykyistä kilpailullisuutta sen jälkeen, kun Booking.com nimettiin portinvartijaksi, ja ryhtymään määrätietoisiin toimiin sen mukaisesti;</w:t>
      </w:r>
    </w:p>
    <w:p w14:paraId="006FC11F" w14:textId="513F9070" w:rsidR="00D74B10" w:rsidRPr="00D53517" w:rsidRDefault="00B9630B" w:rsidP="00C27A81">
      <w:pPr>
        <w:pStyle w:val="NormalHanging12a"/>
        <w:widowControl/>
      </w:pPr>
      <w:r w:rsidRPr="00D53517">
        <w:t>20</w:t>
      </w:r>
      <w:r w:rsidR="00D74B10" w:rsidRPr="00D53517">
        <w:t>.</w:t>
      </w:r>
      <w:r w:rsidR="00D74B10" w:rsidRPr="00D53517">
        <w:tab/>
        <w:t>panee merkille, että Meta on pannut täytäntöön heinäkuussa 2025 käynnistetyn uuden kolmannen ”maksa tai anna suostumus” -vaihtoehdon, jolla rajoitetaan personoitua mainontaa komission huhtikuussa 2025 määräämän sakon jälkeen; kehottaa komissiota varmistamaan, että Meta tarjoaa käyttäjille nyt aidosti neutraalin valinnanmahdollisuuden, että kolmansien osapuolten pääsy Metan palveluihin on oikeudenmukaista ja esteetöntä ja että digimarkkinasäädöksen vaatimusten kiertämistä valvotaan tarkasti ja siitä määrätään tarvittaessa seuraamuksia;</w:t>
      </w:r>
    </w:p>
    <w:p w14:paraId="5A508360" w14:textId="0E94E784" w:rsidR="00D74B10" w:rsidRPr="00D53517" w:rsidRDefault="00B9630B" w:rsidP="00C27A81">
      <w:pPr>
        <w:pStyle w:val="NormalHanging12a"/>
        <w:widowControl/>
      </w:pPr>
      <w:r w:rsidRPr="00D53517">
        <w:t>21</w:t>
      </w:r>
      <w:r w:rsidR="00D74B10" w:rsidRPr="00D53517">
        <w:t>.</w:t>
      </w:r>
      <w:r w:rsidR="00D74B10" w:rsidRPr="00D53517">
        <w:tab/>
        <w:t>on huolissaan älytelevisioita koskevista käytännöistä, jotka jäljittelevät Androidin aiemmin älypuhelimissa harjoittamia kilpailunvastaisia käytäntöjä; korostaa, että pieni määrä suuria teknologiayrityksiä ei saa valvoa audiovisuaalisten mediapalvelujen saatavuutta älytelevisioissa ja että avoimet, oikeudenmukaiset ja kilpaillut markkinat ovat olennaisen tärkeät moniarvoisen ja monimuotoisen mediaympäristön kannalta; korostaa älytelevisioiden käyttöjärjestelmien osalta, että tällaisten käyttöjärjestelmien suuret tarjoajat valvovat pääsyä monisuuntaisille markkinoille katselun, mainonnan ja datan osalta; panee merkille, että vastaavaa portinvartijoiden määräysvaltaa käyttäjien liityntäpisteisiin voi esiintyä muissa verkotetuissa ympäristöissä, joissa käyttöjärjestelmät tai virtuaaliavustajat välittävät pääsyn palveluihin, mukaan lukien ajoneuvon sisäiset tietoviihdejärjestelmät; kehottaa komissiota seuraamaan tarkasti tätä markkinasegmenttiä ja ryhtymään tarvittaessa asianmukaisiin toimiin;</w:t>
      </w:r>
    </w:p>
    <w:p w14:paraId="5DCCCDCB" w14:textId="018269BB" w:rsidR="00D74B10" w:rsidRPr="00D53517" w:rsidRDefault="00B9630B" w:rsidP="00C27A81">
      <w:pPr>
        <w:pStyle w:val="NormalHanging12a"/>
        <w:widowControl/>
      </w:pPr>
      <w:r w:rsidRPr="00D53517">
        <w:t>22</w:t>
      </w:r>
      <w:r w:rsidR="00D74B10" w:rsidRPr="00D53517">
        <w:t>.</w:t>
      </w:r>
      <w:r w:rsidR="00D74B10" w:rsidRPr="00D53517">
        <w:tab/>
        <w:t>korostaa loppukäyttäjien tärkeää roolia digimarkkinasäädöksen tavoitteiden saavuttamisessa ja korostaa, että on tärkeää varmistaa, että käyttöliittymät, suostumuksen antamiseen käytettävät mekanismit ja valinta-arkkitehtuurit ovat neutraaleja, helppokäyttöisiä, ymmärrettäviä ja ei-manipuloivia, jotta käyttäjät voivat käyttää oikeuksiaan tehokkaasti ja kitkattomasti;</w:t>
      </w:r>
    </w:p>
    <w:p w14:paraId="14FFDAD6" w14:textId="031ED5F2" w:rsidR="00D74B10" w:rsidRPr="00D53517" w:rsidRDefault="00B9630B" w:rsidP="00C27A81">
      <w:pPr>
        <w:pStyle w:val="NormalHanging12a"/>
        <w:widowControl/>
      </w:pPr>
      <w:r w:rsidRPr="00D53517">
        <w:t>23</w:t>
      </w:r>
      <w:r w:rsidR="00D74B10" w:rsidRPr="00D53517">
        <w:t>.</w:t>
      </w:r>
      <w:r w:rsidR="00D74B10" w:rsidRPr="00D53517">
        <w:tab/>
        <w:t>kehottaa komissiota varmistamaan digimarkkinasäädöksen yhdenmukaisen ja tulevaisuuden vaatimukset täyttävän soveltamisen teknologian kehitykseen puuttumalla tekoälyyn perustuviin palveluihin ja pilvipohjaisiin infrastruktuureihin oikea-aikaisesti, jotta estetään uudet lukitsemiseen, markkinoiden sulkemiseen tai portinvartijoihin liittyvien käytäntöjen muodot silloinkin, kun portinvartijat hyödyntävät datan valvontaa, laskentaresursseja tai integroituja palveluita uusien tekoälyn kehittäjien ja innovatiivisten markkinatulokkaiden kustannuksella;</w:t>
      </w:r>
    </w:p>
    <w:p w14:paraId="367B0169" w14:textId="5102626E" w:rsidR="00D74B10" w:rsidRPr="00D53517" w:rsidRDefault="00B9630B" w:rsidP="00C27A81">
      <w:pPr>
        <w:pStyle w:val="NormalHanging12a"/>
        <w:widowControl/>
      </w:pPr>
      <w:r w:rsidRPr="00D53517">
        <w:lastRenderedPageBreak/>
        <w:t>24</w:t>
      </w:r>
      <w:r w:rsidR="00D74B10" w:rsidRPr="00D53517">
        <w:t>.</w:t>
      </w:r>
      <w:r w:rsidR="00D74B10" w:rsidRPr="00D53517">
        <w:tab/>
        <w:t>kehottaa komissiota varmistamaan digimarkkinasäädöksen, datasäädöksen ja tekoälysäädöksen</w:t>
      </w:r>
      <w:r w:rsidR="00D74B10" w:rsidRPr="00D53517">
        <w:rPr>
          <w:rStyle w:val="FootnoteReference"/>
        </w:rPr>
        <w:footnoteReference w:id="13"/>
      </w:r>
      <w:r w:rsidR="00D74B10" w:rsidRPr="00D53517">
        <w:t xml:space="preserve"> täydentävyyden, johdonmukaisuuden ja oikeusvarmuuden muun muassa koordinoidun ohjauksen ja täytäntöönpanon avulla;</w:t>
      </w:r>
    </w:p>
    <w:p w14:paraId="27F1DF6E" w14:textId="575083E8" w:rsidR="00D74B10" w:rsidRPr="00D53517" w:rsidRDefault="00B9630B" w:rsidP="00C27A81">
      <w:pPr>
        <w:pStyle w:val="NormalHanging12a"/>
        <w:widowControl/>
      </w:pPr>
      <w:r w:rsidRPr="00D53517">
        <w:t>25</w:t>
      </w:r>
      <w:r w:rsidR="00D74B10" w:rsidRPr="00D53517">
        <w:t>.</w:t>
      </w:r>
      <w:r w:rsidR="00D74B10" w:rsidRPr="00D53517">
        <w:tab/>
        <w:t>suhtautuu myönteisesti komission ensimmäisiin digimarkkinasäädöksen mukaisiin velvoitteiden noudattamatta jättämistä koskeviin päätöksiin, sillä ne ovat tärkeä askel tehokkaan täytäntöönpanon varmistamisessa, mutta pitää valitettavana, että näiden päätösten soveltamisala on edelleen rajallinen eikä niillä vielä puututa kaikkiin yrityskäyttäjien ja muiden sidosryhmien havaitsemiin ongelmallisiin portinvartijakäytäntöihin; pitää lisäksi valitettavana, että määrätyt sakot ovat suhteellisen vaatimattomia rikkomusten laajuuteen ja nimettyjen portinvartijoiden taloudelliseen valtaan nähden, mikä saattaa johtaa riittämättömään pelotevaikutukseen eikä vastaa asetuksen tavoitteita; korostaa, että yleisellä täytäntöönpanokehyksellä olisi varmistettava, että säännösten noudattamatta jättämisestä odotettavissa olevat kustannukset, mukaan lukien sakot ja uhkasakot, ylittävät järjestelmällisesti sääntöjen noudattamisesta alusta alkaen aiheutuvat kustannukset, jotta voidaan estää strategiset viivästykset ja varmistaa todellinen pelotevaikutus;</w:t>
      </w:r>
    </w:p>
    <w:p w14:paraId="051540FA" w14:textId="46E14B4D" w:rsidR="00D74B10" w:rsidRPr="00D53517" w:rsidRDefault="00B9630B" w:rsidP="00C27A81">
      <w:pPr>
        <w:pStyle w:val="NormalHanging12a"/>
        <w:widowControl/>
      </w:pPr>
      <w:r w:rsidRPr="00D53517">
        <w:t>26</w:t>
      </w:r>
      <w:r w:rsidR="00D74B10" w:rsidRPr="00D53517">
        <w:t>.</w:t>
      </w:r>
      <w:r w:rsidR="00D74B10" w:rsidRPr="00D53517">
        <w:tab/>
        <w:t xml:space="preserve">kehottaa komissiota arvioimaan tiiviisti, täyttävätkö pilvipalvelujen tarjoajat digimarkkinasäädöksen mukaiset portinvartijoiksi nimeämisen kriteerit, myös markkinatutkimusten avulla, kun otetaan huomioon pilvipalvelujen kasvava strateginen merkitys ja niiden rooli digitaali- ja tekoälyekosysteemeissä; kehottaa komissiota soveltamaan digimarkkinasäädöksen kriteerejä johdonmukaisella, avoimella ja näyttöön perustuvalla tavalla kaikkiin palveluntarjoajiin markkinaindikaattoreiden niin edellyttäessä, kun se tekee markkinatutkimuksia ja arvioi mahdollisia nimeämisiä pilvipalveluissa, jotta vältetään kilpailun vääristyminen ja säilytetään innovointi; suhtautuu myönteisesti komission viimeaikaisiin markkinatutkimuksiin, jotka koskevat pilvipalvelujen tarjoajia, kuten Amazon Web Services ja Microsoft </w:t>
      </w:r>
      <w:proofErr w:type="spellStart"/>
      <w:r w:rsidR="00D74B10" w:rsidRPr="00D53517">
        <w:t>Azure</w:t>
      </w:r>
      <w:proofErr w:type="spellEnd"/>
      <w:r w:rsidR="00D74B10" w:rsidRPr="00D53517">
        <w:t>;</w:t>
      </w:r>
    </w:p>
    <w:p w14:paraId="1B6A6B46" w14:textId="4C1291A7" w:rsidR="00D74B10" w:rsidRPr="00D53517" w:rsidRDefault="00B9630B" w:rsidP="00C27A81">
      <w:pPr>
        <w:pStyle w:val="NormalHanging12a"/>
        <w:widowControl/>
      </w:pPr>
      <w:r w:rsidRPr="00D53517">
        <w:t>27</w:t>
      </w:r>
      <w:r w:rsidR="00D74B10" w:rsidRPr="00D53517">
        <w:t>.</w:t>
      </w:r>
      <w:r w:rsidR="00D74B10" w:rsidRPr="00D53517">
        <w:tab/>
        <w:t>korostaa, että tekoälyyn perustuvista hakuvälineistä ja avustajista, joita tarjotaan nimettyinä ydinalustapalveluina tai niiden sisällä, kuten Google-haun tekoäly</w:t>
      </w:r>
      <w:r w:rsidR="00D74B10" w:rsidRPr="00D53517">
        <w:noBreakHyphen/>
        <w:t xml:space="preserve">yhteenvedot, Googlen </w:t>
      </w:r>
      <w:proofErr w:type="spellStart"/>
      <w:r w:rsidR="00D74B10" w:rsidRPr="00D53517">
        <w:t>Gemini</w:t>
      </w:r>
      <w:proofErr w:type="spellEnd"/>
      <w:r w:rsidR="00D74B10" w:rsidRPr="00D53517">
        <w:t xml:space="preserve">, Applen Siri, Metan WhatsApp AI, Amazonin </w:t>
      </w:r>
      <w:proofErr w:type="spellStart"/>
      <w:r w:rsidR="00D74B10" w:rsidRPr="00D53517">
        <w:t>Rufus</w:t>
      </w:r>
      <w:proofErr w:type="spellEnd"/>
      <w:r w:rsidR="00D74B10" w:rsidRPr="00D53517">
        <w:t xml:space="preserve"> tai Microsoftin </w:t>
      </w:r>
      <w:proofErr w:type="spellStart"/>
      <w:r w:rsidR="00D74B10" w:rsidRPr="00D53517">
        <w:t>Copilot</w:t>
      </w:r>
      <w:proofErr w:type="spellEnd"/>
      <w:r w:rsidR="00D74B10" w:rsidRPr="00D53517">
        <w:t>, on tulossa yhä merkittävämpiä uusia väyliä tietoon, kauppaan ja digitaalisiin palveluihin; kehottaa komissiota tutkimaan oikea-aikaisesti, miten portinvartijat mahdollisesti käyttävät tällaisia toimintoja tavoilla, jotka voivat heikentää kilpailullisuutta ja oikeudenmukaisuutta, muun muassa oletusasetuksilla, esivalinnalla tai tulosten syrjivällä esittämisellä tai valinnalla;</w:t>
      </w:r>
    </w:p>
    <w:p w14:paraId="5CA21599" w14:textId="7F6A94D9" w:rsidR="00D74B10" w:rsidRPr="00D53517" w:rsidRDefault="00B9630B" w:rsidP="00C27A81">
      <w:pPr>
        <w:pStyle w:val="NormalHanging12a"/>
        <w:widowControl/>
      </w:pPr>
      <w:r w:rsidRPr="00D53517">
        <w:t>28</w:t>
      </w:r>
      <w:r w:rsidR="00D74B10" w:rsidRPr="00D53517">
        <w:t>.</w:t>
      </w:r>
      <w:r w:rsidR="00D74B10" w:rsidRPr="00D53517">
        <w:tab/>
        <w:t xml:space="preserve">korostaa, että tiettyjen portinvartijoiden integroidut digitaaliset ekosysteemit, jotka koostuvat useista ydinalustapalveluista ja niihin liittyvistä palveluista, voivat tarjota niille rakenteellisen kilpailuedun tekoälyjärjestelmien kehittämisessä, koulutuksessa ja käyttöönotossa erityisesti silloin, kun pääsyä laajamittaisiin ja monipalveluisiin datavirtoihin, käyttöliittymiin, jakelukanaviin tai täydentäviin palveluihin voidaan hyödyntää eri ekosysteemeissä; korostaa siksi, että digimarkkinasäädöksen 6 artiklan 10 kohta on pantava tiukasti täytäntöön, jotta voidaan varmistaa yrityskäyttäjien </w:t>
      </w:r>
      <w:r w:rsidR="00D74B10" w:rsidRPr="00D53517">
        <w:lastRenderedPageBreak/>
        <w:t>tosiasialliset oikeudet päästä tietoihin ja estää koko ekosysteemin kattavien datahyötyjen hyödyntäminen kilpailullisuutta ja oikeudenmukaisuutta heikentävillä tavoilla, myös silloin, kun tekoälytoiminnot on integroitu ydinalustapalveluihin tai niistä voi tulla uusia väyliä tietoon, kauppaan ja digitaalisiin palveluihin;</w:t>
      </w:r>
    </w:p>
    <w:p w14:paraId="51237F20" w14:textId="36DD393A" w:rsidR="00D74B10" w:rsidRPr="00D53517" w:rsidRDefault="00B9630B" w:rsidP="00C27A81">
      <w:pPr>
        <w:pStyle w:val="NormalHanging12a"/>
        <w:widowControl/>
      </w:pPr>
      <w:r w:rsidRPr="00D53517">
        <w:t>29</w:t>
      </w:r>
      <w:r w:rsidR="00D74B10" w:rsidRPr="00D53517">
        <w:t>.</w:t>
      </w:r>
      <w:r w:rsidR="00D74B10" w:rsidRPr="00D53517">
        <w:tab/>
        <w:t>kehottaa komissiota varmistamaan riittävät taloudelliset ja henkilöresurssit digimarkkinasäädöksen täytäntöönpanon valvontaa varten asetuksen soveltamisalan, monimutkaisuuden ja strategisen merkityksen mukaisesti ja kehottaa lisäämään merkittävästi henkilöstöä;</w:t>
      </w:r>
    </w:p>
    <w:p w14:paraId="59D0C1B8" w14:textId="5FE92B3A" w:rsidR="00D74B10" w:rsidRPr="00D53517" w:rsidRDefault="00B9630B" w:rsidP="00C27A81">
      <w:pPr>
        <w:pStyle w:val="NormalHanging12a"/>
        <w:widowControl/>
      </w:pPr>
      <w:r w:rsidRPr="00D53517">
        <w:t>30</w:t>
      </w:r>
      <w:r w:rsidR="00D74B10" w:rsidRPr="00D53517">
        <w:t>.</w:t>
      </w:r>
      <w:r w:rsidR="00D74B10" w:rsidRPr="00D53517">
        <w:tab/>
        <w:t>odottaa, että digimarkkinasäädöksen tuleva uudelleentarkastelu on avoin ja perustuu vankasti täytäntöönpanosta saatuihin kokemuksiin ja sen soveltamisesta saatuun näyttöön, mukaan lukien arvio käyttäjien ja markkinoiden todellisista tuloksista sekä täytäntöönpanon käytännön vaikutuksista kuluttajiin, erityisesti innovoinnin saatavuuden, käytettävyyden, yksityisyyden ja turvallisuuden osalta, ottaen samalla asianmukaisesti huomioon teknologian kehityksen ja tarpeen varmistaa, että kehys pysyy tulevaisuudenkestävänä; kehottaa komissiota ottamaan erityisesti huomioon uudelleentarkastelun aikana saadun palautteen pk-yrityksiltä;</w:t>
      </w:r>
    </w:p>
    <w:p w14:paraId="38A49A8B" w14:textId="0F2C4303" w:rsidR="00D74B10" w:rsidRPr="00D53517" w:rsidRDefault="00B9630B" w:rsidP="00C27A81">
      <w:pPr>
        <w:pStyle w:val="NormalHanging12a"/>
        <w:widowControl/>
      </w:pPr>
      <w:r w:rsidRPr="00D53517">
        <w:t>31</w:t>
      </w:r>
      <w:r w:rsidR="00D74B10" w:rsidRPr="00D53517">
        <w:t>.</w:t>
      </w:r>
      <w:r w:rsidR="00D74B10" w:rsidRPr="00D53517">
        <w:tab/>
        <w:t>korostaa, että uudelleentarkastelussa olisi keskityttävä nykyisen kehyksen tehokkuuden ja täytäntöönpanokelpoisuuden vahvistamiseen samalla kun puututaan nopeasti kehittyvien teknologioiden ja ekosysteemien aiheuttamiin haasteisiin hyödyntämällä kaikilta osin nykyisen kehyksen puitteissa käytettävissä olevia valtuuksia, tarvittaessa myös selventämällä ja ohjeistamalla, ja siinä olisi vältettävä digimarkkinasäädöksen keskeisten tavoitteiden, soveltamisalan tai rakenteen uudelleenavaamista, ellei se ole selkeästi perusteltua osoitetun täytäntöönpanon valvonnan puutteiden tai merkittävän markkinakehityksen vuoksi;</w:t>
      </w:r>
    </w:p>
    <w:p w14:paraId="4AC0F253" w14:textId="673B06FE" w:rsidR="00E1570F" w:rsidRPr="00D53517" w:rsidRDefault="00B9630B" w:rsidP="00F35E4B">
      <w:pPr>
        <w:pStyle w:val="NormalHanging12a"/>
        <w:widowControl/>
        <w:rPr>
          <w:bCs/>
          <w:iCs/>
        </w:rPr>
      </w:pPr>
      <w:r w:rsidRPr="00D53517">
        <w:rPr>
          <w:bCs/>
          <w:iCs/>
        </w:rPr>
        <w:t>32</w:t>
      </w:r>
      <w:r w:rsidR="00E1570F" w:rsidRPr="00D53517">
        <w:rPr>
          <w:bCs/>
          <w:iCs/>
        </w:rPr>
        <w:t>.</w:t>
      </w:r>
      <w:r w:rsidR="00E1570F" w:rsidRPr="00D53517">
        <w:rPr>
          <w:bCs/>
          <w:iCs/>
        </w:rPr>
        <w:tab/>
        <w:t xml:space="preserve">korostaa, että digimarkkinasäädöksen tehokas täytäntöönpano edellyttää yleisen kilpailupolitiikan ja kaikkien muiden EU:n kaupan suoja- ja markkinavalvontavälineiden täydentävää käyttöä, koska oikeudenmukaisuuteen ja taloudelliseen turvallisuuteen kohdistuvia järjestelmäriskejä voi aiheutua myös liiketoimista, jotka eivät kuulu digimarkkinasäädöksen soveltamisalaan; panee tässä yhteydessä merkille huolen siitä, että JD.com ostaisi </w:t>
      </w:r>
      <w:proofErr w:type="spellStart"/>
      <w:r w:rsidR="00E1570F" w:rsidRPr="00D53517">
        <w:rPr>
          <w:bCs/>
          <w:iCs/>
        </w:rPr>
        <w:t>Ceconomy</w:t>
      </w:r>
      <w:proofErr w:type="spellEnd"/>
      <w:r w:rsidR="00E1570F" w:rsidRPr="00D53517">
        <w:rPr>
          <w:bCs/>
          <w:iCs/>
        </w:rPr>
        <w:t xml:space="preserve"> </w:t>
      </w:r>
      <w:proofErr w:type="spellStart"/>
      <w:r w:rsidR="00E1570F" w:rsidRPr="00D53517">
        <w:rPr>
          <w:bCs/>
          <w:iCs/>
        </w:rPr>
        <w:t>AG:n</w:t>
      </w:r>
      <w:proofErr w:type="spellEnd"/>
      <w:r w:rsidR="00E1570F" w:rsidRPr="00D53517">
        <w:rPr>
          <w:bCs/>
          <w:iCs/>
        </w:rPr>
        <w:t>, sillä tämä siirtäisi määräysvallan suuressa eurooppalaisessa vähittäiskauppa- ja jakeluverkostossa EU:n ulkopuoliselle yhteisölle, mikä lisäisi riskejä, jotka liittyvät EU:n ulkopuolisten valtioiden pääsyyn arkaluonteisiin kuluttajatietoihin, ja mahdollisia vääristymiä, jotka liittyvät valtion takaamaan taloudelliseen tukeen; kehottaa komissiota soveltamaan tinkimättömästi ulkomaisia tukia koskevaa asetusta</w:t>
      </w:r>
      <w:r w:rsidR="00E1570F" w:rsidRPr="00D53517">
        <w:rPr>
          <w:rStyle w:val="FootnoteReference"/>
          <w:bCs/>
          <w:iCs/>
        </w:rPr>
        <w:footnoteReference w:id="14"/>
      </w:r>
      <w:r w:rsidR="00E1570F" w:rsidRPr="00D53517">
        <w:rPr>
          <w:bCs/>
          <w:iCs/>
        </w:rPr>
        <w:t xml:space="preserve"> ja tarkastelemaan mahdollisia ulkomaisia tukia, jotka ovat sekä tämän liiketoimen että tulevien liiketoimien perustana; kehottaa komissiota arvioimaan EU:n kuluttajatietoihin kohdistuvia riskejä ulkomaisten suorien sijoitusten seurantaa koskevan asetuksen</w:t>
      </w:r>
      <w:r w:rsidR="00E1570F" w:rsidRPr="00D53517">
        <w:rPr>
          <w:rStyle w:val="FootnoteReference"/>
          <w:bCs/>
          <w:iCs/>
        </w:rPr>
        <w:footnoteReference w:id="15"/>
      </w:r>
      <w:r w:rsidR="00E1570F" w:rsidRPr="00D53517">
        <w:rPr>
          <w:bCs/>
          <w:iCs/>
        </w:rPr>
        <w:t xml:space="preserve"> mukaisesti ja varmistamaan </w:t>
      </w:r>
      <w:r w:rsidR="00E1570F" w:rsidRPr="00D53517">
        <w:rPr>
          <w:bCs/>
          <w:iCs/>
        </w:rPr>
        <w:lastRenderedPageBreak/>
        <w:t>tehokkaan tietojen lokalisoinnin EU:n datasuvereniteetin ja digimarkkinasäädöksen täytäntöönpanokehyksen mukaisesti;</w:t>
      </w:r>
    </w:p>
    <w:p w14:paraId="570CBA6F" w14:textId="301395FE" w:rsidR="00E365E1" w:rsidRPr="00D53517" w:rsidRDefault="00B9630B" w:rsidP="00F35E4B">
      <w:pPr>
        <w:pStyle w:val="NormalHanging12a"/>
        <w:widowControl/>
      </w:pPr>
      <w:r w:rsidRPr="00D53517">
        <w:t>33</w:t>
      </w:r>
      <w:r w:rsidR="00D74B10" w:rsidRPr="00D53517">
        <w:t>.</w:t>
      </w:r>
      <w:r w:rsidR="00D74B10" w:rsidRPr="00D53517">
        <w:tab/>
        <w:t>kehottaa puhemiestä välittämään tämän päätöslauselman komissiolle.</w:t>
      </w:r>
    </w:p>
    <w:sectPr w:rsidR="00E365E1" w:rsidRPr="00D53517" w:rsidSect="009022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F874E" w14:textId="77777777" w:rsidR="009573E1" w:rsidRPr="00902266" w:rsidRDefault="009573E1">
      <w:r w:rsidRPr="00902266">
        <w:separator/>
      </w:r>
    </w:p>
  </w:endnote>
  <w:endnote w:type="continuationSeparator" w:id="0">
    <w:p w14:paraId="499CEA39" w14:textId="77777777" w:rsidR="009573E1" w:rsidRPr="00902266" w:rsidRDefault="009573E1">
      <w:r w:rsidRPr="009022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F92F1" w14:textId="77777777" w:rsidR="009573E1" w:rsidRPr="00902266" w:rsidRDefault="009573E1">
      <w:r w:rsidRPr="00902266">
        <w:separator/>
      </w:r>
    </w:p>
  </w:footnote>
  <w:footnote w:type="continuationSeparator" w:id="0">
    <w:p w14:paraId="556B3DAE" w14:textId="77777777" w:rsidR="009573E1" w:rsidRPr="00902266" w:rsidRDefault="009573E1">
      <w:r w:rsidRPr="00902266">
        <w:continuationSeparator/>
      </w:r>
    </w:p>
  </w:footnote>
  <w:footnote w:id="1">
    <w:p w14:paraId="591EEBAD" w14:textId="026A5A18"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L 265, 12.10.2022, s. 1, ELI: </w:t>
      </w:r>
      <w:hyperlink r:id="rId1" w:tooltip="Avaa asiakirjan ELI URI -osoitteen kautta." w:history="1">
        <w:r w:rsidRPr="004E61B4">
          <w:rPr>
            <w:rStyle w:val="Hyperlink"/>
            <w:sz w:val="24"/>
            <w:lang w:val="fr-BE"/>
          </w:rPr>
          <w:t>http://data.europa.eu/eli/reg/2022/1925/oj</w:t>
        </w:r>
      </w:hyperlink>
      <w:r w:rsidRPr="004E61B4">
        <w:rPr>
          <w:sz w:val="24"/>
          <w:lang w:val="fr-BE"/>
        </w:rPr>
        <w:t>.</w:t>
      </w:r>
    </w:p>
  </w:footnote>
  <w:footnote w:id="2">
    <w:p w14:paraId="124421A5" w14:textId="6CE402B2"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C/2023/549, 27.10.2023, ELI: </w:t>
      </w:r>
      <w:hyperlink r:id="rId2" w:tgtFrame="_blank" w:tooltip="Avaa asiakirjan ELI URI -osoitteen kautta." w:history="1">
        <w:r w:rsidRPr="004E61B4">
          <w:rPr>
            <w:rStyle w:val="Hyperlink"/>
            <w:sz w:val="24"/>
            <w:lang w:val="fr-BE"/>
          </w:rPr>
          <w:t>http://data.europa.eu/eli/C/2023/549/oj</w:t>
        </w:r>
      </w:hyperlink>
      <w:r w:rsidRPr="004E61B4">
        <w:rPr>
          <w:sz w:val="24"/>
          <w:lang w:val="fr-BE"/>
        </w:rPr>
        <w:t>.</w:t>
      </w:r>
    </w:p>
  </w:footnote>
  <w:footnote w:id="3">
    <w:p w14:paraId="5ACB6997" w14:textId="2CD618E2"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C/2023/905, 15.11.2023, ELI: </w:t>
      </w:r>
      <w:hyperlink r:id="rId3" w:tgtFrame="_blank" w:tooltip="Avaa asiakirjan ELI URI -osoitteen kautta." w:history="1">
        <w:r w:rsidRPr="004E61B4">
          <w:rPr>
            <w:rStyle w:val="Hyperlink"/>
            <w:sz w:val="24"/>
            <w:lang w:val="fr-BE"/>
          </w:rPr>
          <w:t>http://data.europa.eu/eli/C/2023/905/oj</w:t>
        </w:r>
      </w:hyperlink>
      <w:r w:rsidRPr="004E61B4">
        <w:rPr>
          <w:sz w:val="24"/>
          <w:lang w:val="fr-BE"/>
        </w:rPr>
        <w:t>.</w:t>
      </w:r>
    </w:p>
  </w:footnote>
  <w:footnote w:id="4">
    <w:p w14:paraId="489EBDF7" w14:textId="1688F4B4"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C/2025/4646, 14.8.2025, ELI: </w:t>
      </w:r>
      <w:hyperlink r:id="rId4" w:tgtFrame="_blank" w:tooltip="Avaa asiakirjan ELI URI -osoitteen kautta." w:history="1">
        <w:r w:rsidRPr="004E61B4">
          <w:rPr>
            <w:rStyle w:val="Hyperlink"/>
            <w:sz w:val="24"/>
            <w:lang w:val="fr-BE"/>
          </w:rPr>
          <w:t>http://data.europa.eu/eli/C/2025/4646/oj</w:t>
        </w:r>
      </w:hyperlink>
      <w:r w:rsidRPr="004E61B4">
        <w:rPr>
          <w:sz w:val="24"/>
          <w:lang w:val="fr-BE"/>
        </w:rPr>
        <w:t>.</w:t>
      </w:r>
    </w:p>
  </w:footnote>
  <w:footnote w:id="5">
    <w:p w14:paraId="0CEA8D17" w14:textId="35BFA6D7"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C/2023/552, 27.10.2023, ELI: </w:t>
      </w:r>
      <w:hyperlink r:id="rId5" w:tgtFrame="_blank" w:tooltip="Avaa asiakirjan ELI URI -osoitteen kautta." w:history="1">
        <w:r w:rsidRPr="004E61B4">
          <w:rPr>
            <w:rStyle w:val="Hyperlink"/>
            <w:sz w:val="24"/>
            <w:lang w:val="fr-BE"/>
          </w:rPr>
          <w:t>http://data.europa.eu/eli/C/2023/552/oj</w:t>
        </w:r>
      </w:hyperlink>
      <w:r w:rsidRPr="004E61B4">
        <w:rPr>
          <w:sz w:val="24"/>
          <w:lang w:val="fr-BE"/>
        </w:rPr>
        <w:t>.</w:t>
      </w:r>
    </w:p>
  </w:footnote>
  <w:footnote w:id="6">
    <w:p w14:paraId="1D337576" w14:textId="32C4FF20"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C/2023/1092, 23.11.2023, ELI: </w:t>
      </w:r>
      <w:hyperlink r:id="rId6" w:tgtFrame="_blank" w:tooltip="Avaa asiakirjan ELI URI -osoitteen kautta." w:history="1">
        <w:r w:rsidRPr="004E61B4">
          <w:rPr>
            <w:rStyle w:val="Hyperlink"/>
            <w:sz w:val="24"/>
            <w:lang w:val="fr-BE"/>
          </w:rPr>
          <w:t>http://data.europa.eu/eli/C/2023/1092/oj</w:t>
        </w:r>
      </w:hyperlink>
      <w:r w:rsidRPr="004E61B4">
        <w:rPr>
          <w:sz w:val="24"/>
          <w:lang w:val="fr-BE"/>
        </w:rPr>
        <w:t>.</w:t>
      </w:r>
    </w:p>
  </w:footnote>
  <w:footnote w:id="7">
    <w:p w14:paraId="5A2DFBFE" w14:textId="1CF4CEE8"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C/2023/551, 27.10.2023, ELI: </w:t>
      </w:r>
      <w:hyperlink r:id="rId7" w:tgtFrame="_blank" w:tooltip="Avaa asiakirjan ELI URI -osoitteen kautta." w:history="1">
        <w:r w:rsidRPr="004E61B4">
          <w:rPr>
            <w:rStyle w:val="Hyperlink"/>
            <w:sz w:val="24"/>
            <w:lang w:val="fr-BE"/>
          </w:rPr>
          <w:t>http://data.europa.eu/eli/C/2023/551/oj</w:t>
        </w:r>
      </w:hyperlink>
      <w:r w:rsidRPr="004E61B4">
        <w:rPr>
          <w:sz w:val="24"/>
          <w:lang w:val="fr-BE"/>
        </w:rPr>
        <w:t>.</w:t>
      </w:r>
    </w:p>
  </w:footnote>
  <w:footnote w:id="8">
    <w:p w14:paraId="31292E18" w14:textId="314C9DED"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C/2024/4374, 4.7.2024, ELI: </w:t>
      </w:r>
      <w:hyperlink r:id="rId8" w:tgtFrame="_blank" w:tooltip="Avaa asiakirjan ELI URI -osoitteen kautta." w:history="1">
        <w:r w:rsidRPr="004E61B4">
          <w:rPr>
            <w:rStyle w:val="Hyperlink"/>
            <w:sz w:val="24"/>
            <w:lang w:val="fr-BE"/>
          </w:rPr>
          <w:t>http://data.europa.eu/eli/C/2024/4374/oj</w:t>
        </w:r>
      </w:hyperlink>
      <w:r w:rsidRPr="004E61B4">
        <w:rPr>
          <w:sz w:val="24"/>
          <w:lang w:val="fr-BE"/>
        </w:rPr>
        <w:t>.</w:t>
      </w:r>
    </w:p>
  </w:footnote>
  <w:footnote w:id="9">
    <w:p w14:paraId="13DA1B00" w14:textId="0F846F2D"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C/2024/4360, 4.7.2024, ELI: </w:t>
      </w:r>
      <w:hyperlink r:id="rId9" w:tgtFrame="_blank" w:tooltip="Avaa asiakirjan ELI URI -osoitteen kautta." w:history="1">
        <w:r w:rsidRPr="004E61B4">
          <w:rPr>
            <w:rStyle w:val="Hyperlink"/>
            <w:sz w:val="24"/>
            <w:lang w:val="fr-BE"/>
          </w:rPr>
          <w:t>http://data.europa.eu/eli/C/2024/4360/oj</w:t>
        </w:r>
      </w:hyperlink>
      <w:r w:rsidRPr="004E61B4">
        <w:rPr>
          <w:sz w:val="24"/>
          <w:lang w:val="fr-BE"/>
        </w:rPr>
        <w:t>.</w:t>
      </w:r>
    </w:p>
  </w:footnote>
  <w:footnote w:id="10">
    <w:p w14:paraId="314A7F08" w14:textId="1AFED82C"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C, C/2025/3466, 27.6.2025, ELI: </w:t>
      </w:r>
      <w:hyperlink r:id="rId10" w:tgtFrame="_blank" w:tooltip="Avaa asiakirjan ELI URI -osoitteen kautta." w:history="1">
        <w:r w:rsidRPr="004E61B4">
          <w:rPr>
            <w:rStyle w:val="Hyperlink"/>
            <w:sz w:val="24"/>
            <w:lang w:val="fr-BE"/>
          </w:rPr>
          <w:t>http://data.europa.eu/eli/C/2025/3466/oj</w:t>
        </w:r>
      </w:hyperlink>
      <w:r w:rsidRPr="004E61B4">
        <w:rPr>
          <w:sz w:val="24"/>
          <w:lang w:val="fr-BE"/>
        </w:rPr>
        <w:t>.</w:t>
      </w:r>
    </w:p>
  </w:footnote>
  <w:footnote w:id="11">
    <w:p w14:paraId="11F819F2" w14:textId="4D315EC8" w:rsidR="00D74B10" w:rsidRPr="004E61B4" w:rsidRDefault="00D74B10" w:rsidP="00F35E4B">
      <w:pPr>
        <w:pStyle w:val="FootnoteText"/>
        <w:keepLines w:val="0"/>
        <w:ind w:left="567" w:hanging="567"/>
        <w:rPr>
          <w:sz w:val="24"/>
          <w:lang w:val="fr-BE"/>
        </w:rPr>
      </w:pPr>
      <w:r w:rsidRPr="00902266">
        <w:rPr>
          <w:rStyle w:val="FootnoteReference"/>
          <w:sz w:val="24"/>
          <w:lang w:val="fi-FI"/>
        </w:rPr>
        <w:footnoteRef/>
      </w:r>
      <w:r w:rsidR="00902266" w:rsidRPr="004E61B4">
        <w:rPr>
          <w:sz w:val="24"/>
          <w:lang w:val="fr-BE"/>
        </w:rPr>
        <w:t xml:space="preserve"> </w:t>
      </w:r>
      <w:r w:rsidR="00902266" w:rsidRPr="004E61B4">
        <w:rPr>
          <w:sz w:val="24"/>
          <w:lang w:val="fr-BE"/>
        </w:rPr>
        <w:tab/>
      </w:r>
      <w:r w:rsidRPr="004E61B4">
        <w:rPr>
          <w:sz w:val="24"/>
          <w:lang w:val="fr-BE"/>
        </w:rPr>
        <w:t>EUVL L 102, 17.4.2023, s. 6, ELI: </w:t>
      </w:r>
      <w:hyperlink r:id="rId11" w:tooltip="Avaa asiakirjan ELI URI -osoitteen kautta." w:history="1">
        <w:r w:rsidRPr="004E61B4">
          <w:rPr>
            <w:rStyle w:val="Hyperlink"/>
            <w:sz w:val="24"/>
            <w:lang w:val="fr-BE"/>
          </w:rPr>
          <w:t>http://data.europa.eu/eli/reg_impl/2023/814/oj</w:t>
        </w:r>
      </w:hyperlink>
      <w:r w:rsidRPr="004E61B4">
        <w:rPr>
          <w:sz w:val="24"/>
          <w:lang w:val="fr-BE"/>
        </w:rPr>
        <w:t>.</w:t>
      </w:r>
    </w:p>
  </w:footnote>
  <w:footnote w:id="12">
    <w:p w14:paraId="760809B0" w14:textId="0508B18E" w:rsidR="00D74B10" w:rsidRPr="00902266" w:rsidRDefault="00D74B10" w:rsidP="00F35E4B">
      <w:pPr>
        <w:pStyle w:val="FootnoteText"/>
        <w:keepLines w:val="0"/>
        <w:ind w:left="567" w:hanging="567"/>
        <w:rPr>
          <w:sz w:val="24"/>
          <w:lang w:val="fi-FI"/>
        </w:rPr>
      </w:pPr>
      <w:r w:rsidRPr="00902266">
        <w:rPr>
          <w:rStyle w:val="FootnoteReference"/>
          <w:sz w:val="24"/>
          <w:lang w:val="fi-FI"/>
        </w:rPr>
        <w:footnoteRef/>
      </w:r>
      <w:r w:rsidR="00902266" w:rsidRPr="00902266">
        <w:rPr>
          <w:sz w:val="24"/>
          <w:lang w:val="fi-FI"/>
        </w:rPr>
        <w:t xml:space="preserve"> </w:t>
      </w:r>
      <w:r w:rsidR="00902266" w:rsidRPr="00902266">
        <w:rPr>
          <w:sz w:val="24"/>
          <w:lang w:val="fi-FI"/>
        </w:rPr>
        <w:tab/>
      </w:r>
      <w:r w:rsidRPr="00902266">
        <w:rPr>
          <w:sz w:val="24"/>
          <w:lang w:val="fi-FI"/>
        </w:rPr>
        <w:t xml:space="preserve">Euroopan parlamentin ja neuvoston asetus (EU) 2023/2854, annettu 13. joulukuuta 2023, datan oikeudenmukaista saatavuutta ja käyttöä koskevista yhdenmukaisista säännöistä sekä asetuksen (EU) 2017/2394 ja direktiivin (EU) 2020/1828 muuttamisesta (datasäädös) (EUVL L, 2023/2854, 22.12.2023, ELI:  </w:t>
      </w:r>
      <w:hyperlink r:id="rId12" w:history="1">
        <w:r w:rsidRPr="00902266">
          <w:rPr>
            <w:rStyle w:val="Hyperlink"/>
            <w:sz w:val="24"/>
            <w:lang w:val="fi-FI"/>
          </w:rPr>
          <w:t>http://data.europa.eu/eli/reg/2023/2854/oj</w:t>
        </w:r>
      </w:hyperlink>
      <w:r w:rsidRPr="00902266">
        <w:rPr>
          <w:sz w:val="24"/>
          <w:lang w:val="fi-FI"/>
        </w:rPr>
        <w:t>).</w:t>
      </w:r>
    </w:p>
  </w:footnote>
  <w:footnote w:id="13">
    <w:p w14:paraId="2D68AEA8" w14:textId="6DDBEE7C" w:rsidR="00D74B10" w:rsidRPr="00902266" w:rsidRDefault="00D74B10" w:rsidP="00F35E4B">
      <w:pPr>
        <w:pStyle w:val="FootnoteText"/>
        <w:keepLines w:val="0"/>
        <w:ind w:left="567" w:hanging="567"/>
        <w:rPr>
          <w:sz w:val="24"/>
          <w:lang w:val="fi-FI"/>
        </w:rPr>
      </w:pPr>
      <w:r w:rsidRPr="00902266">
        <w:rPr>
          <w:rStyle w:val="FootnoteReference"/>
          <w:sz w:val="24"/>
          <w:lang w:val="fi-FI"/>
        </w:rPr>
        <w:footnoteRef/>
      </w:r>
      <w:r w:rsidR="00902266" w:rsidRPr="00902266">
        <w:rPr>
          <w:sz w:val="24"/>
          <w:lang w:val="fi-FI"/>
        </w:rPr>
        <w:t xml:space="preserve"> </w:t>
      </w:r>
      <w:r w:rsidR="00902266" w:rsidRPr="00902266">
        <w:rPr>
          <w:sz w:val="24"/>
          <w:lang w:val="fi-FI"/>
        </w:rPr>
        <w:tab/>
      </w:r>
      <w:r w:rsidRPr="00902266">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r>
        <w:fldChar w:fldCharType="begin"/>
      </w:r>
      <w:r w:rsidRPr="004E61B4">
        <w:rPr>
          <w:lang w:val="fi-FI"/>
        </w:rPr>
        <w:instrText>HYPERLINK "http://data.europa.eu/eli/reg/2024/1689/oj"</w:instrText>
      </w:r>
      <w:r>
        <w:fldChar w:fldCharType="separate"/>
      </w:r>
      <w:r w:rsidRPr="00902266">
        <w:rPr>
          <w:rStyle w:val="Hyperlink"/>
          <w:sz w:val="24"/>
          <w:lang w:val="fi-FI"/>
        </w:rPr>
        <w:t>http://data.europa.eu/eli/reg/2024/1689/oj</w:t>
      </w:r>
      <w:r>
        <w:fldChar w:fldCharType="end"/>
      </w:r>
      <w:r w:rsidRPr="00902266">
        <w:rPr>
          <w:sz w:val="24"/>
          <w:lang w:val="fi-FI"/>
        </w:rPr>
        <w:t>).</w:t>
      </w:r>
    </w:p>
  </w:footnote>
  <w:footnote w:id="14">
    <w:p w14:paraId="42349D53" w14:textId="5C63C500" w:rsidR="00E1570F" w:rsidRPr="00F35E4B" w:rsidRDefault="00E1570F" w:rsidP="00F35E4B">
      <w:pPr>
        <w:pStyle w:val="Normal6a"/>
        <w:ind w:left="567" w:hanging="567"/>
        <w:rPr>
          <w:szCs w:val="24"/>
        </w:rPr>
      </w:pPr>
      <w:r w:rsidRPr="00F35E4B">
        <w:rPr>
          <w:rStyle w:val="FootnoteReference"/>
          <w:szCs w:val="24"/>
        </w:rPr>
        <w:footnoteRef/>
      </w:r>
      <w:r w:rsidRPr="00F35E4B">
        <w:rPr>
          <w:szCs w:val="24"/>
        </w:rPr>
        <w:t xml:space="preserve"> </w:t>
      </w:r>
      <w:r w:rsidRPr="00F35E4B">
        <w:rPr>
          <w:szCs w:val="24"/>
        </w:rPr>
        <w:tab/>
        <w:t>Euroopan parlamentin ja neuvoston asetus (EU) 2022/2560, annettu 14. joulukuuta 2022, sisämarkkinoita vääristävistä ulkomaisista tuista (EUVL L 330, 23.12.2022, s. 1, ELI: </w:t>
      </w:r>
      <w:hyperlink r:id="rId13" w:tooltip="Avaa asiakirjan ELI URI -osoitteen kautta." w:history="1">
        <w:r w:rsidRPr="00F35E4B">
          <w:rPr>
            <w:rStyle w:val="Hyperlink"/>
            <w:szCs w:val="24"/>
          </w:rPr>
          <w:t>http://data.europa.eu/eli/reg/2022/2560/oj</w:t>
        </w:r>
      </w:hyperlink>
      <w:r w:rsidRPr="00F35E4B">
        <w:rPr>
          <w:szCs w:val="24"/>
        </w:rPr>
        <w:t>).</w:t>
      </w:r>
    </w:p>
  </w:footnote>
  <w:footnote w:id="15">
    <w:p w14:paraId="2A534470" w14:textId="50E7B124" w:rsidR="00E1570F" w:rsidRPr="00F35E4B" w:rsidRDefault="00E1570F" w:rsidP="00F35E4B">
      <w:pPr>
        <w:pStyle w:val="FootnoteText"/>
        <w:keepLines w:val="0"/>
        <w:ind w:left="567" w:hanging="567"/>
        <w:rPr>
          <w:bCs/>
          <w:iCs/>
          <w:sz w:val="24"/>
          <w:szCs w:val="24"/>
          <w:lang w:val="fi-FI"/>
        </w:rPr>
      </w:pPr>
      <w:r w:rsidRPr="00F35E4B">
        <w:rPr>
          <w:rStyle w:val="FootnoteReference"/>
          <w:sz w:val="24"/>
          <w:szCs w:val="24"/>
        </w:rPr>
        <w:footnoteRef/>
      </w:r>
      <w:r w:rsidRPr="00F35E4B">
        <w:rPr>
          <w:sz w:val="24"/>
          <w:szCs w:val="24"/>
          <w:lang w:val="fi-FI"/>
        </w:rPr>
        <w:t xml:space="preserve"> </w:t>
      </w:r>
      <w:r w:rsidRPr="00F35E4B">
        <w:rPr>
          <w:sz w:val="24"/>
          <w:szCs w:val="24"/>
          <w:lang w:val="fi-FI"/>
        </w:rPr>
        <w:tab/>
      </w:r>
      <w:r w:rsidRPr="00F35E4B">
        <w:rPr>
          <w:bCs/>
          <w:iCs/>
          <w:sz w:val="24"/>
          <w:szCs w:val="24"/>
          <w:lang w:val="fi-FI"/>
        </w:rPr>
        <w:t>Euroopan parlamentin ja neuvoston asetus (EU) 2019/452, annettu 19. maaliskuuta 2019, unioniin tulevien ulkomaisten suorien sijoitusten seurantaan tarkoitettujen puitteiden perustamisesta (EUVL L 79</w:t>
      </w:r>
      <w:r w:rsidR="004E61B4">
        <w:rPr>
          <w:bCs/>
          <w:iCs/>
          <w:sz w:val="24"/>
          <w:szCs w:val="24"/>
          <w:lang w:val="fi-FI"/>
        </w:rPr>
        <w:t xml:space="preserve"> </w:t>
      </w:r>
      <w:r w:rsidRPr="00F35E4B">
        <w:rPr>
          <w:bCs/>
          <w:iCs/>
          <w:sz w:val="24"/>
          <w:szCs w:val="24"/>
          <w:lang w:val="fi-FI"/>
        </w:rPr>
        <w:t>I, 21.3.2019, s. 1, ELI: </w:t>
      </w:r>
      <w:r>
        <w:fldChar w:fldCharType="begin"/>
      </w:r>
      <w:r w:rsidRPr="004E61B4">
        <w:rPr>
          <w:lang w:val="fi-FI"/>
        </w:rPr>
        <w:instrText>HYPERLINK "http://data.europa.eu/eli/reg/2019/452/oj" \o "Avaa asiakirjan ELI URI -osoitteen kautta."</w:instrText>
      </w:r>
      <w:r>
        <w:fldChar w:fldCharType="separate"/>
      </w:r>
      <w:r w:rsidRPr="00F35E4B">
        <w:rPr>
          <w:rStyle w:val="Hyperlink"/>
          <w:bCs/>
          <w:iCs/>
          <w:sz w:val="24"/>
          <w:szCs w:val="24"/>
          <w:lang w:val="fi-FI"/>
        </w:rPr>
        <w:t>http://data.europa.eu/eli/reg/2019/452/oj</w:t>
      </w:r>
      <w:r>
        <w:fldChar w:fldCharType="end"/>
      </w:r>
      <w:r w:rsidRPr="00F35E4B">
        <w:rPr>
          <w:bCs/>
          <w:iCs/>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2021301">
    <w:abstractNumId w:val="9"/>
  </w:num>
  <w:num w:numId="2" w16cid:durableId="1638753384">
    <w:abstractNumId w:val="9"/>
  </w:num>
  <w:num w:numId="3" w16cid:durableId="1574008514">
    <w:abstractNumId w:val="7"/>
  </w:num>
  <w:num w:numId="4" w16cid:durableId="2141411142">
    <w:abstractNumId w:val="7"/>
  </w:num>
  <w:num w:numId="5" w16cid:durableId="1503541947">
    <w:abstractNumId w:val="6"/>
  </w:num>
  <w:num w:numId="6" w16cid:durableId="1713573657">
    <w:abstractNumId w:val="6"/>
  </w:num>
  <w:num w:numId="7" w16cid:durableId="247740307">
    <w:abstractNumId w:val="5"/>
  </w:num>
  <w:num w:numId="8" w16cid:durableId="1472554081">
    <w:abstractNumId w:val="5"/>
  </w:num>
  <w:num w:numId="9" w16cid:durableId="1840120492">
    <w:abstractNumId w:val="4"/>
  </w:num>
  <w:num w:numId="10" w16cid:durableId="177893367">
    <w:abstractNumId w:val="4"/>
  </w:num>
  <w:num w:numId="11" w16cid:durableId="110326002">
    <w:abstractNumId w:val="8"/>
  </w:num>
  <w:num w:numId="12" w16cid:durableId="418793389">
    <w:abstractNumId w:val="8"/>
  </w:num>
  <w:num w:numId="13" w16cid:durableId="537478076">
    <w:abstractNumId w:val="3"/>
  </w:num>
  <w:num w:numId="14" w16cid:durableId="1105616813">
    <w:abstractNumId w:val="3"/>
  </w:num>
  <w:num w:numId="15" w16cid:durableId="1404137496">
    <w:abstractNumId w:val="2"/>
  </w:num>
  <w:num w:numId="16" w16cid:durableId="1051611768">
    <w:abstractNumId w:val="2"/>
  </w:num>
  <w:num w:numId="17" w16cid:durableId="2023705356">
    <w:abstractNumId w:val="1"/>
  </w:num>
  <w:num w:numId="18" w16cid:durableId="2029480609">
    <w:abstractNumId w:val="1"/>
  </w:num>
  <w:num w:numId="19" w16cid:durableId="568269998">
    <w:abstractNumId w:val="0"/>
  </w:num>
  <w:num w:numId="20" w16cid:durableId="904994116">
    <w:abstractNumId w:val="0"/>
  </w:num>
  <w:num w:numId="21" w16cid:durableId="781415496">
    <w:abstractNumId w:val="9"/>
  </w:num>
  <w:num w:numId="22" w16cid:durableId="2015571945">
    <w:abstractNumId w:val="7"/>
  </w:num>
  <w:num w:numId="23" w16cid:durableId="1133207420">
    <w:abstractNumId w:val="6"/>
  </w:num>
  <w:num w:numId="24" w16cid:durableId="1429692874">
    <w:abstractNumId w:val="5"/>
  </w:num>
  <w:num w:numId="25" w16cid:durableId="777288086">
    <w:abstractNumId w:val="4"/>
  </w:num>
  <w:num w:numId="26" w16cid:durableId="2070153745">
    <w:abstractNumId w:val="8"/>
  </w:num>
  <w:num w:numId="27" w16cid:durableId="1476484516">
    <w:abstractNumId w:val="3"/>
  </w:num>
  <w:num w:numId="28" w16cid:durableId="1199851740">
    <w:abstractNumId w:val="2"/>
  </w:num>
  <w:num w:numId="29" w16cid:durableId="988939283">
    <w:abstractNumId w:val="1"/>
  </w:num>
  <w:num w:numId="30" w16cid:durableId="873732400">
    <w:abstractNumId w:val="0"/>
  </w:num>
  <w:num w:numId="31" w16cid:durableId="170146779">
    <w:abstractNumId w:val="9"/>
  </w:num>
  <w:num w:numId="32" w16cid:durableId="1473936407">
    <w:abstractNumId w:val="7"/>
  </w:num>
  <w:num w:numId="33" w16cid:durableId="1738630904">
    <w:abstractNumId w:val="6"/>
  </w:num>
  <w:num w:numId="34" w16cid:durableId="1630352541">
    <w:abstractNumId w:val="5"/>
  </w:num>
  <w:num w:numId="35" w16cid:durableId="1945187957">
    <w:abstractNumId w:val="4"/>
  </w:num>
  <w:num w:numId="36" w16cid:durableId="834539560">
    <w:abstractNumId w:val="8"/>
  </w:num>
  <w:num w:numId="37" w16cid:durableId="1973556021">
    <w:abstractNumId w:val="3"/>
  </w:num>
  <w:num w:numId="38" w16cid:durableId="283585742">
    <w:abstractNumId w:val="2"/>
  </w:num>
  <w:num w:numId="39" w16cid:durableId="908996777">
    <w:abstractNumId w:val="1"/>
  </w:num>
  <w:num w:numId="40" w16cid:durableId="191724939">
    <w:abstractNumId w:val="0"/>
  </w:num>
  <w:num w:numId="41" w16cid:durableId="872038733">
    <w:abstractNumId w:val="10"/>
  </w:num>
  <w:num w:numId="42" w16cid:durableId="259799677">
    <w:abstractNumId w:val="10"/>
  </w:num>
  <w:num w:numId="43" w16cid:durableId="1972401444">
    <w:abstractNumId w:val="10"/>
  </w:num>
  <w:num w:numId="44" w16cid:durableId="264140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FI"/>
    <w:docVar w:name="dvnumam" w:val="0"/>
    <w:docVar w:name="dvpe" w:val="785.295"/>
    <w:docVar w:name="dvtitre" w:val="Euroopan parlamentin päätöslauselma 30. huhtikuuta 2026 digimarkkinasäädöksen täytäntöönpanon valvonnasta(2026/2596(RSP))"/>
  </w:docVars>
  <w:rsids>
    <w:rsidRoot w:val="009573E1"/>
    <w:rsid w:val="00002272"/>
    <w:rsid w:val="00064002"/>
    <w:rsid w:val="000677B9"/>
    <w:rsid w:val="000831BA"/>
    <w:rsid w:val="000A42CC"/>
    <w:rsid w:val="000A4FC1"/>
    <w:rsid w:val="000E7DD9"/>
    <w:rsid w:val="0010095E"/>
    <w:rsid w:val="00125B37"/>
    <w:rsid w:val="00187494"/>
    <w:rsid w:val="0019599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1B4"/>
    <w:rsid w:val="0050519A"/>
    <w:rsid w:val="005072A1"/>
    <w:rsid w:val="00514517"/>
    <w:rsid w:val="00545827"/>
    <w:rsid w:val="00560270"/>
    <w:rsid w:val="00570651"/>
    <w:rsid w:val="005A584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6BD"/>
    <w:rsid w:val="00842779"/>
    <w:rsid w:val="00865F67"/>
    <w:rsid w:val="00881A7B"/>
    <w:rsid w:val="008840E5"/>
    <w:rsid w:val="00887B3E"/>
    <w:rsid w:val="008C2AC6"/>
    <w:rsid w:val="00902266"/>
    <w:rsid w:val="00930C23"/>
    <w:rsid w:val="0093193B"/>
    <w:rsid w:val="009509D8"/>
    <w:rsid w:val="00950B64"/>
    <w:rsid w:val="009573E1"/>
    <w:rsid w:val="00981893"/>
    <w:rsid w:val="00A1687D"/>
    <w:rsid w:val="00A43E52"/>
    <w:rsid w:val="00A4678D"/>
    <w:rsid w:val="00A778C7"/>
    <w:rsid w:val="00A96DE8"/>
    <w:rsid w:val="00AB441E"/>
    <w:rsid w:val="00AB6293"/>
    <w:rsid w:val="00AE0928"/>
    <w:rsid w:val="00AE58A3"/>
    <w:rsid w:val="00AF3B82"/>
    <w:rsid w:val="00B12E95"/>
    <w:rsid w:val="00B22876"/>
    <w:rsid w:val="00B558F0"/>
    <w:rsid w:val="00B9630B"/>
    <w:rsid w:val="00BD48FE"/>
    <w:rsid w:val="00BD7BD8"/>
    <w:rsid w:val="00BE6ADC"/>
    <w:rsid w:val="00C05BFE"/>
    <w:rsid w:val="00C23CD4"/>
    <w:rsid w:val="00C27A81"/>
    <w:rsid w:val="00C61C0C"/>
    <w:rsid w:val="00C941CB"/>
    <w:rsid w:val="00CC2357"/>
    <w:rsid w:val="00CF071A"/>
    <w:rsid w:val="00D058B8"/>
    <w:rsid w:val="00D53517"/>
    <w:rsid w:val="00D56C11"/>
    <w:rsid w:val="00D74B10"/>
    <w:rsid w:val="00D834A0"/>
    <w:rsid w:val="00D872DF"/>
    <w:rsid w:val="00D91E21"/>
    <w:rsid w:val="00DA7FCD"/>
    <w:rsid w:val="00E1570F"/>
    <w:rsid w:val="00E365E1"/>
    <w:rsid w:val="00E820A4"/>
    <w:rsid w:val="00EB006A"/>
    <w:rsid w:val="00EB4772"/>
    <w:rsid w:val="00ED169E"/>
    <w:rsid w:val="00ED4235"/>
    <w:rsid w:val="00F04346"/>
    <w:rsid w:val="00F075DC"/>
    <w:rsid w:val="00F149E9"/>
    <w:rsid w:val="00F35E4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9E6CF"/>
  <w15:chartTrackingRefBased/>
  <w15:docId w15:val="{C111027B-BC2A-4B47-B87C-F88BF4A8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4B10"/>
    <w:pPr>
      <w:spacing w:before="480" w:after="240"/>
    </w:pPr>
  </w:style>
  <w:style w:type="paragraph" w:customStyle="1" w:styleId="NormalHanging12a">
    <w:name w:val="NormalHanging12a"/>
    <w:basedOn w:val="Normal"/>
    <w:rsid w:val="00D74B10"/>
    <w:pPr>
      <w:spacing w:after="240"/>
      <w:ind w:left="567" w:hanging="567"/>
    </w:pPr>
  </w:style>
  <w:style w:type="character" w:styleId="Hyperlink">
    <w:name w:val="Hyperlink"/>
    <w:basedOn w:val="DefaultParagraphFont"/>
    <w:unhideWhenUsed/>
    <w:rsid w:val="00D74B10"/>
    <w:rPr>
      <w:color w:val="0563C1" w:themeColor="hyperlink"/>
      <w:u w:val="single"/>
    </w:rPr>
  </w:style>
  <w:style w:type="paragraph" w:styleId="Footer">
    <w:name w:val="footer"/>
    <w:basedOn w:val="Normal"/>
    <w:link w:val="FooterChar"/>
    <w:rsid w:val="00C27A81"/>
    <w:pPr>
      <w:tabs>
        <w:tab w:val="center" w:pos="4513"/>
        <w:tab w:val="right" w:pos="9026"/>
      </w:tabs>
    </w:pPr>
  </w:style>
  <w:style w:type="character" w:customStyle="1" w:styleId="FooterChar">
    <w:name w:val="Footer Char"/>
    <w:basedOn w:val="DefaultParagraphFont"/>
    <w:link w:val="Footer"/>
    <w:rsid w:val="00C27A81"/>
    <w:rPr>
      <w:sz w:val="24"/>
      <w:lang w:val="fi-FI"/>
    </w:rPr>
  </w:style>
  <w:style w:type="paragraph" w:styleId="Revision">
    <w:name w:val="Revision"/>
    <w:hidden/>
    <w:uiPriority w:val="99"/>
    <w:semiHidden/>
    <w:rsid w:val="008356BD"/>
    <w:rPr>
      <w:sz w:val="24"/>
      <w:lang w:val="fi-FI"/>
    </w:rPr>
  </w:style>
  <w:style w:type="paragraph" w:customStyle="1" w:styleId="NormalBold12b">
    <w:name w:val="NormalBold12b"/>
    <w:basedOn w:val="Normal"/>
    <w:link w:val="NormalBold12bChar"/>
    <w:rsid w:val="00E1570F"/>
    <w:pPr>
      <w:spacing w:before="240"/>
    </w:pPr>
    <w:rPr>
      <w:b/>
    </w:rPr>
  </w:style>
  <w:style w:type="character" w:customStyle="1" w:styleId="NormalBold12bChar">
    <w:name w:val="NormalBold12b Char"/>
    <w:basedOn w:val="DefaultParagraphFont"/>
    <w:link w:val="NormalBold12b"/>
    <w:rsid w:val="00E1570F"/>
    <w:rPr>
      <w:b/>
      <w:sz w:val="24"/>
      <w:lang w:val="fi-FI"/>
    </w:rPr>
  </w:style>
  <w:style w:type="paragraph" w:customStyle="1" w:styleId="Normal6a">
    <w:name w:val="Normal6a"/>
    <w:basedOn w:val="Normal"/>
    <w:rsid w:val="00E1570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2/2560/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3224</Words>
  <Characters>29239</Characters>
  <Application>Microsoft Office Word</Application>
  <DocSecurity>0</DocSecurity>
  <Lines>443</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2026-06-04T13:07:00Z</dcterms:created>
  <dcterms:modified xsi:type="dcterms:W3CDTF">2026-06-04T13:07:00Z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B10-0190/2026</vt:lpwstr>
  </property>
  <property fmtid="{D5CDD505-2E9C-101B-9397-08002B2CF9AE}" pid="4" name="&lt;Type&gt;">
    <vt:lpwstr>RR</vt:lpwstr>
  </property>
  <property fmtid="{D5CDD505-2E9C-101B-9397-08002B2CF9AE}" pid="5" name="&lt;Model&gt;">
    <vt:lpwstr/>
  </property>
</Properties>
</file>