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153EA" w14:paraId="078088CE" w14:textId="77777777" w:rsidTr="0010095E">
        <w:trPr>
          <w:trHeight w:hRule="exact" w:val="1418"/>
        </w:trPr>
        <w:tc>
          <w:tcPr>
            <w:tcW w:w="6804" w:type="dxa"/>
            <w:shd w:val="clear" w:color="auto" w:fill="auto"/>
            <w:vAlign w:val="center"/>
          </w:tcPr>
          <w:p w14:paraId="6053D35F" w14:textId="77777777" w:rsidR="00751A4A" w:rsidRPr="00B153EA" w:rsidRDefault="0087746B" w:rsidP="0010095E">
            <w:pPr>
              <w:pStyle w:val="EPName"/>
            </w:pPr>
            <w:r w:rsidRPr="00B153EA">
              <w:t>Európai Parlament</w:t>
            </w:r>
          </w:p>
          <w:p w14:paraId="0AE0BA6F" w14:textId="77777777" w:rsidR="00751A4A" w:rsidRPr="00B153EA" w:rsidRDefault="005F1B17" w:rsidP="005F1B17">
            <w:pPr>
              <w:pStyle w:val="EPTerm"/>
              <w:rPr>
                <w:rStyle w:val="HideTWBExt"/>
                <w:noProof w:val="0"/>
                <w:vanish w:val="0"/>
                <w:color w:val="auto"/>
              </w:rPr>
            </w:pPr>
            <w:r w:rsidRPr="00B153EA">
              <w:t>2024</w:t>
            </w:r>
            <w:r w:rsidR="00817416" w:rsidRPr="00B153EA">
              <w:t>-202</w:t>
            </w:r>
            <w:r w:rsidRPr="00B153EA">
              <w:t>9</w:t>
            </w:r>
          </w:p>
        </w:tc>
        <w:tc>
          <w:tcPr>
            <w:tcW w:w="2268" w:type="dxa"/>
            <w:shd w:val="clear" w:color="auto" w:fill="auto"/>
          </w:tcPr>
          <w:p w14:paraId="6A5CDC69" w14:textId="77777777" w:rsidR="00751A4A" w:rsidRPr="00B153EA" w:rsidRDefault="00187494" w:rsidP="0010095E">
            <w:pPr>
              <w:pStyle w:val="EPLogo"/>
            </w:pPr>
            <w:r w:rsidRPr="00B153EA">
              <w:rPr>
                <w:noProof/>
                <w:lang w:eastAsia="ja-JP"/>
              </w:rPr>
              <w:drawing>
                <wp:inline distT="0" distB="0" distL="0" distR="0" wp14:anchorId="39F390A7" wp14:editId="50012B1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90D0673" w14:textId="77777777" w:rsidR="00D058B8" w:rsidRPr="00B153EA" w:rsidRDefault="00D058B8" w:rsidP="004C5D52">
      <w:pPr>
        <w:pStyle w:val="LineTop"/>
      </w:pPr>
    </w:p>
    <w:p w14:paraId="33BD4BC9" w14:textId="77777777" w:rsidR="00680577" w:rsidRPr="00B153EA" w:rsidRDefault="0087746B" w:rsidP="00680577">
      <w:pPr>
        <w:pStyle w:val="EPBodyTA1"/>
      </w:pPr>
      <w:r w:rsidRPr="00B153EA">
        <w:t>ELFOGADOTT SZÖVEGEK</w:t>
      </w:r>
    </w:p>
    <w:p w14:paraId="001127FA" w14:textId="77777777" w:rsidR="00D058B8" w:rsidRPr="00B153EA" w:rsidRDefault="00D058B8" w:rsidP="00D058B8">
      <w:pPr>
        <w:pStyle w:val="LineBottom"/>
      </w:pPr>
    </w:p>
    <w:p w14:paraId="2D376003" w14:textId="25BD69F3" w:rsidR="0087746B" w:rsidRPr="00B153EA" w:rsidRDefault="0087746B" w:rsidP="0087746B">
      <w:pPr>
        <w:pStyle w:val="ATHeading1"/>
      </w:pPr>
      <w:bookmarkStart w:id="0" w:name="TANumber"/>
      <w:r w:rsidRPr="00B153EA">
        <w:t>P10_</w:t>
      </w:r>
      <w:proofErr w:type="gramStart"/>
      <w:r w:rsidRPr="00B153EA">
        <w:t>TA(</w:t>
      </w:r>
      <w:proofErr w:type="gramEnd"/>
      <w:r w:rsidRPr="00B153EA">
        <w:t>2026)0</w:t>
      </w:r>
      <w:r w:rsidR="00B153EA">
        <w:t>160</w:t>
      </w:r>
      <w:bookmarkEnd w:id="0"/>
    </w:p>
    <w:p w14:paraId="406B23CA" w14:textId="77777777" w:rsidR="0087746B" w:rsidRPr="00B153EA" w:rsidRDefault="0087746B" w:rsidP="0087746B">
      <w:pPr>
        <w:pStyle w:val="ATHeading2"/>
      </w:pPr>
      <w:bookmarkStart w:id="1" w:name="title"/>
      <w:r w:rsidRPr="00B153EA">
        <w:t>A digitális piacokról szóló jogszabály végrehajtása</w:t>
      </w:r>
      <w:bookmarkEnd w:id="1"/>
    </w:p>
    <w:p w14:paraId="6948D58C" w14:textId="77777777" w:rsidR="0087746B" w:rsidRPr="00B153EA" w:rsidRDefault="0087746B" w:rsidP="0087746B">
      <w:pPr>
        <w:rPr>
          <w:i/>
          <w:vanish/>
        </w:rPr>
      </w:pPr>
      <w:r w:rsidRPr="00B153EA">
        <w:rPr>
          <w:i/>
        </w:rPr>
        <w:fldChar w:fldCharType="begin"/>
      </w:r>
      <w:r w:rsidRPr="00B153EA">
        <w:rPr>
          <w:i/>
        </w:rPr>
        <w:instrText xml:space="preserve"> TC"(</w:instrText>
      </w:r>
      <w:bookmarkStart w:id="2" w:name="DocNumber"/>
      <w:r w:rsidRPr="00B153EA">
        <w:rPr>
          <w:i/>
        </w:rPr>
        <w:instrText>B10-0190/2026</w:instrText>
      </w:r>
      <w:bookmarkEnd w:id="2"/>
      <w:r w:rsidRPr="00B153EA">
        <w:rPr>
          <w:i/>
        </w:rPr>
        <w:instrText xml:space="preserve">)"\l3 \n&gt; \* MERGEFORMAT </w:instrText>
      </w:r>
      <w:r w:rsidRPr="00B153EA">
        <w:rPr>
          <w:i/>
        </w:rPr>
        <w:fldChar w:fldCharType="end"/>
      </w:r>
    </w:p>
    <w:p w14:paraId="2A353B8B" w14:textId="77777777" w:rsidR="0087746B" w:rsidRPr="00B153EA" w:rsidRDefault="0087746B" w:rsidP="0087746B">
      <w:pPr>
        <w:rPr>
          <w:vanish/>
        </w:rPr>
      </w:pPr>
      <w:bookmarkStart w:id="3" w:name="PE"/>
      <w:r w:rsidRPr="00B153EA">
        <w:rPr>
          <w:vanish/>
        </w:rPr>
        <w:t>PE785.295</w:t>
      </w:r>
      <w:bookmarkEnd w:id="3"/>
    </w:p>
    <w:p w14:paraId="573A1B9C" w14:textId="1DC38002" w:rsidR="0087746B" w:rsidRPr="00B153EA" w:rsidRDefault="0087746B" w:rsidP="0087746B">
      <w:pPr>
        <w:pStyle w:val="ATHeading3"/>
      </w:pPr>
      <w:bookmarkStart w:id="4" w:name="Sujet"/>
      <w:r w:rsidRPr="00B153EA">
        <w:t xml:space="preserve">Az Európai Parlament 2026. </w:t>
      </w:r>
      <w:r w:rsidR="00F92BA1" w:rsidRPr="00B153EA">
        <w:t>április 30</w:t>
      </w:r>
      <w:r w:rsidRPr="00B153EA">
        <w:t>-i állásfoglalása a digitális piacokról szóló rendelet végrehajtásáról</w:t>
      </w:r>
      <w:bookmarkEnd w:id="4"/>
      <w:r w:rsidRPr="00B153EA">
        <w:t xml:space="preserve"> </w:t>
      </w:r>
      <w:bookmarkStart w:id="5" w:name="References"/>
      <w:r w:rsidRPr="00B153EA">
        <w:t>(2026/2596(RSP))</w:t>
      </w:r>
      <w:bookmarkEnd w:id="5"/>
    </w:p>
    <w:p w14:paraId="3BD3A903" w14:textId="77777777" w:rsidR="006F132F" w:rsidRPr="00B153EA" w:rsidRDefault="006F132F" w:rsidP="006F132F">
      <w:pPr>
        <w:pStyle w:val="EPComma"/>
      </w:pPr>
      <w:bookmarkStart w:id="6" w:name="TextBodyBegin"/>
      <w:bookmarkEnd w:id="6"/>
      <w:r w:rsidRPr="00B153EA">
        <w:rPr>
          <w:i/>
        </w:rPr>
        <w:t>Az Európai Parlament</w:t>
      </w:r>
      <w:r w:rsidRPr="00B153EA">
        <w:t>,</w:t>
      </w:r>
    </w:p>
    <w:p w14:paraId="4207BD9E" w14:textId="77777777" w:rsidR="006F132F" w:rsidRPr="00B153EA" w:rsidRDefault="006F132F" w:rsidP="00F92BA1">
      <w:pPr>
        <w:pStyle w:val="NormalHanging12a"/>
        <w:widowControl/>
      </w:pPr>
      <w:r w:rsidRPr="00B153EA">
        <w:t>–</w:t>
      </w:r>
      <w:r w:rsidRPr="00B153EA">
        <w:tab/>
        <w:t>tekintettel a digitális ágazat vonatkozásában a versengő és tisztességes piacokról, valamint az (EU) 2019/1937 és az (EU) 2020/1828 irányelv módosításáról szóló, 2022. szeptember 14-i (EU) 2022/1925 európai parlamenti és tanácsi rendeletre (digitális piacokról szóló jogszabály)</w:t>
      </w:r>
      <w:r w:rsidRPr="00B153EA">
        <w:rPr>
          <w:rStyle w:val="FootnoteReference"/>
        </w:rPr>
        <w:footnoteReference w:id="1"/>
      </w:r>
      <w:r w:rsidRPr="00B153EA">
        <w:t xml:space="preserve"> és különösen annak 53. cikkére,</w:t>
      </w:r>
    </w:p>
    <w:p w14:paraId="3E0234F5" w14:textId="34445975" w:rsidR="006F132F" w:rsidRPr="00B153EA" w:rsidRDefault="006F132F" w:rsidP="00F92BA1">
      <w:pPr>
        <w:pStyle w:val="NormalHanging12a"/>
        <w:widowControl/>
      </w:pPr>
      <w:r w:rsidRPr="00B153EA">
        <w:t>–</w:t>
      </w:r>
      <w:r w:rsidRPr="00B153EA">
        <w:tab/>
        <w:t>tekintettel a digitális piacokról szóló jogszabály végrehajtásával kapcsolatban a Bizottsághoz intézett kérdésre (O-</w:t>
      </w:r>
      <w:r w:rsidR="00300E40" w:rsidRPr="00B153EA">
        <w:t xml:space="preserve">000016/2026 </w:t>
      </w:r>
      <w:r w:rsidRPr="00B153EA">
        <w:t>– B10</w:t>
      </w:r>
      <w:r w:rsidRPr="00B153EA">
        <w:noBreakHyphen/>
      </w:r>
      <w:r w:rsidR="00300E40" w:rsidRPr="00B153EA">
        <w:t>0010</w:t>
      </w:r>
      <w:r w:rsidRPr="00B153EA">
        <w:t>/2026),</w:t>
      </w:r>
    </w:p>
    <w:p w14:paraId="75B67DAE" w14:textId="77777777" w:rsidR="006F132F" w:rsidRPr="00B153EA" w:rsidRDefault="006F132F" w:rsidP="00F92BA1">
      <w:pPr>
        <w:pStyle w:val="NormalHanging12a"/>
        <w:widowControl/>
        <w:rPr>
          <w:rFonts w:eastAsia="Aptos"/>
          <w:kern w:val="2"/>
          <w:szCs w:val="24"/>
          <w14:ligatures w14:val="standardContextual"/>
        </w:rPr>
      </w:pPr>
      <w:r w:rsidRPr="00B153EA">
        <w:t>–</w:t>
      </w:r>
      <w:r w:rsidRPr="00B153EA">
        <w:tab/>
        <w:t>tekintettel az (EU) 2022/1925 rendelet 3. cikke alapján elfogadott, az Alphabetet</w:t>
      </w:r>
      <w:r w:rsidRPr="00B153EA">
        <w:rPr>
          <w:rFonts w:eastAsia="MS Mincho"/>
          <w:vertAlign w:val="superscript"/>
          <w:lang w:eastAsia="en-US"/>
        </w:rPr>
        <w:footnoteReference w:id="2"/>
      </w:r>
      <w:r w:rsidRPr="00B153EA">
        <w:t>, az Amazont</w:t>
      </w:r>
      <w:r w:rsidRPr="00B153EA">
        <w:rPr>
          <w:rFonts w:eastAsia="MS Mincho"/>
          <w:vertAlign w:val="superscript"/>
          <w:lang w:eastAsia="en-US"/>
        </w:rPr>
        <w:footnoteReference w:id="3"/>
      </w:r>
      <w:r w:rsidRPr="00B153EA">
        <w:t>, az Apple-t</w:t>
      </w:r>
      <w:r w:rsidRPr="00B153EA">
        <w:rPr>
          <w:rFonts w:eastAsia="MS Mincho"/>
          <w:vertAlign w:val="superscript"/>
          <w:lang w:eastAsia="en-US"/>
        </w:rPr>
        <w:footnoteReference w:id="4"/>
      </w:r>
      <w:r w:rsidRPr="00B153EA">
        <w:t>, a ByteDance-t</w:t>
      </w:r>
      <w:r w:rsidRPr="00B153EA">
        <w:rPr>
          <w:rFonts w:eastAsia="MS Mincho"/>
          <w:vertAlign w:val="superscript"/>
          <w:lang w:eastAsia="en-US"/>
        </w:rPr>
        <w:footnoteReference w:id="5"/>
      </w:r>
      <w:r w:rsidRPr="00B153EA">
        <w:t>, a Metát</w:t>
      </w:r>
      <w:r w:rsidRPr="00B153EA">
        <w:rPr>
          <w:rFonts w:eastAsia="MS Mincho"/>
          <w:vertAlign w:val="superscript"/>
          <w:lang w:eastAsia="en-US"/>
        </w:rPr>
        <w:footnoteReference w:id="6"/>
      </w:r>
      <w:r w:rsidRPr="00B153EA">
        <w:t xml:space="preserve"> és a Microsoftot</w:t>
      </w:r>
      <w:r w:rsidRPr="00B153EA">
        <w:rPr>
          <w:rFonts w:eastAsia="MS Mincho"/>
          <w:vertAlign w:val="superscript"/>
          <w:lang w:eastAsia="en-US"/>
        </w:rPr>
        <w:footnoteReference w:id="7"/>
      </w:r>
      <w:r w:rsidRPr="00B153EA">
        <w:t xml:space="preserve"> számos alapvető platformszolgáltatás tekintetében kapuőrnek minősítő, 2023. szeptember 6-i bizottsági határozatokra,</w:t>
      </w:r>
    </w:p>
    <w:p w14:paraId="750084E1" w14:textId="77777777" w:rsidR="006F132F" w:rsidRPr="00B153EA" w:rsidRDefault="006F132F" w:rsidP="00F92BA1">
      <w:pPr>
        <w:pStyle w:val="NormalHanging12a"/>
        <w:widowControl/>
        <w:rPr>
          <w:rFonts w:eastAsia="Aptos"/>
          <w:kern w:val="2"/>
          <w:szCs w:val="24"/>
          <w14:ligatures w14:val="standardContextual"/>
        </w:rPr>
      </w:pPr>
      <w:r w:rsidRPr="00B153EA">
        <w:t>–</w:t>
      </w:r>
      <w:r w:rsidRPr="00B153EA">
        <w:tab/>
        <w:t>tekintettel az Apple iPadOS operációs rendszerét alapvető platformszolgáltatásnak minősítő, az (EU) 2022/1925 rendelet 3. cikke alapján elfogadott, 2024. április 29-i bizottsági határozatra</w:t>
      </w:r>
      <w:r w:rsidRPr="00B153EA">
        <w:rPr>
          <w:rFonts w:eastAsia="MS Mincho"/>
          <w:szCs w:val="24"/>
          <w:vertAlign w:val="superscript"/>
          <w:lang w:eastAsia="en-US"/>
        </w:rPr>
        <w:footnoteReference w:id="8"/>
      </w:r>
      <w:r w:rsidRPr="00B153EA">
        <w:t>,</w:t>
      </w:r>
    </w:p>
    <w:p w14:paraId="2FF69191" w14:textId="77777777" w:rsidR="006F132F" w:rsidRPr="00B153EA" w:rsidRDefault="006F132F" w:rsidP="00F92BA1">
      <w:pPr>
        <w:pStyle w:val="NormalHanging12a"/>
        <w:widowControl/>
        <w:rPr>
          <w:rFonts w:eastAsia="Aptos"/>
          <w:kern w:val="2"/>
          <w:szCs w:val="24"/>
          <w14:ligatures w14:val="standardContextual"/>
        </w:rPr>
      </w:pPr>
      <w:r w:rsidRPr="00B153EA">
        <w:t>–</w:t>
      </w:r>
      <w:r w:rsidRPr="00B153EA">
        <w:tab/>
        <w:t>tekintettel az (EU) 2022/1925 rendelet 3. cikke alapján elfogadott, a Booking.com-ot online közvetítő szolgáltatásai tekintetében kapuőrnek minősítő, 2024. május 13-i bizottsági határozatra</w:t>
      </w:r>
      <w:r w:rsidRPr="00B153EA">
        <w:rPr>
          <w:rFonts w:eastAsia="MS Mincho"/>
          <w:szCs w:val="24"/>
          <w:vertAlign w:val="superscript"/>
          <w:lang w:eastAsia="en-US"/>
        </w:rPr>
        <w:footnoteReference w:id="9"/>
      </w:r>
      <w:r w:rsidRPr="00B153EA">
        <w:t>,</w:t>
      </w:r>
    </w:p>
    <w:p w14:paraId="213B3BD3" w14:textId="77777777" w:rsidR="006F132F" w:rsidRPr="00B153EA" w:rsidRDefault="006F132F" w:rsidP="00F92BA1">
      <w:pPr>
        <w:pStyle w:val="NormalHanging12a"/>
        <w:widowControl/>
        <w:rPr>
          <w:rFonts w:eastAsia="Aptos"/>
          <w:kern w:val="2"/>
          <w:szCs w:val="24"/>
          <w14:ligatures w14:val="standardContextual"/>
        </w:rPr>
      </w:pPr>
      <w:r w:rsidRPr="00B153EA">
        <w:lastRenderedPageBreak/>
        <w:t>–</w:t>
      </w:r>
      <w:r w:rsidRPr="00B153EA">
        <w:tab/>
        <w:t>tekintettel az (EU) 2022/1925 rendelet 29. cikke (1) bekezdésének a) pontja, 30. cikke (1) bekezdésének a) pontja és 31. cikke (1) bekezdésének h) pontja alapján elfogadott, a Meta Facebook Marketplace szolgáltatása alapvető platformszolgáltatásként való minősítésének visszavonásáról szóló, 2025. április 23-i bizottsági határozatra</w:t>
      </w:r>
      <w:r w:rsidRPr="00B153EA">
        <w:rPr>
          <w:rFonts w:eastAsia="MS Mincho"/>
          <w:szCs w:val="24"/>
          <w:vertAlign w:val="superscript"/>
          <w:lang w:eastAsia="en-US"/>
        </w:rPr>
        <w:footnoteReference w:id="10"/>
      </w:r>
      <w:r w:rsidRPr="00B153EA">
        <w:t>,</w:t>
      </w:r>
    </w:p>
    <w:p w14:paraId="7872C073" w14:textId="77777777" w:rsidR="006F132F" w:rsidRPr="00B153EA" w:rsidRDefault="006F132F" w:rsidP="00F92BA1">
      <w:pPr>
        <w:pStyle w:val="NormalHanging12a"/>
        <w:widowControl/>
        <w:rPr>
          <w:rFonts w:eastAsia="Aptos"/>
          <w:kern w:val="2"/>
          <w:szCs w:val="24"/>
          <w14:ligatures w14:val="standardContextual"/>
        </w:rPr>
      </w:pPr>
      <w:r w:rsidRPr="00B153EA">
        <w:t>–</w:t>
      </w:r>
      <w:r w:rsidRPr="00B153EA">
        <w:tab/>
        <w:t>tekintettel az (EU) 2022/1925 európai parlamenti és tanácsi rendelet alapján bizonyos eljárások Bizottság általi lefolytatására vonatkozó részletes szabályokról szóló, 2023. április 14-i (EU) 2023/814 bizottsági végrehajtási rendeletre</w:t>
      </w:r>
      <w:r w:rsidRPr="00B153EA">
        <w:rPr>
          <w:rFonts w:eastAsia="MS Mincho"/>
          <w:szCs w:val="24"/>
          <w:vertAlign w:val="superscript"/>
          <w:lang w:eastAsia="en-US"/>
        </w:rPr>
        <w:footnoteReference w:id="11"/>
      </w:r>
      <w:r w:rsidRPr="00B153EA">
        <w:t>,</w:t>
      </w:r>
    </w:p>
    <w:p w14:paraId="654E01D2" w14:textId="77777777" w:rsidR="006F132F" w:rsidRPr="00B153EA" w:rsidRDefault="006F132F" w:rsidP="00F92BA1">
      <w:pPr>
        <w:pStyle w:val="NormalHanging12a"/>
        <w:widowControl/>
      </w:pPr>
      <w:r w:rsidRPr="00B153EA">
        <w:t>–</w:t>
      </w:r>
      <w:r w:rsidRPr="00B153EA">
        <w:tab/>
        <w:t>tekintettel eljárási szabályzata 142. cikkének (5) bekezdésére és 136. cikkének (2) bekezdésére,</w:t>
      </w:r>
    </w:p>
    <w:p w14:paraId="7CA8D3D7" w14:textId="77777777" w:rsidR="006F132F" w:rsidRPr="00B153EA" w:rsidRDefault="006F132F" w:rsidP="00F92BA1">
      <w:pPr>
        <w:pStyle w:val="NormalHanging12a"/>
        <w:widowControl/>
      </w:pPr>
      <w:r w:rsidRPr="00B153EA">
        <w:t>A.</w:t>
      </w:r>
      <w:r w:rsidRPr="00B153EA">
        <w:tab/>
        <w:t>mivel a digitális piacokról szóló jogszabály harmonizált előzetes szabályozási keretet hoz létre annak érdekében, hogy Unió-szerte biztosítsa a tisztességes, nyitott és versengő digitális piacokat, megelőzze a tisztességtelen kapuőri gyakorlatokat, megőrizze az egységes piac integritását és megfelelő működését, biztosítsa a kötelezettségek hatékony és megkülönböztetésmentes alkalmazását valamennyi minősített kapuőrre, felszámolja a belépési akadályokat, valamint Unió-szerte előmozdítsa a határokon átnyúló digitális szolgáltatásokat, az innovációt, a fogyasztók választási lehetőségeit és a tisztességes versenyt;</w:t>
      </w:r>
    </w:p>
    <w:p w14:paraId="73D3D74A" w14:textId="77777777" w:rsidR="006F132F" w:rsidRPr="00B153EA" w:rsidRDefault="006F132F" w:rsidP="00F92BA1">
      <w:pPr>
        <w:pStyle w:val="NormalHanging12a"/>
        <w:widowControl/>
      </w:pPr>
      <w:r w:rsidRPr="00B153EA">
        <w:t>B.</w:t>
      </w:r>
      <w:r w:rsidRPr="00B153EA">
        <w:tab/>
        <w:t>mivel a digitális piacokról szóló jogszabály célja, hogy valódi előnyöket biztosítson a digitális piacok számára, biztosítva, hogy az üzleti felhasználók és a végfelhasználók hatékonyan gyakorolhassák a rendelet szerinti jogaikat, és hogy a kapuőrök gyakorlatai többé ne akadályozzák a belépést, illetve a növekedést vagy az innovációt az egységes piacon; célja továbbá, hogy megelőzze a fogyasztók függését, amely visszatartja őket a szolgáltatásváltástól;</w:t>
      </w:r>
    </w:p>
    <w:p w14:paraId="20F71936" w14:textId="77777777" w:rsidR="006F132F" w:rsidRPr="00B153EA" w:rsidRDefault="006F132F" w:rsidP="00F92BA1">
      <w:pPr>
        <w:pStyle w:val="NormalHanging12a"/>
        <w:widowControl/>
      </w:pPr>
      <w:r w:rsidRPr="00B153EA">
        <w:t>C.</w:t>
      </w:r>
      <w:r w:rsidRPr="00B153EA">
        <w:tab/>
        <w:t>mivel a Parlament demokratikus ellenőrzést gyakorol a digitális piacokról szóló jogszabály végrehajtása és érvényesítése felett, különösen a Belső Piaci és Fogyasztóvédelmi Bizottságán keresztül;</w:t>
      </w:r>
    </w:p>
    <w:p w14:paraId="428EF2AD" w14:textId="77777777" w:rsidR="006F132F" w:rsidRPr="00B153EA" w:rsidRDefault="006F132F" w:rsidP="00F92BA1">
      <w:pPr>
        <w:pStyle w:val="NormalHanging12a"/>
        <w:widowControl/>
      </w:pPr>
      <w:r w:rsidRPr="00B153EA">
        <w:t>D.</w:t>
      </w:r>
      <w:r w:rsidRPr="00B153EA">
        <w:tab/>
        <w:t>mivel a digitális piacokról szóló jogszabály korai végrehajtása megerősíti, hogy az kulcsfontosságú eszköz az EU-ban a piac nyitottságának és tisztességes voltának, a versenynek és a felhasználók választási lehetőségeinek javításában, és hangsúlyozza, hogy az EU-ban működő valamennyi vállalkozásnak – méretétől vagy származásától függetlenül – teljes mértékben tiszteletben kell tartania és be kell tartania az uniós jogot;</w:t>
      </w:r>
    </w:p>
    <w:p w14:paraId="0100AA52" w14:textId="77777777" w:rsidR="006F132F" w:rsidRPr="00B153EA" w:rsidRDefault="006F132F" w:rsidP="00F92BA1">
      <w:pPr>
        <w:pStyle w:val="NormalHanging12a"/>
        <w:widowControl/>
      </w:pPr>
      <w:r w:rsidRPr="00B153EA">
        <w:t>E.</w:t>
      </w:r>
      <w:r w:rsidRPr="00B153EA">
        <w:tab/>
        <w:t>mivel a digitális piacokról szóló jogszabály végrehajtása továbbra is a korai szakaszban tart, ami kihívást jelent az időben történő és hatékony végrehajtás, a nyomonkövetési kapacitás és egyes megfelelési megoldások gyakorlati hatékonysága szempontjából, különös tekintettel az alapul szolgáló technológiák összetettségére, a felhasználói felületek kialakítására és a választási architektúrára;</w:t>
      </w:r>
    </w:p>
    <w:p w14:paraId="1192CC9B" w14:textId="77777777" w:rsidR="006F132F" w:rsidRPr="00B153EA" w:rsidRDefault="006F132F" w:rsidP="00F92BA1">
      <w:pPr>
        <w:pStyle w:val="NormalHanging12a"/>
        <w:widowControl/>
      </w:pPr>
      <w:r w:rsidRPr="00B153EA">
        <w:t>F.</w:t>
      </w:r>
      <w:r w:rsidRPr="00B153EA">
        <w:tab/>
        <w:t xml:space="preserve">mivel a kisebb vállalkozások, köztük az induló és az innovatív növekvő innovatív vállalkozások továbbra is akadályokkal és tisztességtelen akadályokkal szembesülnek a digitális piacokon, beleértve a diszkriminatív gyakorlatokat és a kapuőrök által bevezetett korlátozásokat, amelyek akadályozhatják az innovációt, korlátozhatják a </w:t>
      </w:r>
      <w:r w:rsidRPr="00B153EA">
        <w:lastRenderedPageBreak/>
        <w:t>versenyt és csökkenthetik a növekedési lehetőségeket, és végső soron csökkenthetik a fogyasztók választási lehetőségeit;</w:t>
      </w:r>
    </w:p>
    <w:p w14:paraId="47C00E5B" w14:textId="77777777" w:rsidR="006F132F" w:rsidRPr="00B153EA" w:rsidRDefault="006F132F" w:rsidP="00F92BA1">
      <w:pPr>
        <w:pStyle w:val="NormalHanging12a"/>
        <w:widowControl/>
      </w:pPr>
      <w:r w:rsidRPr="00B153EA">
        <w:t>G.</w:t>
      </w:r>
      <w:r w:rsidRPr="00B153EA">
        <w:tab/>
        <w:t>mivel a kapuőrök és a szabályozók közötti információs aszimmetria, valamint a megfelelési intézkedések korlátozott átláthatósága alááshatja a hatékony felügyeletet, az elszámoltathatóságot és a digitális piacokról szóló jogszabály végrehajtásába vetett bizalmat;</w:t>
      </w:r>
    </w:p>
    <w:p w14:paraId="2DF3994E" w14:textId="77777777" w:rsidR="006F132F" w:rsidRPr="00B153EA" w:rsidRDefault="006F132F" w:rsidP="00F92BA1">
      <w:pPr>
        <w:pStyle w:val="NormalHanging12a"/>
        <w:widowControl/>
      </w:pPr>
      <w:r w:rsidRPr="00B153EA">
        <w:t>H.</w:t>
      </w:r>
      <w:r w:rsidRPr="00B153EA">
        <w:tab/>
        <w:t>mivel az interoperabilitás, az adatokhoz való hozzáférés, az adathordozhatóság és a saját szolgáltatások előnyben részesítésének megelőzése a digitális piacokról szóló jogszabály alapvető elemei, és tartós és szigorú végrehajtást igényelnek, többek között azokban az esetekben is, amikor az alapértelmezett beállítások, a műszaki integráció vagy az ökoszisztéma hatásai versenykárt okoznak;</w:t>
      </w:r>
    </w:p>
    <w:p w14:paraId="754D1834" w14:textId="77777777" w:rsidR="006F132F" w:rsidRPr="00B153EA" w:rsidRDefault="006F132F" w:rsidP="00F92BA1">
      <w:pPr>
        <w:pStyle w:val="NormalHanging12a"/>
        <w:widowControl/>
      </w:pPr>
      <w:r w:rsidRPr="00B153EA">
        <w:t>I.</w:t>
      </w:r>
      <w:r w:rsidRPr="00B153EA">
        <w:tab/>
        <w:t>mivel a digitális piacokról szóló jogszabály szerinti számos kötelezettség aktív felhasználói döntéseken alapul, beleértve a hozzájárulás megtagadását, az előre telepített alkalmazások eltávolítását, az alapértelmezett beállítások megváltoztatását és az adatok átvitelét, ami a rendelet hatékonysága szempontjából központi jelentőségűvé teszi a felhasználói tudatosságot és a felhasználói felületek kialakítását;</w:t>
      </w:r>
    </w:p>
    <w:p w14:paraId="29A67F0C" w14:textId="77777777" w:rsidR="006F132F" w:rsidRPr="00B153EA" w:rsidRDefault="006F132F" w:rsidP="00F92BA1">
      <w:pPr>
        <w:pStyle w:val="NormalHanging12a"/>
        <w:widowControl/>
      </w:pPr>
      <w:r w:rsidRPr="00B153EA">
        <w:t>J.</w:t>
      </w:r>
      <w:r w:rsidRPr="00B153EA">
        <w:tab/>
        <w:t>mivel a digitális piacokról szóló jogszabály hatálybalépése óta kézzelfogható eredmények figyelhetők meg a tisztességes, nyitott és versengő digitális piacok létrehozása terén, mivel a fogyasztók immár jobb és semlegesebb választási képernyőket kapnak az alapértelmezett böngészők és alkalmazások kiválasztásakor, többek között az eszközök beállítása és a rendszerbeállítások során, és alapértelmezettként be tudják állítani a harmadik felek szolgáltatásait a korábban az előre telepített szolgáltatásokra korlátozódó kategóriákban;</w:t>
      </w:r>
    </w:p>
    <w:p w14:paraId="7364C872" w14:textId="77777777" w:rsidR="006F132F" w:rsidRPr="00B153EA" w:rsidRDefault="006F132F" w:rsidP="00F92BA1">
      <w:pPr>
        <w:pStyle w:val="NormalHanging12a"/>
        <w:widowControl/>
      </w:pPr>
      <w:r w:rsidRPr="00B153EA">
        <w:t>K.</w:t>
      </w:r>
      <w:r w:rsidRPr="00B153EA">
        <w:tab/>
        <w:t>mivel a fokozott interoperabilitási követelmények a fogyasztók választási lehetőségeit is bővítik azáltal, hogy az összekapcsolt és viselhető eszközök és szolgáltatások szélesebb köre számára teszik lehetővé az alapvető platformszolgáltatásokkal való működést, ezáltal csökkentve az előre telepített ökoszisztémáktól való függőséget, és hozzájárulva a versengő jelleg és a fogyasztói autonómia fokozásához;</w:t>
      </w:r>
    </w:p>
    <w:p w14:paraId="7C6ABC7D" w14:textId="77777777" w:rsidR="006F132F" w:rsidRPr="00B153EA" w:rsidRDefault="006F132F" w:rsidP="00F92BA1">
      <w:pPr>
        <w:pStyle w:val="NormalHanging12a"/>
        <w:widowControl/>
      </w:pPr>
      <w:r w:rsidRPr="00B153EA">
        <w:t>L.</w:t>
      </w:r>
      <w:r w:rsidRPr="00B153EA">
        <w:tab/>
        <w:t>mivel a digitális piacokról szóló jogszabály sikerét nemcsak a formai megfelelés alapján kell értékelni, hanem annak alapján is, hogy célkitűzései a gyakorlatban megvalósulnak-e, és azok a végfelhasználók, az üzleti felhasználók és a szélesebb nyilvánosság számára legitimnek tekinthetők-e;</w:t>
      </w:r>
    </w:p>
    <w:p w14:paraId="25CE0A03" w14:textId="77777777" w:rsidR="006F132F" w:rsidRPr="00B153EA" w:rsidRDefault="006F132F" w:rsidP="00F92BA1">
      <w:pPr>
        <w:pStyle w:val="NormalHanging12a"/>
        <w:widowControl/>
      </w:pPr>
      <w:r w:rsidRPr="00B153EA">
        <w:t>M.</w:t>
      </w:r>
      <w:r w:rsidRPr="00B153EA">
        <w:tab/>
        <w:t>mivel a digitális piacokról szóló jogszabály számos végrehajtási eszközt biztosít, beleértve a szabályozási párbeszédet, a piaci vizsgálatokat és a meg nem felelési eljárásokat a jogsértések felderítése, kezelése és a bírságok kiszabása érdekében; mivel a hatékony és arányos bírságok elengedhetetlenek az elrettentés biztosításához és a digitális piacokról szóló jogszabály hatékonyságának megőrzéséhez; mivel a technológiai fejlődés, beleértve a mesterséges intelligencián alapuló funkciókat és a felhőalapú szolgáltatásokat, új kihívásokat támaszt a versengő és tisztességes jelleg tekintetében, amelyeket a digitális piacokról szóló jogszabály rendelkezéseinek időben történő, egységes és következetes alkalmazásával kell kezelni;</w:t>
      </w:r>
    </w:p>
    <w:p w14:paraId="6C62DFA4" w14:textId="77777777" w:rsidR="006F132F" w:rsidRPr="00B153EA" w:rsidRDefault="006F132F" w:rsidP="00F92BA1">
      <w:pPr>
        <w:pStyle w:val="NormalHanging12a"/>
        <w:widowControl/>
      </w:pPr>
      <w:r w:rsidRPr="00B153EA">
        <w:t>N.</w:t>
      </w:r>
      <w:r w:rsidRPr="00B153EA">
        <w:tab/>
        <w:t xml:space="preserve">mivel a generatív mesterséges intelligencián alapuló rendszerek és mesterséges intelligenciát használó virtuális asszisztensek gyors fejlődése Unió-szerte jelentősen </w:t>
      </w:r>
      <w:r w:rsidRPr="00B153EA">
        <w:lastRenderedPageBreak/>
        <w:t>átalakítja a versenydinamikát, a piaci struktúrákat, az értékláncokat és a digitális szolgáltatásokhoz való felhasználói hozzáférést, ami hatással lehet a digitális piacok versengő és tisztességes jellegére;</w:t>
      </w:r>
    </w:p>
    <w:p w14:paraId="282A8C84" w14:textId="77777777" w:rsidR="006F132F" w:rsidRPr="00B153EA" w:rsidRDefault="006F132F" w:rsidP="00F92BA1">
      <w:pPr>
        <w:pStyle w:val="NormalHanging12a"/>
        <w:widowControl/>
      </w:pPr>
      <w:r w:rsidRPr="00B153EA">
        <w:t>O.</w:t>
      </w:r>
      <w:r w:rsidRPr="00B153EA">
        <w:tab/>
        <w:t>mivel a digitális piacokról szóló jogszabály számos olyan rendelkezést tartalmaz, amelyek relevánsak annak megakadályozása szempontjából, hogy a kapuőrök korlátozzák a feltörekvő MI-fejlesztők versenyképességét és innovációs képességét, beleértve a tisztességes és megkülönböztetésmentes rangsorolással, a hirdetési szolgáltatások átláthatóságával és az adatokhoz való hozzáféréssel kapcsolatos kötelezettségeket;</w:t>
      </w:r>
    </w:p>
    <w:p w14:paraId="035D7A33" w14:textId="77777777" w:rsidR="006F132F" w:rsidRPr="00B153EA" w:rsidRDefault="006F132F" w:rsidP="00F92BA1">
      <w:pPr>
        <w:pStyle w:val="NormalHanging12a"/>
        <w:widowControl/>
      </w:pPr>
      <w:r w:rsidRPr="00B153EA">
        <w:t>P.</w:t>
      </w:r>
      <w:r w:rsidRPr="00B153EA">
        <w:tab/>
        <w:t>mivel a felhőalapú számítástechnikai szolgáltatások egyes esetekben egyre inkább a digitális ökoszisztémák kritikus rétegét alkotják, többek között az MI-alkalmazások fejlesztése, bevezetése és bővítése szempontjából; mivel az egyes felhőpiaci szegmensekben tapasztalható magas koncentráció, szolgáltatóváltási költségek, interoperabilitási korlátok és függőségi kockázatok a digitális piacokról szóló jogszabály által kezeltekhez hasonló aggályokat vethetnek fel; mivel 2025 novemberében vizsgálat indult annak értékelésére, hogy az Amazont és a Microsoftot kapuőrnek kell-e minősíteni felhőalapú számítástechnikai szolgáltatásaik, az Amazon Web Services és a Microsoft Azure tekintetében, és mivel egy másik vizsgálat indult annak értékelésére, hogy a digitális piacokról szóló jogszabály szerinti jelenlegi kötelezettségek hatékonyan kezelik-e a versenyképességet korlátozó gyakorlatokat vagy tisztességtelenek-e a felhőalapú ágazatban; mivel a rendelet értelmében eddig egyetlen felhőszolgáltatót sem minősítettek kapuőrnek;</w:t>
      </w:r>
    </w:p>
    <w:p w14:paraId="3425ACA0" w14:textId="77777777" w:rsidR="006F132F" w:rsidRPr="00B153EA" w:rsidRDefault="006F132F" w:rsidP="00F92BA1">
      <w:pPr>
        <w:pStyle w:val="NormalHanging12a"/>
        <w:widowControl/>
      </w:pPr>
      <w:r w:rsidRPr="00B153EA">
        <w:t>Q.</w:t>
      </w:r>
      <w:r w:rsidRPr="00B153EA">
        <w:tab/>
        <w:t>mivel a nagyléptékű számítási teljesítményhez, a fejlett MI-modellekhez, valamint az adat- és felhőinfrastruktúrához való hozzáférés új strukturális függőségeket és ökoszisztéma-bezáródási hatásokat teremthet, amelyek korlátozhatják a versengő jelleget, ha az uniós szabályozási keret nem kezeli megfelelően azokat;</w:t>
      </w:r>
    </w:p>
    <w:p w14:paraId="245C5583" w14:textId="77777777" w:rsidR="006F132F" w:rsidRPr="00B153EA" w:rsidRDefault="006F132F" w:rsidP="00F92BA1">
      <w:pPr>
        <w:pStyle w:val="NormalHanging12a"/>
        <w:widowControl/>
      </w:pPr>
      <w:r w:rsidRPr="00B153EA">
        <w:t>R.</w:t>
      </w:r>
      <w:r w:rsidRPr="00B153EA">
        <w:tab/>
        <w:t>mivel a Bizottságon belüli megfelelő intézményi kapacitás, technikai szakértelem és erőforrások elengedhetetlenek a digitális piacokról szóló jogszabály hatékony, független és időben történő végrehajtásának biztosításához, valamint hitelességének és visszatartó hatásának megőrzéséhez;</w:t>
      </w:r>
    </w:p>
    <w:p w14:paraId="05493ED6" w14:textId="77777777" w:rsidR="006F132F" w:rsidRPr="00B153EA" w:rsidRDefault="006F132F" w:rsidP="00F92BA1">
      <w:pPr>
        <w:pStyle w:val="NormalHanging12a"/>
        <w:widowControl/>
      </w:pPr>
      <w:r w:rsidRPr="00B153EA">
        <w:t>S.</w:t>
      </w:r>
      <w:r w:rsidRPr="00B153EA">
        <w:tab/>
        <w:t>mivel a digitális piacokról szóló jogszabály értelmében a Bizottságnak rendszeresen felül kell vizsgálnia a rendeletet, lehetőséget biztosítva a végrehajtás hatékonyságának és a fogyasztók számára nyújtott előnyeinek értékelésére, a végrehajtási kihívások azonosítására, valamint annak biztosítására, hogy a digitális piacokról szóló jogszabály a technológiai és piaci fejlemények, valamint a mesterséges intelligencián alapuló ökoszisztémák változó formáinak fényében továbbra is megfeleljen a célnak;</w:t>
      </w:r>
    </w:p>
    <w:p w14:paraId="65FC4CB7" w14:textId="77777777" w:rsidR="006F132F" w:rsidRPr="00B153EA" w:rsidRDefault="006F132F" w:rsidP="00F92BA1">
      <w:pPr>
        <w:pStyle w:val="NormalHanging12a"/>
        <w:widowControl/>
      </w:pPr>
      <w:r w:rsidRPr="00B153EA">
        <w:t>1.</w:t>
      </w:r>
      <w:r w:rsidRPr="00B153EA">
        <w:tab/>
        <w:t>megerősíti, hogy a digitális piacokról szóló jogszabály hatékony, időben történő és következetes végrehajtása, valamint a Bizottság politikai támogatása elengedhetetlen az egységes piac működésének megőrzéséhez, valamint ahhoz, hogy a fogyasztók, az üzleti felhasználók és az innovátorok számára Unió-szerte kézzelfogható előnyöket lehessen biztosítani;</w:t>
      </w:r>
    </w:p>
    <w:p w14:paraId="1B17F26F" w14:textId="77777777" w:rsidR="006F132F" w:rsidRPr="00B153EA" w:rsidRDefault="006F132F" w:rsidP="00F92BA1">
      <w:pPr>
        <w:pStyle w:val="NormalHanging12a"/>
        <w:widowControl/>
      </w:pPr>
      <w:r w:rsidRPr="00B153EA">
        <w:t>2.</w:t>
      </w:r>
      <w:r w:rsidRPr="00B153EA">
        <w:tab/>
        <w:t xml:space="preserve">aggodalmát fejezi ki a harmadik országok által gyakorolt politikai nyomás miatt, amely arra irányul, hogy az EU vizsgálja felül vagy gyengítse a digitális piacokról szóló jogszabályt; hangsúlyozza, hogy az ilyen külső beavatkozás nem veszélyeztetheti az EU </w:t>
      </w:r>
      <w:r w:rsidRPr="00B153EA">
        <w:lastRenderedPageBreak/>
        <w:t>szuverenitását és autonómiáját saját szabályainak meghatározása és érvényesítése terén; hangsúlyozza, hogy a digitális piacokról szóló jogszabály szerinti kötelezettségek az EU-ban szolgáltatásokat nyújtó valamennyi minősített kapuőrre egyformán vonatkoznak, letelepedési helyüktől vagy honosságuktól függetlenül;</w:t>
      </w:r>
    </w:p>
    <w:p w14:paraId="00BC39A9" w14:textId="77777777" w:rsidR="006F132F" w:rsidRPr="00B153EA" w:rsidRDefault="006F132F" w:rsidP="00F92BA1">
      <w:pPr>
        <w:pStyle w:val="NormalHanging12a"/>
        <w:widowControl/>
      </w:pPr>
      <w:r w:rsidRPr="00B153EA">
        <w:t>3.</w:t>
      </w:r>
      <w:r w:rsidRPr="00B153EA">
        <w:tab/>
        <w:t>felhívja a Bizottságot, hogy teljes mértékben és proaktívan használja ki a digitális piacokról szóló jogszabályban előírt valamennyi végrehajtási eszközt, a piaci vizsgálatokat, beleértve a meg nem felelési eljárásokat, ellenőrzéseket, ideiglenes intézkedéseket, bírságokat és kényszerítő bírságokat is a kijátszás megelőzése és a hatékony megfelelés biztosítása érdekében;</w:t>
      </w:r>
    </w:p>
    <w:p w14:paraId="4FFCB7C0" w14:textId="77777777" w:rsidR="006F132F" w:rsidRPr="00B153EA" w:rsidRDefault="006F132F" w:rsidP="00F92BA1">
      <w:pPr>
        <w:pStyle w:val="NormalHanging12a"/>
        <w:widowControl/>
      </w:pPr>
      <w:r w:rsidRPr="00B153EA">
        <w:t>4.</w:t>
      </w:r>
      <w:r w:rsidRPr="00B153EA">
        <w:tab/>
        <w:t>hangsúlyozza, hogy bár a digitális piacokról szóló jogszabály végrehajtása továbbra is a Bizottság kizárólagos hatáskörébe tartozik, a rendelet Unió-szerte történő hatékony, időben történő és következetes alkalmazásához strukturált és szoros együttműködésre van szükség a nemzeti versenyhatóságokkal és más érintett nemzeti közjogi szervekkel; hangsúlyozza, hogy a digitális piacokról szóló jogszabály által létrehozott kereten belül ezek a hatóságok alapvető támogató szerepet játszanak, többek között azáltal, hogy segítik a vizsgálatokat és ellenőrzéseket, hozzájárulnak a piac nyomon követéséhez és megkönnyítik az információcserét, ezáltal megerősítve a digitális piacokról szóló jogszabály hatékony és egységes végrehajtását, valamint védve a tisztességes és versengő digitális piacokat az egész EU-ban;</w:t>
      </w:r>
    </w:p>
    <w:p w14:paraId="2D2212CD" w14:textId="77777777" w:rsidR="006F132F" w:rsidRPr="00B153EA" w:rsidRDefault="006F132F" w:rsidP="00F92BA1">
      <w:pPr>
        <w:pStyle w:val="NormalHanging12a"/>
        <w:widowControl/>
      </w:pPr>
      <w:r w:rsidRPr="00B153EA">
        <w:t>5.</w:t>
      </w:r>
      <w:r w:rsidRPr="00B153EA">
        <w:tab/>
        <w:t>kiemeli, hogy a piaci nyitottság biztosítása – többek között a digitális piacokról szóló jogszabály hatékony alkalmazása révén – alapvető eleme a mesterséges intelligencia alkalmazásának ösztönzésére irányuló stratégia sikerének, amelynek célja a mesterséges intelligencia alkalmazásának és innovációjának Európa-szerte történő fellendítése, mivel a digitális piacokon való tényleges megtámadhatóság a nyitott és tisztességes európai MI-ökoszisztéma előfeltétele;</w:t>
      </w:r>
    </w:p>
    <w:p w14:paraId="0F37FD72" w14:textId="77777777" w:rsidR="006F132F" w:rsidRPr="00B153EA" w:rsidRDefault="006F132F" w:rsidP="00F92BA1">
      <w:pPr>
        <w:pStyle w:val="NormalHanging12a"/>
        <w:widowControl/>
      </w:pPr>
      <w:r w:rsidRPr="00B153EA">
        <w:t>6.</w:t>
      </w:r>
      <w:r w:rsidRPr="00B153EA">
        <w:tab/>
        <w:t>felhívja a Bizottságot, hogy indokolatlan késedelem nélkül zárja le a meg nem felelési eljárásokat, és biztosítsa a digitális piacokról szóló jogszabály időben történő végrehajtását, különösen a kötelező és indikatív határidők tiszteletben tartása révén, és megfelelően tájékoztassa a Parlamentet a végrehajtás előrehaladásáról; hangsúlyozza, hogy nagyobb átláthatóságra van szükség az eljárási lépések és határidők tekintetében annak érdekében, hogy a Parlament és különösen az IMCO digitális piacokról szóló jogszabállyal foglalkozó munkacsoportja gyakorolhassa ellenőrzési hatásköreit; felhívja a Bizottságot, hogy proaktívan és rendszeresen tájékoztassa a Parlamentet a digitális piacokról szóló jogszabály végrehajtásának állásáról, beleértve a szabályozási párbeszéd fejleményeit, a magas szintű munkacsoport tevékenységeit és menetrendjét, a Bizottság által megrendelt vonatkozó tanulmányokat, valamint a Parlament felügyeleti funkciójának gyakorlásához szükséges bármely egyéb információt;</w:t>
      </w:r>
    </w:p>
    <w:p w14:paraId="7202B004" w14:textId="77777777" w:rsidR="006F132F" w:rsidRPr="00B153EA" w:rsidRDefault="006F132F" w:rsidP="00F92BA1">
      <w:pPr>
        <w:pStyle w:val="NormalHanging12a"/>
        <w:widowControl/>
      </w:pPr>
      <w:r w:rsidRPr="00B153EA">
        <w:t>7.</w:t>
      </w:r>
      <w:r w:rsidRPr="00B153EA">
        <w:tab/>
        <w:t>felhívja a Bizottságot, hogy teljes mértékben használja ki a magas szintű munkacsoportot; kiemeli a szabályozó hatóságok közötti hatékony koordináció fontosságát, tekintettel a digitális piacokon megjelenő új szabályok és szabályozók nagy számára;</w:t>
      </w:r>
    </w:p>
    <w:p w14:paraId="6C276CBB" w14:textId="77777777" w:rsidR="006F132F" w:rsidRPr="00B153EA" w:rsidRDefault="006F132F" w:rsidP="00F92BA1">
      <w:pPr>
        <w:pStyle w:val="NormalHanging12a"/>
        <w:widowControl/>
      </w:pPr>
      <w:r w:rsidRPr="00B153EA">
        <w:t>8.</w:t>
      </w:r>
      <w:r w:rsidRPr="00B153EA">
        <w:tab/>
        <w:t>hangsúlyozza, hogy a digitális piacokról szóló jogszabálynak való megfelelést a piac nyitottságára, a versenyre, az innovációra és a felhasználók választási lehetőségeire gyakorolt gyakorlati és valós hatások alapján kell értékelni, ezáltal biztosítva a jogbiztonságot, a kiszámíthatóságot és az egyenlő bánásmódot;</w:t>
      </w:r>
    </w:p>
    <w:p w14:paraId="3F8335B3" w14:textId="77777777" w:rsidR="006F132F" w:rsidRPr="00B153EA" w:rsidRDefault="006F132F" w:rsidP="00F92BA1">
      <w:pPr>
        <w:pStyle w:val="NormalHanging12a"/>
        <w:widowControl/>
      </w:pPr>
      <w:r w:rsidRPr="00B153EA">
        <w:lastRenderedPageBreak/>
        <w:t>9.</w:t>
      </w:r>
      <w:r w:rsidRPr="00B153EA">
        <w:tab/>
        <w:t>felhívja a Bizottságot, hogy kezelje az információs aszimmetriákat olyan mechanizmusok megerősítése révén, amelyek lehetővé teszik az üzleti felhasználók és a végfelhasználók számára a digitális piacokról szóló jogszabály szerinti jogaik hatékony gyakorlását, beleértve a választáshoz, az adatokhoz való hozzáféréshez, az interoperabilitáshoz, a megkülönböztetésmentességhez és a megtorlástól való mentességhez kapcsolódó jogokat, hozzáférhető és biztonságos bejelentési és panasztételi csatornákon, a megtorlás elleni biztosítékokon, valamint a digitális piacokról szóló jogszabály által biztosított jogokkal és jogorvoslatokkal kapcsolatos jobb tudatosságon keresztül, elismerve, hogy a digitális piacokról szóló jogszabály hatékonysága a felhatalmazott végfelhasználóktól függ;</w:t>
      </w:r>
    </w:p>
    <w:p w14:paraId="27AFDFEE" w14:textId="77777777" w:rsidR="006F132F" w:rsidRPr="00B153EA" w:rsidRDefault="006F132F" w:rsidP="00F92BA1">
      <w:pPr>
        <w:pStyle w:val="NormalHanging12a"/>
        <w:widowControl/>
      </w:pPr>
      <w:r w:rsidRPr="00B153EA">
        <w:t>10.</w:t>
      </w:r>
      <w:r w:rsidRPr="00B153EA">
        <w:tab/>
        <w:t>sürgeti a Bizottságot, hogy kezelje prioritásként az interoperabilitásra, az adatokhoz való hozzáférésre, az adathordozhatóságra, az irányítás elleni küzdelemre és az önpreferenciával szembeni kötelezettségek szigorú érvényesítését, beleértve azokat az eseteket is, amikor az alapértelmezett beállítások, a műszaki integráció vagy a platform-ökoszisztémák kialakítása versenykárt okoz; felhívja a Bizottságot, hogy a végrehajtási prioritások meghatározásakor kellően vegye figyelembe a vonatkozó piaci fejleményeket és az alkalmazandó uniós eszközök – többek között az adatrendelet</w:t>
      </w:r>
      <w:r w:rsidRPr="00B153EA">
        <w:rPr>
          <w:rStyle w:val="FootnoteReference"/>
        </w:rPr>
        <w:footnoteReference w:id="12"/>
      </w:r>
      <w:r w:rsidRPr="00B153EA">
        <w:t xml:space="preserve"> – közötti kölcsönhatást; megjegyzi, hogy bizonyos esetekben a digitális piacokról szóló jogszabály hatékony végrehajtását és érvényesítését befolyásolhatja a kapuőrök versenytársakkal és üzleti partnerekkel való interakciója, különösen olyan helyzetekben, amikor aggályok merültek fel az üzleti gyakorlatok tisztességességével kapcsolatban;</w:t>
      </w:r>
    </w:p>
    <w:p w14:paraId="212E8761" w14:textId="77777777" w:rsidR="006F132F" w:rsidRPr="00B153EA" w:rsidRDefault="006F132F" w:rsidP="00F92BA1">
      <w:pPr>
        <w:pStyle w:val="NormalHanging12a"/>
        <w:widowControl/>
      </w:pPr>
      <w:r w:rsidRPr="00B153EA">
        <w:t>11.</w:t>
      </w:r>
      <w:r w:rsidRPr="00B153EA">
        <w:tab/>
        <w:t>felhívja a Bizottságot, hogy továbbra is törekedjen arra, hogy kérésre lehetővé tegye az üzenetküldő szolgáltatások és a kisebb, harmadik féltől származó üzenetküldő alkalmazások közötti interoperabilitást, lehetővé téve a felhasználók számára a szövegek, fájlok és hang-/videohívások platformok közötti cseréjét, a végponttól végpontig terjedő titkosítás fenntartása mellett;</w:t>
      </w:r>
    </w:p>
    <w:p w14:paraId="110C4685" w14:textId="77777777" w:rsidR="006F132F" w:rsidRPr="00B153EA" w:rsidRDefault="006F132F" w:rsidP="00F92BA1">
      <w:pPr>
        <w:pStyle w:val="NormalHanging12a"/>
        <w:widowControl/>
      </w:pPr>
      <w:r w:rsidRPr="00B153EA">
        <w:t>12.</w:t>
      </w:r>
      <w:r w:rsidRPr="00B153EA">
        <w:tab/>
        <w:t xml:space="preserve">súlyos aggodalmának ad hangot amiatt, hogy a Google a keresési, vásárlási, utazási és videoszolgáltatások terén továbbra is előnyben részesíti a saját szolgáltatásait, ami továbbra is torzítja a versenyt és korlátozza a fogyasztók választási lehetőségeit; megjegyzi, hogy a terméklistás hirdetések továbbra is kiemelt helyen szerepelnek a keresési eredmények élén, állandósítva az erőfölény mintáját és az átláthatóság hiányát, ami ellentétes a digitális piacokról szóló jogszabály rendeltetésével; emlékeztet arra, hogy a digitális piacokról szóló jogszabály 6. cikkének (5) bekezdése szerinti előzetes megállapítások azt mutatják, hogy a Google vizuális előnyöket és preferenciális pozicionálást alkalmaz saját szolgáltatásai, többek között a Google Shopping, a Flights és a Hotels előnyben részesítése érdekében, ezáltal korlátozva a versenytársak tisztességes hozzáférését és megerősítve piaci erejét; emlékeztet arra, hogy a nemzeti bíróságok előtt a közelmúltban lefolytatott eljárások megerősítették, hogy a Google keresési szolgáltatások terén alkalmazott, önmagát előnyben részesítő gyakorlatai ártottak a versengő összehasonlító platformoknak, amint azt a berlini regionális bíróság előtt az Idealo kontra Google ügyben 2025-ben hozott ítélet is mutatja; hangsúlyozza, hogy a kapuőrök arra irányuló kísérletei, hogy fenntartsák vagy meghosszabbítsák a </w:t>
      </w:r>
      <w:r w:rsidRPr="00B153EA">
        <w:lastRenderedPageBreak/>
        <w:t>digitális piacokról szóló jogszabálynak való meg nem felelést, következésképpen további kártérítési keresetek révén jelentős pénzügyi felelősségnek tehetik ki őket;</w:t>
      </w:r>
    </w:p>
    <w:p w14:paraId="1EFA0B39" w14:textId="77777777" w:rsidR="006F132F" w:rsidRPr="00B153EA" w:rsidRDefault="006F132F" w:rsidP="00F92BA1">
      <w:pPr>
        <w:pStyle w:val="NormalHanging12a"/>
        <w:widowControl/>
      </w:pPr>
      <w:r w:rsidRPr="00B153EA">
        <w:t>13.</w:t>
      </w:r>
      <w:r w:rsidRPr="00B153EA">
        <w:tab/>
        <w:t>kiemeli, hogy az, hogy a Google integrálja a mesterséges intelligenciát keresési és feltárási folyamataiba, egyre inkább lehetővé teszi a vállalat számára, hogy a teljes fogyasztói lépéssort ellenőrizze – a kereséstől és az ajánlásoktól a vásárlási szándékig –, még inkább marginalizálva a versengő szolgáltatásokat, és csökkentve a fogyasztók azon képességét, hogy független döntéseket hozzanak; hangsúlyozza, hogy ez a dinamikus folyamat azzal a kockázattal jár, hogy a független kereskedők a Google puszta teljesítési csatornáivá válnak, tükrözve a kereskedelem uralására irányuló korábbi kísérleteket, amelyeket korábban korlátoztak, és hogy a digitális piacokról szóló jogszabály szerinti egyértelmű biztosítékok nélkül ezek a gyakorlatok tovább rögzülhetnek;</w:t>
      </w:r>
    </w:p>
    <w:p w14:paraId="798D584E" w14:textId="77777777" w:rsidR="006F132F" w:rsidRDefault="006F132F" w:rsidP="00F92BA1">
      <w:pPr>
        <w:pStyle w:val="NormalHanging12a"/>
        <w:widowControl/>
      </w:pPr>
      <w:r w:rsidRPr="00B153EA">
        <w:t>14.</w:t>
      </w:r>
      <w:r w:rsidRPr="00B153EA">
        <w:tab/>
        <w:t>tudomásul veszi az alternatív alkalmazáspiacterek megjelenését az iOS-on az egységes piacon, de aggodalmát fejezi ki amiatt, hogy gyakorlati életképességük és méretezhetőségük továbbra is korlátozott a felhasználói lépéssor kialakítása, valamint a korlátozó gazdasági és szerződéses feltételek miatt; kiemeli, hogy a kapuőrök oly módon alakítják át díjaikat, hogy a fejlesztők hátrányosabb helyzetbe kerüljenek a digitális piacokról szóló jogszabály előtti állapothoz képest; sürgeti a Bizottságot annak értékelésére, hogy az Apple hozzáférési feltételei tisztességesek és megkülönböztetésmentesek-e, amint azt a digitális piacokról szóló jogszabály 6. cikkének (12) bekezdése előírja;</w:t>
      </w:r>
    </w:p>
    <w:p w14:paraId="672BDD6B" w14:textId="512ED5CE" w:rsidR="00B50BE9" w:rsidRPr="00B153EA" w:rsidRDefault="00F34738" w:rsidP="00F92BA1">
      <w:pPr>
        <w:pStyle w:val="NormalHanging12a"/>
        <w:widowControl/>
      </w:pPr>
      <w:r>
        <w:t>15</w:t>
      </w:r>
      <w:r w:rsidR="00B50BE9" w:rsidRPr="00B50BE9">
        <w:t>.</w:t>
      </w:r>
      <w:r w:rsidR="00B50BE9" w:rsidRPr="00B50BE9">
        <w:tab/>
        <w:t>megjegyzi, hogy egyes kapuőrök – amint azt például a Google a közelmúltban bejelentette – biztonsági és kiberbiztonsági indokokra hivatkoznak annak érdekében, hogy regisztrációs és azonosítási követelményeket írjanak elő az alkalmazásfejlesztők számára, ezáltal oly módon korlátozva az alternatív alkalmazásforgalmazási csatornákhoz való tényleges hozzáférést, amely ellentétes lehet a digitális piacokról szóló jogszabály 6. cikkének (4) bekezdésével; felhívja ezért a Bizottságot, hogy vizsgálja meg, hogy a hivatkozott biztonsági intézkedések feltétlenül szükségesek és arányosak-e, és biztosítsa, hogy azokat ne használják fel ürügyként a digitális piacokról szóló jogszabály azon célkitűzésének megkerülésére, hogy lehetővé tegyék a harmadik felek szoftvereihez való valódi hozzáférést, tisztességes, észszerű és megkülönböztetésmentes hozzáférési feltételeket biztosítva, ugyanakkor megőrizve a fejlesztők azon képességét, hogy a felhasználókat alternatív forgalmazási csatornák felé irányítsák</w:t>
      </w:r>
      <w:r w:rsidR="00B50BE9">
        <w:t>;</w:t>
      </w:r>
    </w:p>
    <w:p w14:paraId="3E8196EE" w14:textId="77BE4694" w:rsidR="006F132F" w:rsidRPr="00B153EA" w:rsidRDefault="006F132F" w:rsidP="00F92BA1">
      <w:pPr>
        <w:pStyle w:val="NormalHanging12a"/>
        <w:widowControl/>
      </w:pPr>
      <w:r w:rsidRPr="00B153EA">
        <w:t>1</w:t>
      </w:r>
      <w:r w:rsidR="00F34738">
        <w:t>6</w:t>
      </w:r>
      <w:r w:rsidRPr="00B153EA">
        <w:t>.</w:t>
      </w:r>
      <w:r w:rsidRPr="00B153EA">
        <w:tab/>
        <w:t xml:space="preserve">emlékeztet arra, hogy a digitális piacokról szóló jogszabály 5. cikkének (4) bekezdése értelmében az üzleti felhasználók számára lehetővé kell tenni, hogy díjmentesen tájékoztassák a végfelhasználókat az alternatív ajánlatokról, és ezen ajánlatokhoz irányítsák őket, valamint szerződéseket kössenek; megjegyzi, hogy a digitális piacokról szóló jogszabály (40) preambulumbekezdése elismeri a végfelhasználó kezdeti beszerzésének megkönnyítéséért járó díjazás lehetőségét, ugyanakkor hangsúlyozza, hogy az ilyen díjazásnak szigorúan az eredeti beszerzésre kell korlátozódnia, arányosnak és arányosnak kell lennie, és nem áshatja alá a gyakorlati irányítást; sürgeti a Bizottságot annak biztosítására, hogy az Apple átalakított feltételeit szigorúan értékeljék a digitális piacokról szóló jogszabály irányítással kapcsolatos vádakra vonatkozó követelményei alapján, és hogy a kijátszásra irányuló kísérleteket alaposan vizsgálják meg, és szükség esetén szankcionálják anélkül, hogy megvárnák az Epic Games kontra Apple ügyben folyamatban lévő amerikai igazságszolgáltatási eljárás </w:t>
      </w:r>
      <w:r w:rsidRPr="00B153EA">
        <w:lastRenderedPageBreak/>
        <w:t>eredményét; hangsúlyozza, hogy az uniós jog érvényesítését a harmadik országbeli jogvitáktól függetlenül kell folytatni;</w:t>
      </w:r>
    </w:p>
    <w:p w14:paraId="0C880633" w14:textId="59A6991F" w:rsidR="006F132F" w:rsidRPr="00B153EA" w:rsidRDefault="006F132F" w:rsidP="00F92BA1">
      <w:pPr>
        <w:pStyle w:val="NormalHanging12a"/>
        <w:widowControl/>
      </w:pPr>
      <w:r w:rsidRPr="00B153EA">
        <w:t>1</w:t>
      </w:r>
      <w:r w:rsidR="00F34738">
        <w:t>7</w:t>
      </w:r>
      <w:r w:rsidRPr="00B153EA">
        <w:t>.</w:t>
      </w:r>
      <w:r w:rsidRPr="00B153EA">
        <w:tab/>
        <w:t>aggodalmát fejezi ki a ByteDance által működtetett TikTok és a platformjára telepített hozzájárulási képernyők miatt, amelyek nagymértékben támaszkodnak viselkedési technikákra a felhasználók hozzájárulásának megszerzése érdekében; megjegyzi, hogy az ilyen gyakorlatok alááshatják a tájékoztatáson alapuló és önkéntes beleegyezés elvét, és sérthetik a digitális piacokról szóló jogszabály 5. cikkének (2) bekezdését; hangsúlyozza, hogy a hozzájárulási mechanizmusoknak átláthatónak, felhasználóbarátnak és valóban önkéntesnek, továbbá manipulatív kialakítástól és pszichológiai nyomástól mentesnek kell lenniük; felhívja a Bizottságot, hogy szorosan kövesse nyomon a TikTok hozzájárulási gyakorlatait, és biztosítsa, hogy a felhasználói autonómia és a digitális jogok fenntartása érdekében haladéktalanul korrigálják a nem megfelelő mechanizmusokat;</w:t>
      </w:r>
    </w:p>
    <w:p w14:paraId="59628EEB" w14:textId="674D0FC1" w:rsidR="006F132F" w:rsidRPr="00B153EA" w:rsidRDefault="006F132F" w:rsidP="00F92BA1">
      <w:pPr>
        <w:pStyle w:val="NormalHanging12a"/>
        <w:widowControl/>
      </w:pPr>
      <w:r w:rsidRPr="00B153EA">
        <w:t>1</w:t>
      </w:r>
      <w:r w:rsidR="00F34738">
        <w:t>8</w:t>
      </w:r>
      <w:r w:rsidRPr="00B153EA">
        <w:t>.</w:t>
      </w:r>
      <w:r w:rsidRPr="00B153EA">
        <w:tab/>
        <w:t>megjegyzi annak fontosságát, hogy a Microsoft ténylegesen megfeleljen a digitális piacokról szóló jogszabály 6. cikke (3) bekezdésének, különös tekintettel arra a kötelezettségre, hogy lehetővé kell tennie és technikailag lehetővé kell tennie a végfelhasználók számára, hogy a Windows PC operációs rendszerében könnyen megváltoztassák az alapértelmezett beállításokat, és indokolatlan ellenállás nélkül hozzáférjenek a versengő szolgáltatásokhoz; megjegyzi, hogy a Bingnek mint az online keresési eredmények alapértelmezett szolgáltatójának a Windows feladatsávba való integrálása és a szolgáltatóváltás nehézsége indokolatlanul a Microsoft saját szolgáltatásai felé terelheti a felhasználókat, és korlátozhatja a felhasználók tényleges választási lehetőségeit; emlékeztet arra, hogy a Microsoft megfelelési intézkedéseket nyújtott be a Bizottságnak, de aggodalmát fejezi ki azok gyakorlati hatásai miatt, beleértve a Windows-ökoszisztémán belüli hatékony interoperabilitás lehetséges akadályait is; emlékeztet arra, hogy a Bizottságnak továbbra is alaposan értékelnie kell ezeket az intézkedéseket annak érdekében, hogy a gyakorlatban biztosítsa a tényleges felhasználói választást, valamint a tisztességes és versengő környezetet a harmadik fél szolgáltatók számára, különösen ott, ahol a nem Microsoft-szolgáltatásokra vonatkozó alkalmazásprogramozási felületek (API-k) korlátozott vagy lassú lehetővé tétele megakadályozhatja a harmadik fél fejlesztőket abban, hogy egyenértékű élményt biztosítsanak a végfelhasználók számára;</w:t>
      </w:r>
    </w:p>
    <w:p w14:paraId="3511B6A5" w14:textId="1262429F" w:rsidR="006F132F" w:rsidRPr="00B153EA" w:rsidRDefault="006F132F" w:rsidP="00F92BA1">
      <w:pPr>
        <w:pStyle w:val="NormalHanging12a"/>
        <w:widowControl/>
      </w:pPr>
      <w:r w:rsidRPr="00B153EA">
        <w:t>1</w:t>
      </w:r>
      <w:r w:rsidR="00F34738">
        <w:t>9</w:t>
      </w:r>
      <w:r w:rsidRPr="00B153EA">
        <w:t>.</w:t>
      </w:r>
      <w:r w:rsidRPr="00B153EA">
        <w:tab/>
        <w:t>aggodalommal veszi tudomásul az utazási ágazat különböző érdekelt feleinek jelentéseit, amelyek szerint tartósan magasak a jutalékok, és a Booking.com továbbra is a tiltott paritási záradékokkal egyenértékűnek tűnő gyakorlatokat alkalmaz, beleértve a szállodák nem átlátható kritériumokon alapuló teljesítményprogramjait, valamint a Booking.com által támogatott fizetési rendszerekből való kimaradás folyamatos nehézségeit; felhívja a Bizottságot, hogy értékelje a megtámadhatóság jelenlegi szintjét az online utazási ágazatban azóta, hogy a Booking.com-ot kapuőrnek minősítették, és ennek megfelelően tegyen határozott lépéseket;</w:t>
      </w:r>
    </w:p>
    <w:p w14:paraId="0398B9A7" w14:textId="5EA289A1" w:rsidR="006F132F" w:rsidRPr="00B153EA" w:rsidRDefault="00F34738" w:rsidP="00F92BA1">
      <w:pPr>
        <w:pStyle w:val="NormalHanging12a"/>
        <w:widowControl/>
      </w:pPr>
      <w:r>
        <w:t>20</w:t>
      </w:r>
      <w:r w:rsidR="006F132F" w:rsidRPr="00B153EA">
        <w:t>.</w:t>
      </w:r>
      <w:r w:rsidR="006F132F" w:rsidRPr="00B153EA">
        <w:tab/>
        <w:t>tudomásul veszi, hogy a Meta végrehajtotta a Bizottság által 2025 áprilisában kiszabott bírságot követően 2025 júliusában elindított, a személyre szabott hirdetéseket korlátozó harmadik, „fizetés vagy hozzájárulás” opcióját; felhívja a Bizottságot annak biztosítására, hogy a Meta immár valóban semleges választási lehetőséget biztosítson a felhasználók számára, hogy a harmadik felek Meta szolgáltatásaihoz való hozzáférése tisztességes és akadálytalan legyen, és hogy a digitális piacokról szóló jogszabály követelményeinek kijátszását szigorúan ellenőrizzék, és adott esetben szankcionálják;</w:t>
      </w:r>
    </w:p>
    <w:p w14:paraId="1516E9C0" w14:textId="1C86C45A" w:rsidR="006F132F" w:rsidRPr="00B153EA" w:rsidRDefault="00F34738" w:rsidP="00F92BA1">
      <w:pPr>
        <w:pStyle w:val="NormalHanging12a"/>
        <w:widowControl/>
      </w:pPr>
      <w:r>
        <w:lastRenderedPageBreak/>
        <w:t>21</w:t>
      </w:r>
      <w:r w:rsidR="006F132F" w:rsidRPr="00B153EA">
        <w:t>.</w:t>
      </w:r>
      <w:r w:rsidR="006F132F" w:rsidRPr="00B153EA">
        <w:tab/>
        <w:t>aggodalmát fejezi ki az internetre csatlakoztatott televíziókkal kapcsolatos gyakorlatok miatt, amelyek megismétlik az Android által korábban az okostelefonokon alkalmazott versenyellenes gyakorlatokat; hangsúlyozza, hogy a csatlakoztatott televíziókon keresztül nyújtott audiovizuális médiaszolgáltatásokhoz való hozzáférést nem ellenőrizheti néhány nagy technológiai vállalat, és hogy a nyitott, tisztességes és versengő piac elengedhetetlen a plurális és sokszínű médiakörnyezethez; a csatlakoztatott televíziók operációs rendszerei tekintetében hangsúlyozza, hogy az ilyen operációs rendszerek fő szolgáltatói ellenőrzik a nézők, a reklámok és az adatok többoldalú piacaihoz való hozzáférést; megjegyzi, hogy a kapuőr által a felhasználói hozzáférési pontok felett gyakorolt hasonló ellenőrzés más összekapcsolt környezetekben is felmerülhet, ahol operációs rendszerek vagy virtuális asszisztensek közvetítik a szolgáltatásokhoz való hozzáférést, beleértve a járműfedélzeti információs rendszereket is; felhívja a Bizottságot, hogy gondosan kísérje figyelemmel ezt a piaci szegmenst, és szükség esetén tegye meg a megfelelő intézkedéseket;</w:t>
      </w:r>
    </w:p>
    <w:p w14:paraId="2B12396D" w14:textId="79276285" w:rsidR="006F132F" w:rsidRPr="00B153EA" w:rsidRDefault="00F34738" w:rsidP="00F92BA1">
      <w:pPr>
        <w:pStyle w:val="NormalHanging12a"/>
        <w:widowControl/>
      </w:pPr>
      <w:r>
        <w:t>22</w:t>
      </w:r>
      <w:r w:rsidR="006F132F" w:rsidRPr="00B153EA">
        <w:t>.</w:t>
      </w:r>
      <w:r w:rsidR="006F132F" w:rsidRPr="00B153EA">
        <w:tab/>
        <w:t>kiemeli a végfelhasználók fontos szerepét a digitális piacokról szóló jogszabály célkitűzéseinek elérésében, és hangsúlyozza annak fontosságát, hogy a felhasználói felületek, a hozzájárulási mechanizmusok és a választási architektúrák semlegesek, könnyen használhatóak, érthetőek és manipulációtól mentesek legyenek, hogy a felhasználók hatékonyan és indokolatlan ellenállás nélkül gyakorolhassák jogaikat;</w:t>
      </w:r>
    </w:p>
    <w:p w14:paraId="7531D9CB" w14:textId="76FB8080" w:rsidR="006F132F" w:rsidRPr="00B153EA" w:rsidRDefault="00F34738" w:rsidP="00F92BA1">
      <w:pPr>
        <w:pStyle w:val="NormalHanging12a"/>
        <w:widowControl/>
      </w:pPr>
      <w:r>
        <w:t>23</w:t>
      </w:r>
      <w:r w:rsidR="006F132F" w:rsidRPr="00B153EA">
        <w:t>.</w:t>
      </w:r>
      <w:r w:rsidR="006F132F" w:rsidRPr="00B153EA">
        <w:tab/>
        <w:t>felhívja a Bizottságot, hogy biztosítsa a digitális piacokról szóló jogszabály következetes és időtálló alkalmazását a technológiai fejlesztésekre, időben kezelve a mesterséges intelligencián alapuló szolgáltatásokat és a felhőalapú infrastruktúrákat a bezáródási, kizárási vagy kapuőri gyakorlatok új formáinak megelőzése érdekében, beleértve azokat az eseteket is, amikor a kapuőrök ellenőrzést gyakorolnak az adatok, a számítástechnikai erőforrások vagy az integrált szolgáltatások felett a feltörekvő MI-fejlesztők és az innovatív piaci belépők kárára;</w:t>
      </w:r>
    </w:p>
    <w:p w14:paraId="147D40BA" w14:textId="297D95D4" w:rsidR="006F132F" w:rsidRPr="00B153EA" w:rsidRDefault="00F34738" w:rsidP="00F92BA1">
      <w:pPr>
        <w:pStyle w:val="NormalHanging12a"/>
        <w:widowControl/>
      </w:pPr>
      <w:r>
        <w:t>24</w:t>
      </w:r>
      <w:r w:rsidR="006F132F" w:rsidRPr="00B153EA">
        <w:t>.</w:t>
      </w:r>
      <w:r w:rsidR="006F132F" w:rsidRPr="00B153EA">
        <w:tab/>
        <w:t>felhívja a Bizottságot, hogy biztosítsa a digitális piacokról szóló jogszabály, az adatrendelet és a mesterséges intelligenciáról szóló jogszabály</w:t>
      </w:r>
      <w:r w:rsidR="006F132F" w:rsidRPr="00B153EA">
        <w:rPr>
          <w:rStyle w:val="FootnoteReference"/>
        </w:rPr>
        <w:footnoteReference w:id="13"/>
      </w:r>
      <w:r w:rsidR="006F132F" w:rsidRPr="00B153EA">
        <w:t xml:space="preserve"> közötti kiegészítő jelleget, koherenciát és jogbiztonságot, többek között összehangolt iránymutatás és végrehajtás révén;</w:t>
      </w:r>
    </w:p>
    <w:p w14:paraId="2428DC57" w14:textId="51E9AC13" w:rsidR="006F132F" w:rsidRPr="00B153EA" w:rsidRDefault="00F34738" w:rsidP="00F92BA1">
      <w:pPr>
        <w:pStyle w:val="NormalHanging12a"/>
        <w:widowControl/>
      </w:pPr>
      <w:r>
        <w:t>25</w:t>
      </w:r>
      <w:r w:rsidR="006F132F" w:rsidRPr="00B153EA">
        <w:t>.</w:t>
      </w:r>
      <w:r w:rsidR="006F132F" w:rsidRPr="00B153EA">
        <w:tab/>
        <w:t xml:space="preserve">üdvözli a Bizottságnak a digitális piacokról szóló jogszabály szerinti első meg nem felelési határozatait, amelyek fontos lépést jelentenek a hatékony végrehajtás biztosítása felé, de sajnálja, hogy e határozatok hatálya továbbra is korlátozott, és még nem foglalkoznak az üzleti felhasználók és más érdekelt felek által azonosított problémás kapuőri gyakorlatok teljes körével; sajnálatát fejezi ki továbbá amiatt, hogy a kiszabott bírságok viszonylag szerények a jogsértések nagyságrendjéhez és a minősített kapuőrök gazdasági erejéhez képest, ami azzal a kockázattal jár, hogy nem lesz elegendő elrettentő hatásuk, és nem tükrözik a rendelet ambícióit; hangsúlyozza, hogy az átfogó végrehajtási keretnek biztosítania kell, hogy a meg nem felelés várható költsége – beleértve a bírságokat és a kényszerítő bírságokat is – kezdettől fogva szisztematikusan </w:t>
      </w:r>
      <w:r w:rsidR="006F132F" w:rsidRPr="00B153EA">
        <w:lastRenderedPageBreak/>
        <w:t>meghaladja a megfelelés költségét a stratégiai késedelem megelőzése és a valódi elrettentés biztosítása érdekében;</w:t>
      </w:r>
    </w:p>
    <w:p w14:paraId="4E99B4FF" w14:textId="0C7B2860" w:rsidR="006F132F" w:rsidRPr="00B153EA" w:rsidRDefault="00F34738" w:rsidP="00F92BA1">
      <w:pPr>
        <w:pStyle w:val="NormalHanging12a"/>
        <w:widowControl/>
      </w:pPr>
      <w:r>
        <w:t>26</w:t>
      </w:r>
      <w:r w:rsidR="006F132F" w:rsidRPr="00B153EA">
        <w:t>.</w:t>
      </w:r>
      <w:r w:rsidR="006F132F" w:rsidRPr="00B153EA">
        <w:tab/>
        <w:t>felhívja a Bizottságot, hogy tekintettel a felhőalapú számítástechnikai szolgáltatások növekvő stratégiai jelentőségére, valamint a digitális és MI-ökoszisztémákban betöltött szerepükre, többek között piaci vizsgálatok alkalmazása révén alaposan értékelje, hogy az ilyen szolgáltatásokat nyújtó szolgáltatók megfelelnek-e a digitális piacokról szóló jogszabály szerinti kapuőrré minősítés kritériumainak; felhívja a Bizottságot, hogy a piaci vizsgálatok elvégzése és a felhőalapú számítástechnika terén lehetséges megjelölések értékelése során következetesen, átláthatóan és bizonyítékokon alapuló módon alkalmazza a digitális piacokról szóló jogszabály kritériumait a szolgáltatók körében, amennyiben azt piaci mutatók indokolják, a verseny torzulásának elkerülése és az innováció megőrzése érdekében; üdvözli a Bizottság által a közelmúltban a felhőszolgáltatók, például az Amazon Web Services és a Microsoft Azure kapcsán végzett piacvizsgálatokat;</w:t>
      </w:r>
    </w:p>
    <w:p w14:paraId="79C167BC" w14:textId="6BC8ABB0" w:rsidR="006F132F" w:rsidRPr="00B153EA" w:rsidRDefault="00F34738" w:rsidP="00F92BA1">
      <w:pPr>
        <w:pStyle w:val="NormalHanging12a"/>
        <w:widowControl/>
      </w:pPr>
      <w:r>
        <w:t>27</w:t>
      </w:r>
      <w:r w:rsidR="006F132F" w:rsidRPr="00B153EA">
        <w:t>.</w:t>
      </w:r>
      <w:r w:rsidR="006F132F" w:rsidRPr="00B153EA">
        <w:tab/>
        <w:t>hangsúlyozza, hogy a mesterséges intelligencián alapuló kereső- és asszisztenseszközök, amennyiben azokat kijelölt alapvető platformszolgáltatásokként vagy azokon belül kínálják, mint például az MI-áttekintések és a Gemini (Google), a Siri (Apple), a WhatsApp AI (Meta), a Rufus (Amazon) vagy a Copilot (Microsoft), egyre inkább az információk, a kereskedelem és a digitális szolgáltatások új kapuivá válnak; felhívja a Bizottságot, hogy kellő időben vizsgálja meg, hogy a kapuőrök oly módon használják-e ezeket a funkciókat, és ha igen, hogyan, amely alááshatja a piac versengő és tisztességes jellegét, többek között alapértelmezett beállítások, előválogatás, illetve az eredmények diszkriminatív bemutatása vagy kiválasztása révén;</w:t>
      </w:r>
    </w:p>
    <w:p w14:paraId="0BB593FB" w14:textId="0C6F5D5A" w:rsidR="006F132F" w:rsidRPr="00B153EA" w:rsidRDefault="00F34738" w:rsidP="00F92BA1">
      <w:pPr>
        <w:pStyle w:val="NormalHanging12a"/>
        <w:widowControl/>
      </w:pPr>
      <w:r>
        <w:t>28</w:t>
      </w:r>
      <w:r w:rsidR="006F132F" w:rsidRPr="00B153EA">
        <w:t>.</w:t>
      </w:r>
      <w:r w:rsidR="006F132F" w:rsidRPr="00B153EA">
        <w:tab/>
        <w:t>hangsúlyozza, hogy egyes kapuőrök integrált digitális ökoszisztémái, amelyek több alapvető platformszolgáltatásból és kapcsolódó szolgáltatásból állnak, strukturális versenyelőnyt biztosíthatnak számukra az MI-rendszerek fejlesztése, betanítása és bevezetése terén, különösen ott, ahol a nagyléptékű, több szolgáltatást nyújtó adatáramlásokhoz, felhasználói interfészekhez, értékesítési csatornákhoz vagy kiegészítő szolgáltatásokhoz való hozzáférés kiaknázható az ökoszisztémákban; hangsúlyozza ezért, hogy szigorúan végre kell hajtani a digitális piacokról szóló jogszabály 6. cikkének (10) bekezdését annak érdekében, hogy az üzleti felhasználók számára hatékony adathozzáférési jogokat biztosítsanak, és megakadályozzák az egész ökoszisztémára kiterjedő adatelőnyök oly módon történő kihasználását, amely aláássa a piac versengő és tisztességes jellegét, beleértve azokat az eseteket is, amikor az MI-funkciókat alapvető platformszolgáltatásokba integrálják, vagy az információk, a kereskedelem és a digitális szolgáltatások új kapuivá válhatnak;</w:t>
      </w:r>
    </w:p>
    <w:p w14:paraId="4FFAC140" w14:textId="275CF414" w:rsidR="006F132F" w:rsidRPr="00B153EA" w:rsidRDefault="00F34738" w:rsidP="00F92BA1">
      <w:pPr>
        <w:pStyle w:val="NormalHanging12a"/>
        <w:widowControl/>
      </w:pPr>
      <w:r>
        <w:t>29</w:t>
      </w:r>
      <w:r w:rsidR="006F132F" w:rsidRPr="00B153EA">
        <w:t>.</w:t>
      </w:r>
      <w:r w:rsidR="006F132F" w:rsidRPr="00B153EA">
        <w:tab/>
        <w:t>felhívja a Bizottságot, hogy biztosítson elegendő emberi és pénzügyi erőforrást a digitális piacokról szóló jogszabály végrehajtásához, összhangban a rendelet hatályával, összetettségével és stratégiai jelentőségével, és felszólít a jelentős létszámbővítésre;</w:t>
      </w:r>
    </w:p>
    <w:p w14:paraId="61D48F83" w14:textId="340C6774" w:rsidR="006F132F" w:rsidRPr="00B153EA" w:rsidRDefault="00F34738" w:rsidP="00F92BA1">
      <w:pPr>
        <w:pStyle w:val="NormalHanging12a"/>
        <w:widowControl/>
      </w:pPr>
      <w:r>
        <w:t>30</w:t>
      </w:r>
      <w:r w:rsidR="006F132F" w:rsidRPr="00B153EA">
        <w:t>.</w:t>
      </w:r>
      <w:r w:rsidR="006F132F" w:rsidRPr="00B153EA">
        <w:tab/>
        <w:t xml:space="preserve">elvárja, hogy a digitális piacokról szóló jogszabály közelgő felülvizsgálata átlátható legyen, és szilárdan a végrehajtás során szerzett tapasztalatokon és az annak alkalmazásából származó bizonyítékokon alapuljon, beleértve a felhasználókra és a piacokra gyakorolt valós eredmények, valamint a végrehajtás fogyasztókra gyakorolt gyakorlati hatásának értékelését, különösen az innovációhoz való hozzáférés, a használhatóság, a magánélet védelme és a biztonság tekintetében, kellően figyelembe véve ugyanakkor a technológiai fejlődést és azt, hogy biztosítani kell, hogy a keret </w:t>
      </w:r>
      <w:r w:rsidR="006F132F" w:rsidRPr="00B153EA">
        <w:lastRenderedPageBreak/>
        <w:t>időtálló maradjon; felkéri a Bizottságot, hogy különösen vegye figyelembe a kkv-któl a felülvizsgálati folyamat során kapott visszajelzéseket;</w:t>
      </w:r>
    </w:p>
    <w:p w14:paraId="32927792" w14:textId="5AE98BDB" w:rsidR="006F132F" w:rsidRDefault="00F34738" w:rsidP="00F92BA1">
      <w:pPr>
        <w:pStyle w:val="NormalHanging12a"/>
        <w:widowControl/>
      </w:pPr>
      <w:r>
        <w:t>31</w:t>
      </w:r>
      <w:r w:rsidR="006F132F" w:rsidRPr="00B153EA">
        <w:t>.</w:t>
      </w:r>
      <w:r w:rsidR="006F132F" w:rsidRPr="00B153EA">
        <w:tab/>
        <w:t>hangsúlyozza, hogy a felülvizsgálatnak a meglévő keret hatékonyságának és végrehajthatóságának megerősítésére kell összpontosítania, ugyanakkor kezelnie kell a gyorsan fejlődő technológiák és ökoszisztémák jelentette kihívásokat a jelenlegi keret alapján rendelkezésre álló hatáskörök teljes körű kihasználása révén, többek között szükség esetén pontosítások és iránymutatások révén, és el kell kerülnie a digitális piacokról szóló jogszabály alapvető célkitűzéseinek, hatályának vagy architektúrájának újbóli megnyitását, kivéve, ha azt bizonyított végrehajtási hiányosságok vagy jelentős piaci fejlemények egyértelműen indokolják;</w:t>
      </w:r>
    </w:p>
    <w:p w14:paraId="000B5E8F" w14:textId="06736321" w:rsidR="00B50BE9" w:rsidRPr="00B153EA" w:rsidRDefault="00F34738" w:rsidP="00F92BA1">
      <w:pPr>
        <w:pStyle w:val="NormalHanging12a"/>
        <w:widowControl/>
      </w:pPr>
      <w:r>
        <w:t>32</w:t>
      </w:r>
      <w:r w:rsidR="00B50BE9" w:rsidRPr="00B50BE9">
        <w:t>.</w:t>
      </w:r>
      <w:r w:rsidR="00B50BE9" w:rsidRPr="00B50BE9">
        <w:tab/>
        <w:t>hangsúlyozza, hogy a digitális piacokról szóló jogszabály hatékony végrehajtásához az általános versenypolitika és az összes többi uniós piacvédelmi és piacfelügyeleti eszköz kiegészítő alkalmazására van szükség, mivel a méltányosságot és a gazdasági biztonságot érintő rendszerszintű kockázatok a digitális piacokról szóló jogszabály hatályán kívül eső ügyletekből is eredhetnek; ezzel összefüggésben aggodalmát fejezi ki a Ceconomy AG JD.com általi felvásárlásával kapcsolatban, amely egy jelentős európai kiskereskedelmi és forgalmazási hálózat ellenőrzését egy nem uniós szervezetre ruházná át, növelve a nem uniós államok érzékeny fogyasztói adatokhoz való hozzáférésének kockázatát és az államilag támogatott pénzügyi támogatáshoz kapcsolódó esetleges torzulásokat; felhívja a Bizottságot, hogy szigorúan alkalmazza a külföldi támogatásokról szóló rendeletet</w:t>
      </w:r>
      <w:r w:rsidR="00B50BE9">
        <w:rPr>
          <w:rStyle w:val="FootnoteReference"/>
        </w:rPr>
        <w:footnoteReference w:id="14"/>
      </w:r>
      <w:r w:rsidR="00B50BE9" w:rsidRPr="00B50BE9">
        <w:t>, és vizsgálja meg az ezen ügyletet és a jövőbeli ügyleteket egyaránt alátámasztó külföldi támogatásokat; felhívja a Bizottságot, hogy a közvetlen külföldi befektetések átvilágításáról szóló rendelet</w:t>
      </w:r>
      <w:r w:rsidR="00B50BE9">
        <w:rPr>
          <w:rStyle w:val="FootnoteReference"/>
        </w:rPr>
        <w:footnoteReference w:id="15"/>
      </w:r>
      <w:r w:rsidR="00B50BE9" w:rsidRPr="00B50BE9">
        <w:t xml:space="preserve"> alapján értékelje az európai fogyasztói adatokat érintő kockázatokat, és az EU adatszuverenitásával és a digitális piacokról szóló jogszabály végrehajtási keretével összhangban biztosítsa a hatékony adatlokalizálást</w:t>
      </w:r>
      <w:r w:rsidR="00B50BE9">
        <w:t>;</w:t>
      </w:r>
    </w:p>
    <w:p w14:paraId="5B41C9C4" w14:textId="4CA72BAC" w:rsidR="00E365E1" w:rsidRPr="00451264" w:rsidRDefault="00F34738" w:rsidP="00F92BA1">
      <w:pPr>
        <w:pStyle w:val="NormalHanging12a"/>
        <w:widowControl/>
      </w:pPr>
      <w:r>
        <w:t>33</w:t>
      </w:r>
      <w:r w:rsidR="006F132F" w:rsidRPr="00B153EA">
        <w:t>.</w:t>
      </w:r>
      <w:r w:rsidR="006F132F" w:rsidRPr="00B153EA">
        <w:tab/>
        <w:t>utasítja elnökét, hogy továbbítsa ezt az állásfoglalást a Bizottságnak.</w:t>
      </w:r>
    </w:p>
    <w:sectPr w:rsidR="00E365E1" w:rsidRPr="00451264" w:rsidSect="0045126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1139B1" w14:textId="77777777" w:rsidR="0087746B" w:rsidRPr="00451264" w:rsidRDefault="0087746B">
      <w:r w:rsidRPr="00451264">
        <w:separator/>
      </w:r>
    </w:p>
  </w:endnote>
  <w:endnote w:type="continuationSeparator" w:id="0">
    <w:p w14:paraId="041B64B0" w14:textId="77777777" w:rsidR="0087746B" w:rsidRPr="00451264" w:rsidRDefault="0087746B">
      <w:r w:rsidRPr="0045126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3791F" w14:textId="77777777" w:rsidR="00064002" w:rsidRPr="0045126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F919B" w14:textId="77777777" w:rsidR="00064002" w:rsidRPr="0045126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2850B" w14:textId="77777777" w:rsidR="00064002" w:rsidRPr="0045126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C3D4D1" w14:textId="77777777" w:rsidR="0087746B" w:rsidRPr="00451264" w:rsidRDefault="0087746B">
      <w:r w:rsidRPr="00451264">
        <w:separator/>
      </w:r>
    </w:p>
  </w:footnote>
  <w:footnote w:type="continuationSeparator" w:id="0">
    <w:p w14:paraId="0FD4A444" w14:textId="77777777" w:rsidR="0087746B" w:rsidRPr="00451264" w:rsidRDefault="0087746B">
      <w:r w:rsidRPr="00451264">
        <w:continuationSeparator/>
      </w:r>
    </w:p>
  </w:footnote>
  <w:footnote w:id="1">
    <w:p w14:paraId="78578C7C" w14:textId="0030FEAA" w:rsidR="006F132F" w:rsidRPr="00F34738" w:rsidRDefault="006F132F" w:rsidP="00451264">
      <w:pPr>
        <w:pStyle w:val="FootnoteText"/>
        <w:ind w:left="567" w:hanging="567"/>
        <w:rPr>
          <w:sz w:val="24"/>
          <w:szCs w:val="24"/>
          <w:lang w:val="hu-HU"/>
        </w:rPr>
      </w:pPr>
      <w:r w:rsidRPr="00F34738">
        <w:rPr>
          <w:rStyle w:val="FootnoteReference"/>
          <w:sz w:val="24"/>
          <w:szCs w:val="24"/>
          <w:lang w:val="hu-HU"/>
        </w:rPr>
        <w:footnoteRef/>
      </w:r>
      <w:r w:rsidR="00451264" w:rsidRPr="00F34738">
        <w:rPr>
          <w:sz w:val="24"/>
          <w:szCs w:val="24"/>
          <w:lang w:val="hu-HU"/>
        </w:rPr>
        <w:t xml:space="preserve"> </w:t>
      </w:r>
      <w:r w:rsidR="00451264" w:rsidRPr="00F34738">
        <w:rPr>
          <w:sz w:val="24"/>
          <w:szCs w:val="24"/>
          <w:lang w:val="hu-HU"/>
        </w:rPr>
        <w:tab/>
      </w:r>
      <w:r w:rsidRPr="00F34738">
        <w:rPr>
          <w:sz w:val="24"/>
          <w:szCs w:val="24"/>
          <w:lang w:val="hu-HU"/>
        </w:rPr>
        <w:t>HL L 265., 2022.10.12., 1. o., ELI: </w:t>
      </w:r>
      <w:hyperlink r:id="rId1" w:tooltip="Hozzáférés a dokumentumhoz a hozzárendelt európai jogszabály-azonosító URI révén." w:history="1">
        <w:r w:rsidRPr="00F34738">
          <w:rPr>
            <w:rStyle w:val="Hyperlink"/>
            <w:sz w:val="24"/>
            <w:szCs w:val="24"/>
            <w:lang w:val="hu-HU"/>
          </w:rPr>
          <w:t>http://data.europa.eu/eli/reg/2022/1925/oj</w:t>
        </w:r>
      </w:hyperlink>
      <w:r w:rsidRPr="00F34738">
        <w:rPr>
          <w:sz w:val="24"/>
          <w:szCs w:val="24"/>
          <w:lang w:val="hu-HU"/>
        </w:rPr>
        <w:t>.</w:t>
      </w:r>
    </w:p>
  </w:footnote>
  <w:footnote w:id="2">
    <w:p w14:paraId="51B55B85" w14:textId="754C65BA" w:rsidR="006F132F" w:rsidRPr="00F34738" w:rsidRDefault="006F132F" w:rsidP="00451264">
      <w:pPr>
        <w:pStyle w:val="FootnoteText"/>
        <w:ind w:left="567" w:hanging="567"/>
        <w:rPr>
          <w:sz w:val="24"/>
          <w:szCs w:val="24"/>
          <w:lang w:val="hu-HU"/>
        </w:rPr>
      </w:pPr>
      <w:r w:rsidRPr="00F34738">
        <w:rPr>
          <w:rStyle w:val="FootnoteReference"/>
          <w:sz w:val="24"/>
          <w:szCs w:val="24"/>
          <w:lang w:val="hu-HU"/>
        </w:rPr>
        <w:footnoteRef/>
      </w:r>
      <w:r w:rsidR="00451264" w:rsidRPr="00F34738">
        <w:rPr>
          <w:sz w:val="24"/>
          <w:szCs w:val="24"/>
          <w:lang w:val="hu-HU"/>
        </w:rPr>
        <w:t xml:space="preserve"> </w:t>
      </w:r>
      <w:r w:rsidR="00451264" w:rsidRPr="00F34738">
        <w:rPr>
          <w:sz w:val="24"/>
          <w:szCs w:val="24"/>
          <w:lang w:val="hu-HU"/>
        </w:rPr>
        <w:tab/>
      </w:r>
      <w:r w:rsidRPr="00F34738">
        <w:rPr>
          <w:sz w:val="24"/>
          <w:szCs w:val="24"/>
          <w:lang w:val="hu-HU"/>
        </w:rPr>
        <w:t>HL C, C/2023/549, 2023.10.27., ELI: </w:t>
      </w:r>
      <w:hyperlink r:id="rId2" w:tgtFrame="_blank" w:tooltip="Hozzáférés a dokumentumhoz a hozzárendelt európai jogszabály-azonosító URI révén." w:history="1">
        <w:r w:rsidRPr="00F34738">
          <w:rPr>
            <w:rStyle w:val="Hyperlink"/>
            <w:sz w:val="24"/>
            <w:szCs w:val="24"/>
            <w:lang w:val="hu-HU"/>
          </w:rPr>
          <w:t>http://data.europa.eu/eli/C/2023/549/oj</w:t>
        </w:r>
      </w:hyperlink>
      <w:r w:rsidRPr="00F34738">
        <w:rPr>
          <w:sz w:val="24"/>
          <w:szCs w:val="24"/>
          <w:lang w:val="hu-HU"/>
        </w:rPr>
        <w:t>.</w:t>
      </w:r>
    </w:p>
  </w:footnote>
  <w:footnote w:id="3">
    <w:p w14:paraId="3584DB81" w14:textId="64E34B17" w:rsidR="006F132F" w:rsidRPr="00F34738" w:rsidRDefault="006F132F" w:rsidP="00451264">
      <w:pPr>
        <w:pStyle w:val="FootnoteText"/>
        <w:ind w:left="567" w:hanging="567"/>
        <w:rPr>
          <w:sz w:val="24"/>
          <w:szCs w:val="24"/>
          <w:lang w:val="hu-HU"/>
        </w:rPr>
      </w:pPr>
      <w:r w:rsidRPr="00F34738">
        <w:rPr>
          <w:rStyle w:val="FootnoteReference"/>
          <w:sz w:val="24"/>
          <w:szCs w:val="24"/>
          <w:lang w:val="hu-HU"/>
        </w:rPr>
        <w:footnoteRef/>
      </w:r>
      <w:r w:rsidR="00451264" w:rsidRPr="00F34738">
        <w:rPr>
          <w:sz w:val="24"/>
          <w:szCs w:val="24"/>
          <w:lang w:val="hu-HU"/>
        </w:rPr>
        <w:t xml:space="preserve"> </w:t>
      </w:r>
      <w:r w:rsidR="00451264" w:rsidRPr="00F34738">
        <w:rPr>
          <w:sz w:val="24"/>
          <w:szCs w:val="24"/>
          <w:lang w:val="hu-HU"/>
        </w:rPr>
        <w:tab/>
      </w:r>
      <w:r w:rsidRPr="00F34738">
        <w:rPr>
          <w:sz w:val="24"/>
          <w:szCs w:val="24"/>
          <w:lang w:val="hu-HU"/>
        </w:rPr>
        <w:t>HL C, C/2023/905, 2023.11.15., ELI: </w:t>
      </w:r>
      <w:hyperlink r:id="rId3" w:tgtFrame="_blank" w:tooltip="Hozzáférés a dokumentumhoz a hozzárendelt európai jogszabály-azonosító URI révén." w:history="1">
        <w:r w:rsidRPr="00F34738">
          <w:rPr>
            <w:rStyle w:val="Hyperlink"/>
            <w:sz w:val="24"/>
            <w:szCs w:val="24"/>
            <w:lang w:val="hu-HU"/>
          </w:rPr>
          <w:t>http://data.europa.eu/eli/C/2023/905/oj</w:t>
        </w:r>
      </w:hyperlink>
      <w:r w:rsidRPr="00F34738">
        <w:rPr>
          <w:sz w:val="24"/>
          <w:szCs w:val="24"/>
          <w:lang w:val="hu-HU"/>
        </w:rPr>
        <w:t>.</w:t>
      </w:r>
    </w:p>
  </w:footnote>
  <w:footnote w:id="4">
    <w:p w14:paraId="44E5A3B4" w14:textId="553C6D6A" w:rsidR="006F132F" w:rsidRPr="00F34738" w:rsidRDefault="006F132F" w:rsidP="00451264">
      <w:pPr>
        <w:pStyle w:val="FootnoteText"/>
        <w:ind w:left="567" w:hanging="567"/>
        <w:rPr>
          <w:sz w:val="24"/>
          <w:szCs w:val="24"/>
          <w:lang w:val="hu-HU"/>
        </w:rPr>
      </w:pPr>
      <w:r w:rsidRPr="00F34738">
        <w:rPr>
          <w:rStyle w:val="FootnoteReference"/>
          <w:sz w:val="24"/>
          <w:szCs w:val="24"/>
          <w:lang w:val="hu-HU"/>
        </w:rPr>
        <w:footnoteRef/>
      </w:r>
      <w:r w:rsidR="00451264" w:rsidRPr="00F34738">
        <w:rPr>
          <w:sz w:val="24"/>
          <w:szCs w:val="24"/>
          <w:lang w:val="hu-HU"/>
        </w:rPr>
        <w:t xml:space="preserve"> </w:t>
      </w:r>
      <w:r w:rsidR="00451264" w:rsidRPr="00F34738">
        <w:rPr>
          <w:sz w:val="24"/>
          <w:szCs w:val="24"/>
          <w:lang w:val="hu-HU"/>
        </w:rPr>
        <w:tab/>
      </w:r>
      <w:r w:rsidRPr="00F34738">
        <w:rPr>
          <w:sz w:val="24"/>
          <w:szCs w:val="24"/>
          <w:lang w:val="hu-HU"/>
        </w:rPr>
        <w:t>HL C, C/2025/4646, 2025.8.14., ELI: </w:t>
      </w:r>
      <w:hyperlink r:id="rId4" w:tgtFrame="_blank" w:tooltip="Hozzáférés a dokumentumhoz a hozzárendelt európai jogszabály-azonosító URI révén." w:history="1">
        <w:r w:rsidRPr="00F34738">
          <w:rPr>
            <w:rStyle w:val="Hyperlink"/>
            <w:sz w:val="24"/>
            <w:szCs w:val="24"/>
            <w:lang w:val="hu-HU"/>
          </w:rPr>
          <w:t>http://data.europa.eu/eli/C/2025/4646/oj</w:t>
        </w:r>
      </w:hyperlink>
      <w:r w:rsidRPr="00F34738">
        <w:rPr>
          <w:sz w:val="24"/>
          <w:szCs w:val="24"/>
          <w:lang w:val="hu-HU"/>
        </w:rPr>
        <w:t>.</w:t>
      </w:r>
    </w:p>
  </w:footnote>
  <w:footnote w:id="5">
    <w:p w14:paraId="38C600F0" w14:textId="134355AE" w:rsidR="006F132F" w:rsidRPr="00F34738" w:rsidRDefault="006F132F" w:rsidP="00451264">
      <w:pPr>
        <w:pStyle w:val="FootnoteText"/>
        <w:ind w:left="567" w:hanging="567"/>
        <w:rPr>
          <w:sz w:val="24"/>
          <w:szCs w:val="24"/>
          <w:lang w:val="hu-HU"/>
        </w:rPr>
      </w:pPr>
      <w:r w:rsidRPr="00F34738">
        <w:rPr>
          <w:rStyle w:val="FootnoteReference"/>
          <w:sz w:val="24"/>
          <w:szCs w:val="24"/>
          <w:lang w:val="hu-HU"/>
        </w:rPr>
        <w:footnoteRef/>
      </w:r>
      <w:r w:rsidR="00451264" w:rsidRPr="00F34738">
        <w:rPr>
          <w:sz w:val="24"/>
          <w:szCs w:val="24"/>
          <w:lang w:val="hu-HU"/>
        </w:rPr>
        <w:t xml:space="preserve"> </w:t>
      </w:r>
      <w:r w:rsidR="00451264" w:rsidRPr="00F34738">
        <w:rPr>
          <w:sz w:val="24"/>
          <w:szCs w:val="24"/>
          <w:lang w:val="hu-HU"/>
        </w:rPr>
        <w:tab/>
      </w:r>
      <w:r w:rsidRPr="00F34738">
        <w:rPr>
          <w:sz w:val="24"/>
          <w:szCs w:val="24"/>
          <w:lang w:val="hu-HU"/>
        </w:rPr>
        <w:t>HL C, C/2023/552, 2023.10.27., ELI: </w:t>
      </w:r>
      <w:hyperlink r:id="rId5" w:tgtFrame="_blank" w:tooltip="Hozzáférés a dokumentumhoz a hozzárendelt európai jogszabály-azonosító URI révén." w:history="1">
        <w:r w:rsidRPr="00F34738">
          <w:rPr>
            <w:rStyle w:val="Hyperlink"/>
            <w:sz w:val="24"/>
            <w:szCs w:val="24"/>
            <w:lang w:val="hu-HU"/>
          </w:rPr>
          <w:t>http://data.europa.eu/eli/C/2023/552/oj</w:t>
        </w:r>
      </w:hyperlink>
      <w:r w:rsidRPr="00F34738">
        <w:rPr>
          <w:sz w:val="24"/>
          <w:szCs w:val="24"/>
          <w:lang w:val="hu-HU"/>
        </w:rPr>
        <w:t>.</w:t>
      </w:r>
    </w:p>
  </w:footnote>
  <w:footnote w:id="6">
    <w:p w14:paraId="1F1EDB25" w14:textId="7D36BA77" w:rsidR="006F132F" w:rsidRPr="00F34738" w:rsidRDefault="006F132F" w:rsidP="00451264">
      <w:pPr>
        <w:pStyle w:val="FootnoteText"/>
        <w:ind w:left="567" w:hanging="567"/>
        <w:rPr>
          <w:sz w:val="24"/>
          <w:szCs w:val="24"/>
          <w:lang w:val="hu-HU"/>
        </w:rPr>
      </w:pPr>
      <w:r w:rsidRPr="00F34738">
        <w:rPr>
          <w:rStyle w:val="FootnoteReference"/>
          <w:sz w:val="24"/>
          <w:szCs w:val="24"/>
          <w:lang w:val="hu-HU"/>
        </w:rPr>
        <w:footnoteRef/>
      </w:r>
      <w:r w:rsidR="00451264" w:rsidRPr="00F34738">
        <w:rPr>
          <w:sz w:val="24"/>
          <w:szCs w:val="24"/>
          <w:lang w:val="hu-HU"/>
        </w:rPr>
        <w:t xml:space="preserve"> </w:t>
      </w:r>
      <w:r w:rsidR="00451264" w:rsidRPr="00F34738">
        <w:rPr>
          <w:sz w:val="24"/>
          <w:szCs w:val="24"/>
          <w:lang w:val="hu-HU"/>
        </w:rPr>
        <w:tab/>
      </w:r>
      <w:r w:rsidRPr="00F34738">
        <w:rPr>
          <w:sz w:val="24"/>
          <w:szCs w:val="24"/>
          <w:lang w:val="hu-HU"/>
        </w:rPr>
        <w:t>HL C, C/2023/1092, 2023.11.23., ELI: </w:t>
      </w:r>
      <w:hyperlink r:id="rId6" w:tgtFrame="_blank" w:tooltip="Hozzáférés a dokumentumhoz a hozzárendelt európai jogszabály-azonosító URI révén." w:history="1">
        <w:r w:rsidRPr="00F34738">
          <w:rPr>
            <w:rStyle w:val="Hyperlink"/>
            <w:sz w:val="24"/>
            <w:szCs w:val="24"/>
            <w:lang w:val="hu-HU"/>
          </w:rPr>
          <w:t>http://data.europa.eu/eli/C/2023/1092/oj</w:t>
        </w:r>
      </w:hyperlink>
      <w:r w:rsidRPr="00F34738">
        <w:rPr>
          <w:sz w:val="24"/>
          <w:szCs w:val="24"/>
          <w:lang w:val="hu-HU"/>
        </w:rPr>
        <w:t>.</w:t>
      </w:r>
    </w:p>
  </w:footnote>
  <w:footnote w:id="7">
    <w:p w14:paraId="7DC9D9C1" w14:textId="0416B7A6" w:rsidR="006F132F" w:rsidRPr="00F34738" w:rsidRDefault="006F132F" w:rsidP="00451264">
      <w:pPr>
        <w:pStyle w:val="FootnoteText"/>
        <w:ind w:left="567" w:hanging="567"/>
        <w:rPr>
          <w:sz w:val="24"/>
          <w:szCs w:val="24"/>
          <w:lang w:val="hu-HU"/>
        </w:rPr>
      </w:pPr>
      <w:r w:rsidRPr="00F34738">
        <w:rPr>
          <w:rStyle w:val="FootnoteReference"/>
          <w:sz w:val="24"/>
          <w:szCs w:val="24"/>
          <w:lang w:val="hu-HU"/>
        </w:rPr>
        <w:footnoteRef/>
      </w:r>
      <w:r w:rsidR="00451264" w:rsidRPr="00F34738">
        <w:rPr>
          <w:sz w:val="24"/>
          <w:szCs w:val="24"/>
          <w:lang w:val="hu-HU"/>
        </w:rPr>
        <w:t xml:space="preserve"> </w:t>
      </w:r>
      <w:r w:rsidR="00451264" w:rsidRPr="00F34738">
        <w:rPr>
          <w:sz w:val="24"/>
          <w:szCs w:val="24"/>
          <w:lang w:val="hu-HU"/>
        </w:rPr>
        <w:tab/>
      </w:r>
      <w:r w:rsidRPr="00F34738">
        <w:rPr>
          <w:sz w:val="24"/>
          <w:szCs w:val="24"/>
          <w:lang w:val="hu-HU"/>
        </w:rPr>
        <w:t>HL C, C/2023/551, 2023.10.27., ELI: </w:t>
      </w:r>
      <w:hyperlink r:id="rId7" w:tgtFrame="_blank" w:tooltip="Hozzáférés a dokumentumhoz a hozzárendelt európai jogszabály-azonosító URI révén." w:history="1">
        <w:r w:rsidRPr="00F34738">
          <w:rPr>
            <w:rStyle w:val="Hyperlink"/>
            <w:sz w:val="24"/>
            <w:szCs w:val="24"/>
            <w:lang w:val="hu-HU"/>
          </w:rPr>
          <w:t>http://data.europa.eu/eli/C/2023/551/oj</w:t>
        </w:r>
      </w:hyperlink>
      <w:r w:rsidRPr="00F34738">
        <w:rPr>
          <w:sz w:val="24"/>
          <w:szCs w:val="24"/>
          <w:lang w:val="hu-HU"/>
        </w:rPr>
        <w:t xml:space="preserve">. </w:t>
      </w:r>
    </w:p>
  </w:footnote>
  <w:footnote w:id="8">
    <w:p w14:paraId="43B3AD9C" w14:textId="0D29DC23" w:rsidR="006F132F" w:rsidRPr="00F34738" w:rsidRDefault="006F132F" w:rsidP="00451264">
      <w:pPr>
        <w:pStyle w:val="FootnoteText"/>
        <w:ind w:left="567" w:hanging="567"/>
        <w:rPr>
          <w:sz w:val="24"/>
          <w:szCs w:val="24"/>
          <w:lang w:val="hu-HU"/>
        </w:rPr>
      </w:pPr>
      <w:r w:rsidRPr="00F34738">
        <w:rPr>
          <w:rStyle w:val="FootnoteReference"/>
          <w:sz w:val="24"/>
          <w:szCs w:val="24"/>
          <w:lang w:val="hu-HU"/>
        </w:rPr>
        <w:footnoteRef/>
      </w:r>
      <w:r w:rsidR="00451264" w:rsidRPr="00F34738">
        <w:rPr>
          <w:sz w:val="24"/>
          <w:szCs w:val="24"/>
          <w:lang w:val="hu-HU"/>
        </w:rPr>
        <w:t xml:space="preserve"> </w:t>
      </w:r>
      <w:r w:rsidR="00451264" w:rsidRPr="00F34738">
        <w:rPr>
          <w:sz w:val="24"/>
          <w:szCs w:val="24"/>
          <w:lang w:val="hu-HU"/>
        </w:rPr>
        <w:tab/>
      </w:r>
      <w:r w:rsidRPr="00F34738">
        <w:rPr>
          <w:sz w:val="24"/>
          <w:szCs w:val="24"/>
          <w:lang w:val="hu-HU"/>
        </w:rPr>
        <w:t>HL C, C/2024/4374, 2024.7.4., ELI: </w:t>
      </w:r>
      <w:hyperlink r:id="rId8" w:tgtFrame="_blank" w:tooltip="Hozzáférés a dokumentumhoz a hozzárendelt európai jogszabály-azonosító URI révén." w:history="1">
        <w:r w:rsidRPr="00F34738">
          <w:rPr>
            <w:rStyle w:val="Hyperlink"/>
            <w:sz w:val="24"/>
            <w:szCs w:val="24"/>
            <w:lang w:val="hu-HU"/>
          </w:rPr>
          <w:t>http://data.europa.eu/eli/C/2024/4374/oj</w:t>
        </w:r>
      </w:hyperlink>
      <w:r w:rsidRPr="00F34738">
        <w:rPr>
          <w:sz w:val="24"/>
          <w:szCs w:val="24"/>
          <w:lang w:val="hu-HU"/>
        </w:rPr>
        <w:t>.</w:t>
      </w:r>
    </w:p>
  </w:footnote>
  <w:footnote w:id="9">
    <w:p w14:paraId="5F18141C" w14:textId="7C4D49C7" w:rsidR="006F132F" w:rsidRPr="00F34738" w:rsidRDefault="006F132F" w:rsidP="00451264">
      <w:pPr>
        <w:pStyle w:val="FootnoteText"/>
        <w:ind w:left="567" w:hanging="567"/>
        <w:rPr>
          <w:sz w:val="24"/>
          <w:szCs w:val="24"/>
          <w:lang w:val="hu-HU"/>
        </w:rPr>
      </w:pPr>
      <w:r w:rsidRPr="00F34738">
        <w:rPr>
          <w:rStyle w:val="FootnoteReference"/>
          <w:sz w:val="24"/>
          <w:szCs w:val="24"/>
          <w:lang w:val="hu-HU"/>
        </w:rPr>
        <w:footnoteRef/>
      </w:r>
      <w:r w:rsidR="00451264" w:rsidRPr="00F34738">
        <w:rPr>
          <w:sz w:val="24"/>
          <w:szCs w:val="24"/>
          <w:lang w:val="hu-HU"/>
        </w:rPr>
        <w:t xml:space="preserve"> </w:t>
      </w:r>
      <w:r w:rsidR="00451264" w:rsidRPr="00F34738">
        <w:rPr>
          <w:sz w:val="24"/>
          <w:szCs w:val="24"/>
          <w:lang w:val="hu-HU"/>
        </w:rPr>
        <w:tab/>
      </w:r>
      <w:r w:rsidRPr="00F34738">
        <w:rPr>
          <w:sz w:val="24"/>
          <w:szCs w:val="24"/>
          <w:lang w:val="hu-HU"/>
        </w:rPr>
        <w:t>HL C, C/2024/4360, 2024.7.4., ELI: </w:t>
      </w:r>
      <w:hyperlink r:id="rId9" w:tgtFrame="_blank" w:tooltip="Hozzáférés a dokumentumhoz a hozzárendelt európai jogszabály-azonosító URI révén." w:history="1">
        <w:r w:rsidRPr="00F34738">
          <w:rPr>
            <w:rStyle w:val="Hyperlink"/>
            <w:sz w:val="24"/>
            <w:szCs w:val="24"/>
            <w:lang w:val="hu-HU"/>
          </w:rPr>
          <w:t>http://data.europa.eu/eli/C/2024/4360/oj</w:t>
        </w:r>
      </w:hyperlink>
      <w:r w:rsidRPr="00F34738">
        <w:rPr>
          <w:sz w:val="24"/>
          <w:szCs w:val="24"/>
          <w:lang w:val="hu-HU"/>
        </w:rPr>
        <w:t>.</w:t>
      </w:r>
    </w:p>
  </w:footnote>
  <w:footnote w:id="10">
    <w:p w14:paraId="39C8593A" w14:textId="74EEA38D" w:rsidR="006F132F" w:rsidRPr="00F34738" w:rsidRDefault="006F132F" w:rsidP="00451264">
      <w:pPr>
        <w:pStyle w:val="FootnoteText"/>
        <w:ind w:left="567" w:hanging="567"/>
        <w:rPr>
          <w:sz w:val="24"/>
          <w:szCs w:val="24"/>
          <w:lang w:val="hu-HU"/>
        </w:rPr>
      </w:pPr>
      <w:r w:rsidRPr="00F34738">
        <w:rPr>
          <w:rStyle w:val="FootnoteReference"/>
          <w:sz w:val="24"/>
          <w:szCs w:val="24"/>
          <w:lang w:val="hu-HU"/>
        </w:rPr>
        <w:footnoteRef/>
      </w:r>
      <w:r w:rsidR="00451264" w:rsidRPr="00F34738">
        <w:rPr>
          <w:sz w:val="24"/>
          <w:szCs w:val="24"/>
          <w:lang w:val="hu-HU"/>
        </w:rPr>
        <w:t xml:space="preserve"> </w:t>
      </w:r>
      <w:r w:rsidR="00451264" w:rsidRPr="00F34738">
        <w:rPr>
          <w:sz w:val="24"/>
          <w:szCs w:val="24"/>
          <w:lang w:val="hu-HU"/>
        </w:rPr>
        <w:tab/>
      </w:r>
      <w:r w:rsidRPr="00F34738">
        <w:rPr>
          <w:sz w:val="24"/>
          <w:szCs w:val="24"/>
          <w:lang w:val="hu-HU"/>
        </w:rPr>
        <w:t>HL C, C/2025/3466, 2025.6.27., ELI: </w:t>
      </w:r>
      <w:hyperlink r:id="rId10" w:tgtFrame="_blank" w:tooltip="Hozzáférés a dokumentumhoz a hozzárendelt európai jogszabály-azonosító URI révén." w:history="1">
        <w:r w:rsidRPr="00F34738">
          <w:rPr>
            <w:rStyle w:val="Hyperlink"/>
            <w:sz w:val="24"/>
            <w:szCs w:val="24"/>
            <w:lang w:val="hu-HU"/>
          </w:rPr>
          <w:t>http://data.europa.eu/eli/C/2025/3466/oj</w:t>
        </w:r>
      </w:hyperlink>
      <w:r w:rsidRPr="00F34738">
        <w:rPr>
          <w:sz w:val="24"/>
          <w:szCs w:val="24"/>
          <w:lang w:val="hu-HU"/>
        </w:rPr>
        <w:t>.</w:t>
      </w:r>
    </w:p>
  </w:footnote>
  <w:footnote w:id="11">
    <w:p w14:paraId="5613E4DB" w14:textId="4CB61408" w:rsidR="006F132F" w:rsidRPr="00F34738" w:rsidRDefault="006F132F" w:rsidP="00451264">
      <w:pPr>
        <w:pStyle w:val="FootnoteText"/>
        <w:ind w:left="567" w:hanging="567"/>
        <w:rPr>
          <w:sz w:val="24"/>
          <w:szCs w:val="24"/>
          <w:lang w:val="hu-HU"/>
        </w:rPr>
      </w:pPr>
      <w:r w:rsidRPr="00F34738">
        <w:rPr>
          <w:rStyle w:val="FootnoteReference"/>
          <w:sz w:val="24"/>
          <w:szCs w:val="24"/>
          <w:lang w:val="hu-HU"/>
        </w:rPr>
        <w:footnoteRef/>
      </w:r>
      <w:r w:rsidR="00451264" w:rsidRPr="00F34738">
        <w:rPr>
          <w:sz w:val="24"/>
          <w:szCs w:val="24"/>
          <w:lang w:val="hu-HU"/>
        </w:rPr>
        <w:t xml:space="preserve"> </w:t>
      </w:r>
      <w:r w:rsidR="00451264" w:rsidRPr="00F34738">
        <w:rPr>
          <w:sz w:val="24"/>
          <w:szCs w:val="24"/>
          <w:lang w:val="hu-HU"/>
        </w:rPr>
        <w:tab/>
      </w:r>
      <w:r w:rsidRPr="00F34738">
        <w:rPr>
          <w:sz w:val="24"/>
          <w:szCs w:val="24"/>
          <w:lang w:val="hu-HU"/>
        </w:rPr>
        <w:t>HL L 102</w:t>
      </w:r>
      <w:r w:rsidR="00D67BE0">
        <w:rPr>
          <w:sz w:val="24"/>
          <w:szCs w:val="24"/>
          <w:lang w:val="hu-HU"/>
        </w:rPr>
        <w:t>.</w:t>
      </w:r>
      <w:r w:rsidRPr="00F34738">
        <w:rPr>
          <w:sz w:val="24"/>
          <w:szCs w:val="24"/>
          <w:lang w:val="hu-HU"/>
        </w:rPr>
        <w:t>, 2023.4.17., 6. o., ELI: </w:t>
      </w:r>
      <w:hyperlink r:id="rId11" w:tooltip="Hozzáférés a dokumentumhoz a hozzárendelt európai jogszabály-azonosító URI révén." w:history="1">
        <w:r w:rsidRPr="00F34738">
          <w:rPr>
            <w:rStyle w:val="Hyperlink"/>
            <w:sz w:val="24"/>
            <w:szCs w:val="24"/>
            <w:lang w:val="hu-HU"/>
          </w:rPr>
          <w:t>http://data.europa.eu/eli/reg_impl/2023/814/oj</w:t>
        </w:r>
      </w:hyperlink>
      <w:r w:rsidRPr="00F34738">
        <w:rPr>
          <w:sz w:val="24"/>
          <w:szCs w:val="24"/>
          <w:lang w:val="hu-HU"/>
        </w:rPr>
        <w:t>.</w:t>
      </w:r>
    </w:p>
  </w:footnote>
  <w:footnote w:id="12">
    <w:p w14:paraId="543F76C8" w14:textId="0FEC2D6B" w:rsidR="006F132F" w:rsidRPr="00F34738" w:rsidRDefault="006F132F" w:rsidP="00451264">
      <w:pPr>
        <w:pStyle w:val="FootnoteText"/>
        <w:ind w:left="567" w:hanging="567"/>
        <w:rPr>
          <w:sz w:val="24"/>
          <w:szCs w:val="24"/>
          <w:lang w:val="hu-HU"/>
        </w:rPr>
      </w:pPr>
      <w:r w:rsidRPr="00F34738">
        <w:rPr>
          <w:rStyle w:val="FootnoteReference"/>
          <w:sz w:val="24"/>
          <w:szCs w:val="24"/>
          <w:lang w:val="hu-HU"/>
        </w:rPr>
        <w:footnoteRef/>
      </w:r>
      <w:r w:rsidR="00451264" w:rsidRPr="00F34738">
        <w:rPr>
          <w:sz w:val="24"/>
          <w:szCs w:val="24"/>
          <w:lang w:val="hu-HU"/>
        </w:rPr>
        <w:t xml:space="preserve"> </w:t>
      </w:r>
      <w:r w:rsidR="00451264" w:rsidRPr="00F34738">
        <w:rPr>
          <w:sz w:val="24"/>
          <w:szCs w:val="24"/>
          <w:lang w:val="hu-HU"/>
        </w:rPr>
        <w:tab/>
      </w:r>
      <w:r w:rsidRPr="00F34738">
        <w:rPr>
          <w:sz w:val="24"/>
          <w:szCs w:val="24"/>
          <w:lang w:val="hu-HU"/>
        </w:rPr>
        <w:t xml:space="preserve">Az Európai Parlament és a Tanács (EU) 2023/2854 rendelete (2023. december 13.) a méltányos adathozzáférésre és -felhasználásra vonatkozó harmonizált szabályokról, valamint az (EU) 2017/2394 rendelet és az (EU) 2020/1828 irányelv módosításáról (adatrendelet) (HL L, 2023/2854, 2023.12.22., ELI: </w:t>
      </w:r>
      <w:hyperlink r:id="rId12" w:history="1">
        <w:r w:rsidRPr="00F34738">
          <w:rPr>
            <w:rStyle w:val="Hyperlink"/>
            <w:sz w:val="24"/>
            <w:szCs w:val="24"/>
            <w:lang w:val="hu-HU"/>
          </w:rPr>
          <w:t>http://data.europa.eu/eli/reg/2023/2854/oj</w:t>
        </w:r>
      </w:hyperlink>
      <w:r w:rsidRPr="00F34738">
        <w:rPr>
          <w:sz w:val="24"/>
          <w:szCs w:val="24"/>
          <w:lang w:val="hu-HU"/>
        </w:rPr>
        <w:t>).</w:t>
      </w:r>
    </w:p>
  </w:footnote>
  <w:footnote w:id="13">
    <w:p w14:paraId="21BCAC9A" w14:textId="002B57DE" w:rsidR="006F132F" w:rsidRPr="00F34738" w:rsidRDefault="006F132F" w:rsidP="00451264">
      <w:pPr>
        <w:pStyle w:val="FootnoteText"/>
        <w:ind w:left="567" w:hanging="567"/>
        <w:rPr>
          <w:sz w:val="24"/>
          <w:szCs w:val="24"/>
          <w:lang w:val="hu-HU"/>
        </w:rPr>
      </w:pPr>
      <w:r w:rsidRPr="00F34738">
        <w:rPr>
          <w:rStyle w:val="FootnoteReference"/>
          <w:sz w:val="24"/>
          <w:szCs w:val="24"/>
          <w:lang w:val="hu-HU"/>
        </w:rPr>
        <w:footnoteRef/>
      </w:r>
      <w:r w:rsidR="00451264" w:rsidRPr="00F34738">
        <w:rPr>
          <w:sz w:val="24"/>
          <w:szCs w:val="24"/>
          <w:lang w:val="hu-HU"/>
        </w:rPr>
        <w:t xml:space="preserve"> </w:t>
      </w:r>
      <w:r w:rsidR="00451264" w:rsidRPr="00F34738">
        <w:rPr>
          <w:sz w:val="24"/>
          <w:szCs w:val="24"/>
          <w:lang w:val="hu-HU"/>
        </w:rPr>
        <w:tab/>
      </w:r>
      <w:r w:rsidRPr="00F34738">
        <w:rPr>
          <w:sz w:val="24"/>
          <w:szCs w:val="24"/>
          <w:lang w:val="hu-HU"/>
        </w:rPr>
        <w:t>Az Európai Parlament és a Tanács (EU) 2024/1689 rendelete (2024. június 13.) a mesterséges intelligenciára vonatkozó harmonizált szabályok megállapításáról, valamint a 300/2008/EK, a 167/2013/EU, a 168/2013/EU, az (EU) 2018/858, az (EU) 2018/1139 és az (EU) 2019/2144 rendelet, továbbá a 2014/90/EU, az (EU) 2016/797 és az (EU) 2020/1828 irányelv módosításáról (a mesterséges intelligenciáról szóló rendelet) (HL L,</w:t>
      </w:r>
      <w:r w:rsidR="00D67BE0">
        <w:rPr>
          <w:sz w:val="24"/>
          <w:szCs w:val="24"/>
          <w:lang w:val="hu-HU"/>
        </w:rPr>
        <w:t xml:space="preserve"> </w:t>
      </w:r>
      <w:r w:rsidRPr="00F34738">
        <w:rPr>
          <w:sz w:val="24"/>
          <w:szCs w:val="24"/>
          <w:lang w:val="hu-HU"/>
        </w:rPr>
        <w:t>2024/1689, 2024.7.12., ELI: </w:t>
      </w:r>
      <w:hyperlink r:id="rId13" w:history="1">
        <w:r w:rsidRPr="00F34738">
          <w:rPr>
            <w:rStyle w:val="Hyperlink"/>
            <w:sz w:val="24"/>
            <w:szCs w:val="24"/>
            <w:lang w:val="hu-HU"/>
          </w:rPr>
          <w:t>http://data.europa.eu/eli/reg/2024/1689/oj</w:t>
        </w:r>
      </w:hyperlink>
      <w:r w:rsidRPr="00F34738">
        <w:rPr>
          <w:sz w:val="24"/>
          <w:szCs w:val="24"/>
          <w:lang w:val="hu-HU"/>
        </w:rPr>
        <w:t>).</w:t>
      </w:r>
    </w:p>
  </w:footnote>
  <w:footnote w:id="14">
    <w:p w14:paraId="431C54BA" w14:textId="7AEDD126" w:rsidR="00B50BE9" w:rsidRPr="00F34738" w:rsidRDefault="00B50BE9" w:rsidP="00F34738">
      <w:pPr>
        <w:pStyle w:val="Normal6a"/>
        <w:ind w:left="567" w:hanging="567"/>
        <w:rPr>
          <w:szCs w:val="24"/>
        </w:rPr>
      </w:pPr>
      <w:r w:rsidRPr="00F34738">
        <w:rPr>
          <w:rStyle w:val="FootnoteReference"/>
          <w:szCs w:val="24"/>
        </w:rPr>
        <w:footnoteRef/>
      </w:r>
      <w:r w:rsidRPr="00F34738">
        <w:rPr>
          <w:szCs w:val="24"/>
        </w:rPr>
        <w:t xml:space="preserve"> </w:t>
      </w:r>
      <w:r w:rsidRPr="00F34738">
        <w:rPr>
          <w:szCs w:val="24"/>
        </w:rPr>
        <w:tab/>
        <w:t>Az Európai Parlament és a Tanács (EU) 2022/2560 rendelete (2022. december 14.) a belső piacot torzító külföldi támogatásokról (HL L 330., 2022.12.23., 1. o., ELI: </w:t>
      </w:r>
      <w:hyperlink r:id="rId14" w:tooltip="Hozzáférés a dokumentumhoz a hozzárendelt európai jogszabály-azonosító URI révén." w:history="1">
        <w:r w:rsidRPr="00F34738">
          <w:rPr>
            <w:rStyle w:val="Hyperlink"/>
            <w:szCs w:val="24"/>
          </w:rPr>
          <w:t>http://data.europa.eu/eli/reg/2022/2560/oj</w:t>
        </w:r>
      </w:hyperlink>
      <w:r w:rsidRPr="00F34738">
        <w:rPr>
          <w:szCs w:val="24"/>
        </w:rPr>
        <w:t>).</w:t>
      </w:r>
    </w:p>
  </w:footnote>
  <w:footnote w:id="15">
    <w:p w14:paraId="7707158E" w14:textId="166B5E24" w:rsidR="00B50BE9" w:rsidRPr="00F34738" w:rsidRDefault="00B50BE9" w:rsidP="00F34738">
      <w:pPr>
        <w:pStyle w:val="FootnoteText"/>
        <w:ind w:left="567" w:hanging="567"/>
        <w:rPr>
          <w:sz w:val="24"/>
          <w:szCs w:val="24"/>
          <w:lang w:val="hu-HU"/>
        </w:rPr>
      </w:pPr>
      <w:r w:rsidRPr="00F34738">
        <w:rPr>
          <w:rStyle w:val="FootnoteReference"/>
          <w:sz w:val="24"/>
          <w:szCs w:val="24"/>
        </w:rPr>
        <w:footnoteRef/>
      </w:r>
      <w:r w:rsidRPr="00F34738">
        <w:rPr>
          <w:sz w:val="24"/>
          <w:szCs w:val="24"/>
          <w:lang w:val="hu-HU"/>
        </w:rPr>
        <w:t xml:space="preserve"> </w:t>
      </w:r>
      <w:r w:rsidRPr="00F34738">
        <w:rPr>
          <w:sz w:val="24"/>
          <w:szCs w:val="24"/>
          <w:lang w:val="hu-HU"/>
        </w:rPr>
        <w:tab/>
        <w:t>Az Európai Parlament és a Tanács (EU) 2019/452 rendelete (2019. március 19.) az Unióba irányuló közvetlen külföldi befektetések átvilágítási keretének létrehozásáról (HL L 79. I, 2019.3.21., 1. o., ELI: </w:t>
      </w:r>
      <w:hyperlink r:id="rId15" w:tooltip="Hozzáférés a dokumentumhoz a hozzárendelt európai jogszabály-azonosító URI révén." w:history="1">
        <w:r w:rsidRPr="00F34738">
          <w:rPr>
            <w:rStyle w:val="Hyperlink"/>
            <w:sz w:val="24"/>
            <w:szCs w:val="24"/>
            <w:lang w:val="hu-HU"/>
          </w:rPr>
          <w:t>http://data.europa.eu/eli/reg/2019/452/oj</w:t>
        </w:r>
      </w:hyperlink>
      <w:r w:rsidRPr="00F34738">
        <w:rPr>
          <w:sz w:val="24"/>
          <w:szCs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97107" w14:textId="77777777" w:rsidR="00064002" w:rsidRPr="0045126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ED4B0" w14:textId="77777777" w:rsidR="00064002" w:rsidRPr="0045126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6132" w14:textId="77777777" w:rsidR="00064002" w:rsidRPr="0045126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11197763">
    <w:abstractNumId w:val="9"/>
  </w:num>
  <w:num w:numId="2" w16cid:durableId="223806099">
    <w:abstractNumId w:val="9"/>
  </w:num>
  <w:num w:numId="3" w16cid:durableId="633489643">
    <w:abstractNumId w:val="7"/>
  </w:num>
  <w:num w:numId="4" w16cid:durableId="465272373">
    <w:abstractNumId w:val="7"/>
  </w:num>
  <w:num w:numId="5" w16cid:durableId="1057508707">
    <w:abstractNumId w:val="6"/>
  </w:num>
  <w:num w:numId="6" w16cid:durableId="1604067308">
    <w:abstractNumId w:val="6"/>
  </w:num>
  <w:num w:numId="7" w16cid:durableId="1366371513">
    <w:abstractNumId w:val="5"/>
  </w:num>
  <w:num w:numId="8" w16cid:durableId="906770863">
    <w:abstractNumId w:val="5"/>
  </w:num>
  <w:num w:numId="9" w16cid:durableId="971595670">
    <w:abstractNumId w:val="4"/>
  </w:num>
  <w:num w:numId="10" w16cid:durableId="749160234">
    <w:abstractNumId w:val="4"/>
  </w:num>
  <w:num w:numId="11" w16cid:durableId="1567374072">
    <w:abstractNumId w:val="8"/>
  </w:num>
  <w:num w:numId="12" w16cid:durableId="238489663">
    <w:abstractNumId w:val="8"/>
  </w:num>
  <w:num w:numId="13" w16cid:durableId="224723827">
    <w:abstractNumId w:val="3"/>
  </w:num>
  <w:num w:numId="14" w16cid:durableId="1451244384">
    <w:abstractNumId w:val="3"/>
  </w:num>
  <w:num w:numId="15" w16cid:durableId="237522300">
    <w:abstractNumId w:val="2"/>
  </w:num>
  <w:num w:numId="16" w16cid:durableId="1655721717">
    <w:abstractNumId w:val="2"/>
  </w:num>
  <w:num w:numId="17" w16cid:durableId="966081144">
    <w:abstractNumId w:val="1"/>
  </w:num>
  <w:num w:numId="18" w16cid:durableId="458837871">
    <w:abstractNumId w:val="1"/>
  </w:num>
  <w:num w:numId="19" w16cid:durableId="735474876">
    <w:abstractNumId w:val="0"/>
  </w:num>
  <w:num w:numId="20" w16cid:durableId="1895433948">
    <w:abstractNumId w:val="0"/>
  </w:num>
  <w:num w:numId="21" w16cid:durableId="247007005">
    <w:abstractNumId w:val="9"/>
  </w:num>
  <w:num w:numId="22" w16cid:durableId="283927619">
    <w:abstractNumId w:val="7"/>
  </w:num>
  <w:num w:numId="23" w16cid:durableId="133447951">
    <w:abstractNumId w:val="6"/>
  </w:num>
  <w:num w:numId="24" w16cid:durableId="1302344482">
    <w:abstractNumId w:val="5"/>
  </w:num>
  <w:num w:numId="25" w16cid:durableId="1845899900">
    <w:abstractNumId w:val="4"/>
  </w:num>
  <w:num w:numId="26" w16cid:durableId="1669019023">
    <w:abstractNumId w:val="8"/>
  </w:num>
  <w:num w:numId="27" w16cid:durableId="62683021">
    <w:abstractNumId w:val="3"/>
  </w:num>
  <w:num w:numId="28" w16cid:durableId="586185042">
    <w:abstractNumId w:val="2"/>
  </w:num>
  <w:num w:numId="29" w16cid:durableId="1411657399">
    <w:abstractNumId w:val="1"/>
  </w:num>
  <w:num w:numId="30" w16cid:durableId="1894853508">
    <w:abstractNumId w:val="0"/>
  </w:num>
  <w:num w:numId="31" w16cid:durableId="876770086">
    <w:abstractNumId w:val="9"/>
  </w:num>
  <w:num w:numId="32" w16cid:durableId="914583278">
    <w:abstractNumId w:val="7"/>
  </w:num>
  <w:num w:numId="33" w16cid:durableId="1602493583">
    <w:abstractNumId w:val="6"/>
  </w:num>
  <w:num w:numId="34" w16cid:durableId="991374272">
    <w:abstractNumId w:val="5"/>
  </w:num>
  <w:num w:numId="35" w16cid:durableId="1100830646">
    <w:abstractNumId w:val="4"/>
  </w:num>
  <w:num w:numId="36" w16cid:durableId="1342930699">
    <w:abstractNumId w:val="8"/>
  </w:num>
  <w:num w:numId="37" w16cid:durableId="1083336799">
    <w:abstractNumId w:val="3"/>
  </w:num>
  <w:num w:numId="38" w16cid:durableId="1282884138">
    <w:abstractNumId w:val="2"/>
  </w:num>
  <w:num w:numId="39" w16cid:durableId="1870486920">
    <w:abstractNumId w:val="1"/>
  </w:num>
  <w:num w:numId="40" w16cid:durableId="40206050">
    <w:abstractNumId w:val="0"/>
  </w:num>
  <w:num w:numId="41" w16cid:durableId="36636443">
    <w:abstractNumId w:val="10"/>
  </w:num>
  <w:num w:numId="42" w16cid:durableId="944848495">
    <w:abstractNumId w:val="10"/>
  </w:num>
  <w:num w:numId="43" w16cid:durableId="1643735599">
    <w:abstractNumId w:val="10"/>
  </w:num>
  <w:num w:numId="44" w16cid:durableId="68984026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90/2026"/>
    <w:docVar w:name="dvlangue" w:val="HU"/>
    <w:docVar w:name="dvnumam" w:val="0"/>
    <w:docVar w:name="dvpe" w:val="785.295"/>
    <w:docVar w:name="dvtitre" w:val="Az Európai Parlament 2026.  ...-i állásfoglalása a digitális piacokról szóló rendelet végrehajtásáról(2026/2596(RSP))"/>
  </w:docVars>
  <w:rsids>
    <w:rsidRoot w:val="0087746B"/>
    <w:rsid w:val="00002272"/>
    <w:rsid w:val="00064002"/>
    <w:rsid w:val="000677B9"/>
    <w:rsid w:val="000831BA"/>
    <w:rsid w:val="000A42CC"/>
    <w:rsid w:val="000E7DD9"/>
    <w:rsid w:val="0010095E"/>
    <w:rsid w:val="00125B37"/>
    <w:rsid w:val="00187494"/>
    <w:rsid w:val="001F32AE"/>
    <w:rsid w:val="002767FF"/>
    <w:rsid w:val="002B18FE"/>
    <w:rsid w:val="002B5493"/>
    <w:rsid w:val="00300E40"/>
    <w:rsid w:val="00343214"/>
    <w:rsid w:val="00361C00"/>
    <w:rsid w:val="00395FA1"/>
    <w:rsid w:val="003E15D4"/>
    <w:rsid w:val="00411CCE"/>
    <w:rsid w:val="0041666E"/>
    <w:rsid w:val="00421060"/>
    <w:rsid w:val="00451264"/>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132F"/>
    <w:rsid w:val="006F74FA"/>
    <w:rsid w:val="00731ADD"/>
    <w:rsid w:val="00734777"/>
    <w:rsid w:val="00747932"/>
    <w:rsid w:val="00751A4A"/>
    <w:rsid w:val="00756632"/>
    <w:rsid w:val="00762C74"/>
    <w:rsid w:val="00786EC0"/>
    <w:rsid w:val="007D1690"/>
    <w:rsid w:val="007E22AD"/>
    <w:rsid w:val="00817416"/>
    <w:rsid w:val="00842779"/>
    <w:rsid w:val="00865F67"/>
    <w:rsid w:val="0087746B"/>
    <w:rsid w:val="00881A7B"/>
    <w:rsid w:val="008840E5"/>
    <w:rsid w:val="00887B3E"/>
    <w:rsid w:val="008C2AC6"/>
    <w:rsid w:val="00930C23"/>
    <w:rsid w:val="0093193B"/>
    <w:rsid w:val="00944AE6"/>
    <w:rsid w:val="009509D8"/>
    <w:rsid w:val="00950B64"/>
    <w:rsid w:val="00981893"/>
    <w:rsid w:val="00A1687D"/>
    <w:rsid w:val="00A35CE0"/>
    <w:rsid w:val="00A43E52"/>
    <w:rsid w:val="00A4678D"/>
    <w:rsid w:val="00A778C7"/>
    <w:rsid w:val="00AB441E"/>
    <w:rsid w:val="00AB6293"/>
    <w:rsid w:val="00AE0928"/>
    <w:rsid w:val="00AF3B82"/>
    <w:rsid w:val="00B12E95"/>
    <w:rsid w:val="00B153EA"/>
    <w:rsid w:val="00B22876"/>
    <w:rsid w:val="00B50BE9"/>
    <w:rsid w:val="00B558F0"/>
    <w:rsid w:val="00BA607B"/>
    <w:rsid w:val="00BD48FE"/>
    <w:rsid w:val="00BD7BD8"/>
    <w:rsid w:val="00BE6ADC"/>
    <w:rsid w:val="00C05BFE"/>
    <w:rsid w:val="00C17570"/>
    <w:rsid w:val="00C23CD4"/>
    <w:rsid w:val="00C61C0C"/>
    <w:rsid w:val="00C941CB"/>
    <w:rsid w:val="00CC2357"/>
    <w:rsid w:val="00CF071A"/>
    <w:rsid w:val="00D058B8"/>
    <w:rsid w:val="00D56C11"/>
    <w:rsid w:val="00D67BE0"/>
    <w:rsid w:val="00D834A0"/>
    <w:rsid w:val="00D872DF"/>
    <w:rsid w:val="00D91E21"/>
    <w:rsid w:val="00DA7FCD"/>
    <w:rsid w:val="00E365E1"/>
    <w:rsid w:val="00E820A4"/>
    <w:rsid w:val="00EB006A"/>
    <w:rsid w:val="00EB4772"/>
    <w:rsid w:val="00ED169E"/>
    <w:rsid w:val="00ED4235"/>
    <w:rsid w:val="00F04346"/>
    <w:rsid w:val="00F075DC"/>
    <w:rsid w:val="00F149E9"/>
    <w:rsid w:val="00F34738"/>
    <w:rsid w:val="00F5134D"/>
    <w:rsid w:val="00F74202"/>
    <w:rsid w:val="00F87713"/>
    <w:rsid w:val="00F92BA1"/>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846DB1"/>
  <w15:chartTrackingRefBased/>
  <w15:docId w15:val="{42859DAF-D410-480D-B279-892B7C13C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F132F"/>
    <w:pPr>
      <w:spacing w:before="480" w:after="240"/>
    </w:pPr>
  </w:style>
  <w:style w:type="paragraph" w:customStyle="1" w:styleId="NormalHanging12a">
    <w:name w:val="NormalHanging12a"/>
    <w:basedOn w:val="Normal"/>
    <w:rsid w:val="006F132F"/>
    <w:pPr>
      <w:spacing w:after="240"/>
      <w:ind w:left="567" w:hanging="567"/>
    </w:pPr>
  </w:style>
  <w:style w:type="character" w:styleId="Hyperlink">
    <w:name w:val="Hyperlink"/>
    <w:basedOn w:val="DefaultParagraphFont"/>
    <w:unhideWhenUsed/>
    <w:rsid w:val="006F132F"/>
    <w:rPr>
      <w:color w:val="0563C1" w:themeColor="hyperlink"/>
      <w:u w:val="single"/>
    </w:rPr>
  </w:style>
  <w:style w:type="paragraph" w:styleId="Revision">
    <w:name w:val="Revision"/>
    <w:hidden/>
    <w:uiPriority w:val="99"/>
    <w:semiHidden/>
    <w:rsid w:val="00F92BA1"/>
    <w:rPr>
      <w:sz w:val="24"/>
      <w:lang w:val="hu-HU"/>
    </w:rPr>
  </w:style>
  <w:style w:type="paragraph" w:customStyle="1" w:styleId="Normal6a">
    <w:name w:val="Normal6a"/>
    <w:basedOn w:val="Normal"/>
    <w:rsid w:val="00B50BE9"/>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4374/oj" TargetMode="External"/><Relationship Id="rId13" Type="http://schemas.openxmlformats.org/officeDocument/2006/relationships/hyperlink" Target="http://data.europa.eu/eli/reg/2024/1689/oj" TargetMode="External"/><Relationship Id="rId3" Type="http://schemas.openxmlformats.org/officeDocument/2006/relationships/hyperlink" Target="http://data.europa.eu/eli/C/2023/905/oj" TargetMode="External"/><Relationship Id="rId7" Type="http://schemas.openxmlformats.org/officeDocument/2006/relationships/hyperlink" Target="http://data.europa.eu/eli/C/2023/551/oj" TargetMode="External"/><Relationship Id="rId12" Type="http://schemas.openxmlformats.org/officeDocument/2006/relationships/hyperlink" Target="http://data.europa.eu/eli/reg/2023/2854/oj" TargetMode="External"/><Relationship Id="rId2" Type="http://schemas.openxmlformats.org/officeDocument/2006/relationships/hyperlink" Target="http://data.europa.eu/eli/C/2023/549/oj" TargetMode="External"/><Relationship Id="rId1" Type="http://schemas.openxmlformats.org/officeDocument/2006/relationships/hyperlink" Target="http://data.europa.eu/eli/reg/2022/1925/oj" TargetMode="External"/><Relationship Id="rId6" Type="http://schemas.openxmlformats.org/officeDocument/2006/relationships/hyperlink" Target="http://data.europa.eu/eli/C/2023/1092/oj" TargetMode="External"/><Relationship Id="rId11" Type="http://schemas.openxmlformats.org/officeDocument/2006/relationships/hyperlink" Target="http://data.europa.eu/eli/reg_impl/2023/814/oj" TargetMode="External"/><Relationship Id="rId5" Type="http://schemas.openxmlformats.org/officeDocument/2006/relationships/hyperlink" Target="http://data.europa.eu/eli/C/2023/552/oj" TargetMode="External"/><Relationship Id="rId15" Type="http://schemas.openxmlformats.org/officeDocument/2006/relationships/hyperlink" Target="http://data.europa.eu/eli/reg/2019/452/oj" TargetMode="External"/><Relationship Id="rId10" Type="http://schemas.openxmlformats.org/officeDocument/2006/relationships/hyperlink" Target="http://data.europa.eu/eli/C/2025/3466/oj" TargetMode="External"/><Relationship Id="rId4" Type="http://schemas.openxmlformats.org/officeDocument/2006/relationships/hyperlink" Target="http://data.europa.eu/eli/C/2025/4646/oj" TargetMode="External"/><Relationship Id="rId9" Type="http://schemas.openxmlformats.org/officeDocument/2006/relationships/hyperlink" Target="http://data.europa.eu/eli/C/2024/4360/oj" TargetMode="External"/><Relationship Id="rId14" Type="http://schemas.openxmlformats.org/officeDocument/2006/relationships/hyperlink" Target="http://data.europa.eu/eli/reg/2022/256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4143</Words>
  <Characters>30722</Characters>
  <Application>Microsoft Office Word</Application>
  <DocSecurity>0</DocSecurity>
  <Lines>445</Lines>
  <Paragraphs>149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KOVACS-BOKOR Karoly</cp:lastModifiedBy>
  <cp:revision>2</cp:revision>
  <cp:lastPrinted>2004-11-19T15:42:00Z</cp:lastPrinted>
  <dcterms:created xsi:type="dcterms:W3CDTF">2026-06-02T15:29:00Z</dcterms:created>
  <dcterms:modified xsi:type="dcterms:W3CDTF">2026-06-02T15:29:00Z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B10-0190/2026</vt:lpwstr>
  </property>
  <property fmtid="{D5CDD505-2E9C-101B-9397-08002B2CF9AE}" pid="4" name="&lt;Type&gt;">
    <vt:lpwstr>RR</vt:lpwstr>
  </property>
</Properties>
</file>