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7677" w14:paraId="3C62C0D5" w14:textId="77777777" w:rsidTr="0010095E">
        <w:trPr>
          <w:trHeight w:hRule="exact" w:val="1418"/>
        </w:trPr>
        <w:tc>
          <w:tcPr>
            <w:tcW w:w="6804" w:type="dxa"/>
            <w:shd w:val="clear" w:color="auto" w:fill="auto"/>
            <w:vAlign w:val="center"/>
          </w:tcPr>
          <w:p w14:paraId="2E835212" w14:textId="7D89E1CB" w:rsidR="00751A4A" w:rsidRPr="001F7677" w:rsidRDefault="00FC3B19" w:rsidP="0010095E">
            <w:pPr>
              <w:pStyle w:val="EPName"/>
            </w:pPr>
            <w:r w:rsidRPr="001F7677">
              <w:t>Eiropas Parlaments</w:t>
            </w:r>
          </w:p>
          <w:p w14:paraId="7EF04152" w14:textId="77777777" w:rsidR="00751A4A" w:rsidRPr="001F7677" w:rsidRDefault="005F1B17" w:rsidP="005F1B17">
            <w:pPr>
              <w:pStyle w:val="EPTerm"/>
              <w:rPr>
                <w:rStyle w:val="HideTWBExt"/>
                <w:noProof w:val="0"/>
                <w:vanish w:val="0"/>
                <w:color w:val="auto"/>
              </w:rPr>
            </w:pPr>
            <w:r w:rsidRPr="001F7677">
              <w:t>2024</w:t>
            </w:r>
            <w:r w:rsidR="00817416" w:rsidRPr="001F7677">
              <w:t>-202</w:t>
            </w:r>
            <w:r w:rsidRPr="001F7677">
              <w:t>9</w:t>
            </w:r>
          </w:p>
        </w:tc>
        <w:tc>
          <w:tcPr>
            <w:tcW w:w="2268" w:type="dxa"/>
            <w:shd w:val="clear" w:color="auto" w:fill="auto"/>
          </w:tcPr>
          <w:p w14:paraId="6206DD40" w14:textId="77777777" w:rsidR="00751A4A" w:rsidRPr="001F7677" w:rsidRDefault="00187494" w:rsidP="0010095E">
            <w:pPr>
              <w:pStyle w:val="EPLogo"/>
            </w:pPr>
            <w:r w:rsidRPr="001F7677">
              <w:rPr>
                <w:noProof/>
                <w:lang w:eastAsia="ja-JP"/>
              </w:rPr>
              <w:drawing>
                <wp:inline distT="0" distB="0" distL="0" distR="0" wp14:anchorId="2FF2FB29" wp14:editId="179A17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8C8A64" w14:textId="77777777" w:rsidR="00D058B8" w:rsidRPr="001F7677" w:rsidRDefault="00D058B8" w:rsidP="004C5D52">
      <w:pPr>
        <w:pStyle w:val="LineTop"/>
      </w:pPr>
    </w:p>
    <w:p w14:paraId="31A5DE18" w14:textId="2817F9F0" w:rsidR="00680577" w:rsidRPr="001F7677" w:rsidRDefault="00FC3B19" w:rsidP="00680577">
      <w:pPr>
        <w:pStyle w:val="EPBodyTA1"/>
      </w:pPr>
      <w:r w:rsidRPr="001F7677">
        <w:t>PIEŅEMTIE TEKSTI</w:t>
      </w:r>
    </w:p>
    <w:p w14:paraId="4346084C" w14:textId="77777777" w:rsidR="00D058B8" w:rsidRPr="001F7677" w:rsidRDefault="00D058B8" w:rsidP="00D058B8">
      <w:pPr>
        <w:pStyle w:val="LineBottom"/>
      </w:pPr>
    </w:p>
    <w:p w14:paraId="77457111" w14:textId="45B5B0F4" w:rsidR="00FC3B19" w:rsidRPr="001F7677" w:rsidRDefault="00FC3B19" w:rsidP="00FC3B19">
      <w:pPr>
        <w:pStyle w:val="ATHeading1"/>
      </w:pPr>
      <w:bookmarkStart w:id="0" w:name="TANumber"/>
      <w:r w:rsidRPr="001F7677">
        <w:t>P10_TA(2026)0</w:t>
      </w:r>
      <w:r w:rsidR="00F7708E" w:rsidRPr="001F7677">
        <w:t>160</w:t>
      </w:r>
      <w:bookmarkEnd w:id="0"/>
    </w:p>
    <w:p w14:paraId="3BBCD65E" w14:textId="6F85825D" w:rsidR="00FC3B19" w:rsidRPr="001F7677" w:rsidRDefault="008867B0" w:rsidP="00FC3B19">
      <w:pPr>
        <w:pStyle w:val="ATHeading2"/>
      </w:pPr>
      <w:bookmarkStart w:id="1" w:name="title"/>
      <w:r w:rsidRPr="001F7677">
        <w:rPr>
          <w:bCs/>
        </w:rPr>
        <w:t>Digit</w:t>
      </w:r>
      <w:r w:rsidRPr="001F7677">
        <w:rPr>
          <w:rFonts w:hint="eastAsia"/>
          <w:bCs/>
        </w:rPr>
        <w:t>ā</w:t>
      </w:r>
      <w:r w:rsidRPr="001F7677">
        <w:rPr>
          <w:bCs/>
        </w:rPr>
        <w:t>lo tirgu akta izpildes nodro</w:t>
      </w:r>
      <w:r w:rsidRPr="001F7677">
        <w:rPr>
          <w:rFonts w:hint="eastAsia"/>
          <w:bCs/>
        </w:rPr>
        <w:t>š</w:t>
      </w:r>
      <w:r w:rsidRPr="001F7677">
        <w:rPr>
          <w:bCs/>
        </w:rPr>
        <w:t>in</w:t>
      </w:r>
      <w:r w:rsidRPr="001F7677">
        <w:rPr>
          <w:rFonts w:hint="eastAsia"/>
          <w:bCs/>
        </w:rPr>
        <w:t>āš</w:t>
      </w:r>
      <w:r w:rsidRPr="001F7677">
        <w:rPr>
          <w:bCs/>
        </w:rPr>
        <w:t>ana</w:t>
      </w:r>
      <w:bookmarkEnd w:id="1"/>
    </w:p>
    <w:p w14:paraId="79BB613A" w14:textId="77777777" w:rsidR="00FC3B19" w:rsidRPr="001F7677" w:rsidRDefault="00FC3B19" w:rsidP="00FC3B19">
      <w:pPr>
        <w:rPr>
          <w:i/>
          <w:vanish/>
        </w:rPr>
      </w:pPr>
      <w:r w:rsidRPr="001F7677">
        <w:rPr>
          <w:i/>
        </w:rPr>
        <w:fldChar w:fldCharType="begin"/>
      </w:r>
      <w:r w:rsidRPr="001F7677">
        <w:rPr>
          <w:i/>
        </w:rPr>
        <w:instrText xml:space="preserve"> TC"(</w:instrText>
      </w:r>
      <w:bookmarkStart w:id="2" w:name="DocNumber"/>
      <w:r w:rsidRPr="001F7677">
        <w:rPr>
          <w:i/>
        </w:rPr>
        <w:instrText>B10-0190/2026</w:instrText>
      </w:r>
      <w:bookmarkEnd w:id="2"/>
      <w:r w:rsidRPr="001F7677">
        <w:rPr>
          <w:i/>
        </w:rPr>
        <w:instrText xml:space="preserve">)"\l3 \n&gt; \* MERGEFORMAT </w:instrText>
      </w:r>
      <w:r w:rsidRPr="001F7677">
        <w:rPr>
          <w:i/>
        </w:rPr>
        <w:fldChar w:fldCharType="end"/>
      </w:r>
    </w:p>
    <w:p w14:paraId="4F8A728D" w14:textId="77777777" w:rsidR="00FC3B19" w:rsidRPr="001F7677" w:rsidRDefault="00FC3B19" w:rsidP="00FC3B19">
      <w:pPr>
        <w:rPr>
          <w:vanish/>
        </w:rPr>
      </w:pPr>
      <w:bookmarkStart w:id="3" w:name="PE"/>
      <w:r w:rsidRPr="001F7677">
        <w:rPr>
          <w:vanish/>
        </w:rPr>
        <w:t>PE785.295</w:t>
      </w:r>
      <w:bookmarkEnd w:id="3"/>
    </w:p>
    <w:p w14:paraId="4F4D8192" w14:textId="1A5116B9" w:rsidR="00FC3B19" w:rsidRPr="001F7677" w:rsidRDefault="00FC3B19" w:rsidP="00FC3B19">
      <w:pPr>
        <w:pStyle w:val="ATHeading3"/>
      </w:pPr>
      <w:bookmarkStart w:id="4" w:name="Sujet"/>
      <w:r w:rsidRPr="001F7677">
        <w:t xml:space="preserve">Eiropas Parlamenta 2026. gada </w:t>
      </w:r>
      <w:r w:rsidR="008867B0" w:rsidRPr="001F7677">
        <w:t>30. aprīļa</w:t>
      </w:r>
      <w:r w:rsidRPr="001F7677">
        <w:t xml:space="preserve"> rezolūcija par Digitālo tirgu akta izpildes nodrošināšanu</w:t>
      </w:r>
      <w:bookmarkEnd w:id="4"/>
      <w:r w:rsidRPr="001F7677">
        <w:t xml:space="preserve"> </w:t>
      </w:r>
      <w:bookmarkStart w:id="5" w:name="References"/>
      <w:r w:rsidRPr="001F7677">
        <w:t>(2026/2596(RSP))</w:t>
      </w:r>
      <w:bookmarkEnd w:id="5"/>
    </w:p>
    <w:p w14:paraId="30060F0E" w14:textId="77777777" w:rsidR="00513AF8" w:rsidRPr="001F7677" w:rsidRDefault="00513AF8" w:rsidP="00513AF8">
      <w:pPr>
        <w:pStyle w:val="EPComma"/>
      </w:pPr>
      <w:bookmarkStart w:id="6" w:name="TextBodyBegin"/>
      <w:bookmarkEnd w:id="6"/>
      <w:r w:rsidRPr="001F7677">
        <w:rPr>
          <w:i/>
        </w:rPr>
        <w:t>Eiropas Parlaments</w:t>
      </w:r>
      <w:r w:rsidRPr="001F7677">
        <w:t>,</w:t>
      </w:r>
    </w:p>
    <w:p w14:paraId="737C49E6" w14:textId="77777777" w:rsidR="00513AF8" w:rsidRPr="001F7677" w:rsidRDefault="00513AF8" w:rsidP="00513AF8">
      <w:pPr>
        <w:pStyle w:val="NormalHanging12a"/>
      </w:pPr>
      <w:r w:rsidRPr="001F7677">
        <w:t>–</w:t>
      </w:r>
      <w:r w:rsidRPr="001F7677">
        <w:tab/>
        <w:t xml:space="preserve">ņemot vērā Eiropas Parlamenta un Padomes Regulu (ES) 2022/1925 (2022. gada 14. septembris) par </w:t>
      </w:r>
      <w:proofErr w:type="spellStart"/>
      <w:r w:rsidRPr="001F7677">
        <w:t>sāncensīgiem</w:t>
      </w:r>
      <w:proofErr w:type="spellEnd"/>
      <w:r w:rsidRPr="001F7677">
        <w:t xml:space="preserve"> un godīgiem tirgiem digitālajā nozarē un ar ko groza Direktīvas (ES) 2019/1937 un (ES) 2020/1828 (Digitālo tirgu akts)</w:t>
      </w:r>
      <w:r w:rsidRPr="001F7677">
        <w:rPr>
          <w:rStyle w:val="FootnoteReference"/>
        </w:rPr>
        <w:footnoteReference w:id="1"/>
      </w:r>
      <w:r w:rsidRPr="001F7677">
        <w:t>, jo īpaši tās 53. pantu,</w:t>
      </w:r>
    </w:p>
    <w:p w14:paraId="022BF724" w14:textId="205A763C" w:rsidR="00513AF8" w:rsidRPr="001F7677" w:rsidRDefault="00513AF8" w:rsidP="00513AF8">
      <w:pPr>
        <w:pStyle w:val="NormalHanging12a"/>
      </w:pPr>
      <w:r w:rsidRPr="001F7677">
        <w:t>–</w:t>
      </w:r>
      <w:r w:rsidRPr="001F7677">
        <w:tab/>
        <w:t>ņemot vērā jautājumu Komisijai par Digitālā tirgu akta izpildes nodrošināšanu (</w:t>
      </w:r>
      <w:r w:rsidR="008867B0" w:rsidRPr="001F7677">
        <w:t>O-000016/2026 – B10</w:t>
      </w:r>
      <w:r w:rsidR="008867B0" w:rsidRPr="001F7677">
        <w:noBreakHyphen/>
        <w:t>0010/2026</w:t>
      </w:r>
      <w:r w:rsidRPr="001F7677">
        <w:t>),</w:t>
      </w:r>
    </w:p>
    <w:p w14:paraId="6BB4D9D8" w14:textId="77777777" w:rsidR="00513AF8" w:rsidRPr="001F7677" w:rsidRDefault="00513AF8" w:rsidP="00513AF8">
      <w:pPr>
        <w:pStyle w:val="NormalHanging12a"/>
        <w:rPr>
          <w:rFonts w:eastAsia="Aptos"/>
          <w:kern w:val="2"/>
          <w:szCs w:val="24"/>
          <w14:ligatures w14:val="standardContextual"/>
        </w:rPr>
      </w:pPr>
      <w:r w:rsidRPr="001F7677">
        <w:t>–</w:t>
      </w:r>
      <w:r w:rsidRPr="001F7677">
        <w:tab/>
        <w:t xml:space="preserve">ņemot vērā Komisijas 2023. gada 6. septembra lēmumus, kas pieņemti saskaņā ar Regulas (ES) 2022/1925 3. pantu un ar kuriem </w:t>
      </w:r>
      <w:proofErr w:type="spellStart"/>
      <w:r w:rsidRPr="001F7677">
        <w:rPr>
          <w:i/>
          <w:iCs/>
        </w:rPr>
        <w:t>Alphabet</w:t>
      </w:r>
      <w:proofErr w:type="spellEnd"/>
      <w:r w:rsidRPr="001F7677">
        <w:rPr>
          <w:rFonts w:eastAsia="MS Mincho"/>
          <w:vertAlign w:val="superscript"/>
          <w:lang w:eastAsia="en-US"/>
        </w:rPr>
        <w:footnoteReference w:id="2"/>
      </w:r>
      <w:r w:rsidRPr="001F7677">
        <w:t xml:space="preserve">, </w:t>
      </w:r>
      <w:proofErr w:type="spellStart"/>
      <w:r w:rsidRPr="001F7677">
        <w:rPr>
          <w:i/>
          <w:iCs/>
        </w:rPr>
        <w:t>Amazon</w:t>
      </w:r>
      <w:proofErr w:type="spellEnd"/>
      <w:r w:rsidRPr="001F7677">
        <w:rPr>
          <w:rFonts w:eastAsia="MS Mincho"/>
          <w:vertAlign w:val="superscript"/>
          <w:lang w:eastAsia="en-US"/>
        </w:rPr>
        <w:footnoteReference w:id="3"/>
      </w:r>
      <w:r w:rsidRPr="001F7677">
        <w:t xml:space="preserve">, </w:t>
      </w:r>
      <w:proofErr w:type="spellStart"/>
      <w:r w:rsidRPr="001F7677">
        <w:rPr>
          <w:i/>
          <w:iCs/>
        </w:rPr>
        <w:t>Apple</w:t>
      </w:r>
      <w:proofErr w:type="spellEnd"/>
      <w:r w:rsidRPr="001F7677">
        <w:rPr>
          <w:rFonts w:eastAsia="MS Mincho"/>
          <w:vertAlign w:val="superscript"/>
          <w:lang w:eastAsia="en-US"/>
        </w:rPr>
        <w:footnoteReference w:id="4"/>
      </w:r>
      <w:r w:rsidRPr="001F7677">
        <w:t xml:space="preserve">, </w:t>
      </w:r>
      <w:proofErr w:type="spellStart"/>
      <w:r w:rsidRPr="001F7677">
        <w:rPr>
          <w:i/>
          <w:iCs/>
        </w:rPr>
        <w:t>ByteDance</w:t>
      </w:r>
      <w:proofErr w:type="spellEnd"/>
      <w:r w:rsidRPr="001F7677">
        <w:rPr>
          <w:rFonts w:eastAsia="MS Mincho"/>
          <w:vertAlign w:val="superscript"/>
          <w:lang w:eastAsia="en-US"/>
        </w:rPr>
        <w:footnoteReference w:id="5"/>
      </w:r>
      <w:r w:rsidRPr="001F7677">
        <w:t xml:space="preserve">, </w:t>
      </w:r>
      <w:r w:rsidRPr="001F7677">
        <w:rPr>
          <w:i/>
          <w:iCs/>
        </w:rPr>
        <w:t>Meta</w:t>
      </w:r>
      <w:r w:rsidRPr="001F7677">
        <w:rPr>
          <w:rFonts w:eastAsia="MS Mincho"/>
          <w:vertAlign w:val="superscript"/>
          <w:lang w:eastAsia="en-US"/>
        </w:rPr>
        <w:footnoteReference w:id="6"/>
      </w:r>
      <w:r w:rsidRPr="001F7677">
        <w:t xml:space="preserve"> un </w:t>
      </w:r>
      <w:r w:rsidRPr="001F7677">
        <w:rPr>
          <w:i/>
          <w:iCs/>
        </w:rPr>
        <w:t>Microsoft</w:t>
      </w:r>
      <w:r w:rsidRPr="001F7677">
        <w:rPr>
          <w:rFonts w:eastAsia="MS Mincho"/>
          <w:vertAlign w:val="superscript"/>
          <w:lang w:eastAsia="en-US"/>
        </w:rPr>
        <w:footnoteReference w:id="7"/>
      </w:r>
      <w:r w:rsidRPr="001F7677">
        <w:t xml:space="preserve"> tiek noteikti par vārtziņiem attiecībā uz vairākiem platformas pamatpakalpojumiem,</w:t>
      </w:r>
    </w:p>
    <w:p w14:paraId="14163566" w14:textId="77777777" w:rsidR="00513AF8" w:rsidRPr="001F7677" w:rsidRDefault="00513AF8" w:rsidP="00513AF8">
      <w:pPr>
        <w:pStyle w:val="NormalHanging12a"/>
        <w:rPr>
          <w:rFonts w:eastAsia="Aptos"/>
          <w:kern w:val="2"/>
          <w:szCs w:val="24"/>
          <w14:ligatures w14:val="standardContextual"/>
        </w:rPr>
      </w:pPr>
      <w:r w:rsidRPr="001F7677">
        <w:t>–</w:t>
      </w:r>
      <w:r w:rsidRPr="001F7677">
        <w:tab/>
        <w:t>ņemot vērā Komisijas 2024. gada 29. aprīļa lēmumu</w:t>
      </w:r>
      <w:r w:rsidRPr="001F7677">
        <w:rPr>
          <w:rFonts w:eastAsia="MS Mincho"/>
          <w:szCs w:val="24"/>
          <w:vertAlign w:val="superscript"/>
          <w:lang w:eastAsia="en-US"/>
        </w:rPr>
        <w:footnoteReference w:id="8"/>
      </w:r>
      <w:r w:rsidRPr="001F7677">
        <w:t xml:space="preserve">, kas pieņemts saskaņā ar Regulas (ES) 2022/1925 3. pantu un ar ko </w:t>
      </w:r>
      <w:proofErr w:type="spellStart"/>
      <w:r w:rsidRPr="001F7677">
        <w:rPr>
          <w:i/>
          <w:iCs/>
        </w:rPr>
        <w:t>Apple</w:t>
      </w:r>
      <w:proofErr w:type="spellEnd"/>
      <w:r w:rsidRPr="001F7677">
        <w:rPr>
          <w:i/>
          <w:iCs/>
        </w:rPr>
        <w:t xml:space="preserve"> </w:t>
      </w:r>
      <w:proofErr w:type="spellStart"/>
      <w:r w:rsidRPr="001F7677">
        <w:rPr>
          <w:i/>
          <w:iCs/>
        </w:rPr>
        <w:t>iPadOS</w:t>
      </w:r>
      <w:proofErr w:type="spellEnd"/>
      <w:r w:rsidRPr="001F7677">
        <w:t xml:space="preserve"> operētājsistēma tiek noteikta par galveno platformas pakalpojumu,</w:t>
      </w:r>
    </w:p>
    <w:p w14:paraId="330B5343" w14:textId="77777777" w:rsidR="00513AF8" w:rsidRPr="001F7677" w:rsidRDefault="00513AF8" w:rsidP="00513AF8">
      <w:pPr>
        <w:pStyle w:val="NormalHanging12a"/>
        <w:rPr>
          <w:rFonts w:eastAsia="Aptos"/>
          <w:kern w:val="2"/>
          <w:szCs w:val="24"/>
          <w14:ligatures w14:val="standardContextual"/>
        </w:rPr>
      </w:pPr>
      <w:r w:rsidRPr="001F7677">
        <w:t>–</w:t>
      </w:r>
      <w:r w:rsidRPr="001F7677">
        <w:tab/>
        <w:t>ņemot vērā Komisijas 2024. gada 13. maija lēmumu</w:t>
      </w:r>
      <w:r w:rsidRPr="001F7677">
        <w:rPr>
          <w:rFonts w:eastAsia="MS Mincho"/>
          <w:szCs w:val="24"/>
          <w:vertAlign w:val="superscript"/>
          <w:lang w:eastAsia="en-US"/>
        </w:rPr>
        <w:footnoteReference w:id="9"/>
      </w:r>
      <w:r w:rsidRPr="001F7677">
        <w:t xml:space="preserve">, kas pieņemts saskaņā ar Regulas (ES) 2022/1925 3. pantu un ar ko </w:t>
      </w:r>
      <w:r w:rsidRPr="001F7677">
        <w:rPr>
          <w:i/>
          <w:iCs/>
        </w:rPr>
        <w:t>Booking.com</w:t>
      </w:r>
      <w:r w:rsidRPr="001F7677">
        <w:t xml:space="preserve"> tiek noteikts par vārtzini attiecībā uz tā tiešsaistes starpniecības pakalpojumiem,</w:t>
      </w:r>
    </w:p>
    <w:p w14:paraId="5485F693" w14:textId="77777777" w:rsidR="00513AF8" w:rsidRPr="001F7677" w:rsidRDefault="00513AF8" w:rsidP="00513AF8">
      <w:pPr>
        <w:pStyle w:val="NormalHanging12a"/>
        <w:rPr>
          <w:rFonts w:eastAsia="Aptos"/>
          <w:kern w:val="2"/>
          <w:szCs w:val="24"/>
          <w14:ligatures w14:val="standardContextual"/>
        </w:rPr>
      </w:pPr>
      <w:r w:rsidRPr="001F7677">
        <w:lastRenderedPageBreak/>
        <w:t>–</w:t>
      </w:r>
      <w:r w:rsidRPr="001F7677">
        <w:tab/>
        <w:t>ņemot vērā Komisijas 2025. gada 23. aprīļa lēmumu</w:t>
      </w:r>
      <w:r w:rsidRPr="001F7677">
        <w:rPr>
          <w:rFonts w:eastAsia="MS Mincho"/>
          <w:szCs w:val="24"/>
          <w:vertAlign w:val="superscript"/>
          <w:lang w:eastAsia="en-US"/>
        </w:rPr>
        <w:footnoteReference w:id="10"/>
      </w:r>
      <w:r w:rsidRPr="001F7677">
        <w:t xml:space="preserve">, kas pieņemts saskaņā ar Regulas (ES) 2022/1925 29. panta 1. punkta a) apakšpunktu, 30. panta 1. punkta a) apakšpunktu un 31. panta 1. punkta h) apakšpunktu un ar ko atceļ </w:t>
      </w:r>
      <w:r w:rsidRPr="001F7677">
        <w:rPr>
          <w:i/>
          <w:iCs/>
        </w:rPr>
        <w:t xml:space="preserve">Meta </w:t>
      </w:r>
      <w:proofErr w:type="spellStart"/>
      <w:r w:rsidRPr="001F7677">
        <w:rPr>
          <w:i/>
          <w:iCs/>
        </w:rPr>
        <w:t>Facebook</w:t>
      </w:r>
      <w:proofErr w:type="spellEnd"/>
      <w:r w:rsidRPr="001F7677">
        <w:rPr>
          <w:i/>
          <w:iCs/>
        </w:rPr>
        <w:t xml:space="preserve"> Marketplace</w:t>
      </w:r>
      <w:r w:rsidRPr="001F7677">
        <w:t xml:space="preserve"> kā platformas pamatpakalpojuma statusu,</w:t>
      </w:r>
    </w:p>
    <w:p w14:paraId="71028A0E" w14:textId="30FCC4F2" w:rsidR="00513AF8" w:rsidRPr="001F7677" w:rsidRDefault="00513AF8" w:rsidP="0073330F">
      <w:pPr>
        <w:pStyle w:val="NormalHanging12a"/>
        <w:rPr>
          <w:rFonts w:eastAsia="Aptos"/>
          <w:kern w:val="2"/>
          <w:szCs w:val="24"/>
          <w14:ligatures w14:val="standardContextual"/>
        </w:rPr>
      </w:pPr>
      <w:r w:rsidRPr="001F7677">
        <w:t>–</w:t>
      </w:r>
      <w:r w:rsidRPr="001F7677">
        <w:tab/>
        <w:t>ņemot vērā Komisijas 2023. gada 14. aprīļa Īstenošanas regulu (ES) 2023/814 par sīki izstrādātu kārtību, kādā Komisija veic noteiktas procedūras saskaņā ar Eiropas Parlamenta un Padomes Regulu (ES) 2022/1925</w:t>
      </w:r>
      <w:r w:rsidRPr="001F7677">
        <w:rPr>
          <w:rFonts w:eastAsia="MS Mincho"/>
          <w:szCs w:val="24"/>
          <w:vertAlign w:val="superscript"/>
          <w:lang w:eastAsia="en-US"/>
        </w:rPr>
        <w:footnoteReference w:id="11"/>
      </w:r>
      <w:r w:rsidRPr="001F7677">
        <w:t>,</w:t>
      </w:r>
    </w:p>
    <w:p w14:paraId="09773BBE" w14:textId="77777777" w:rsidR="00513AF8" w:rsidRPr="001F7677" w:rsidRDefault="00513AF8" w:rsidP="00513AF8">
      <w:pPr>
        <w:pStyle w:val="NormalHanging12a"/>
      </w:pPr>
      <w:r w:rsidRPr="001F7677">
        <w:t>–</w:t>
      </w:r>
      <w:r w:rsidRPr="001F7677">
        <w:tab/>
        <w:t>ņemot vērā Reglamenta 142. panta 5. punktu un 136. panta 2. punktu,</w:t>
      </w:r>
    </w:p>
    <w:p w14:paraId="3E3B96DB" w14:textId="77777777" w:rsidR="00513AF8" w:rsidRPr="001F7677" w:rsidRDefault="00513AF8" w:rsidP="00513AF8">
      <w:pPr>
        <w:pStyle w:val="NormalHanging12a"/>
      </w:pPr>
      <w:r w:rsidRPr="001F7677">
        <w:t>A.</w:t>
      </w:r>
      <w:r w:rsidRPr="001F7677">
        <w:tab/>
        <w:t xml:space="preserve">tā kā ar Digitālo tirgu aktu (DTA) tiek izveidots saskaņots </w:t>
      </w:r>
      <w:proofErr w:type="spellStart"/>
      <w:r w:rsidRPr="001F7677">
        <w:rPr>
          <w:i/>
          <w:iCs/>
        </w:rPr>
        <w:t>ex</w:t>
      </w:r>
      <w:proofErr w:type="spellEnd"/>
      <w:r w:rsidRPr="001F7677">
        <w:rPr>
          <w:i/>
          <w:iCs/>
        </w:rPr>
        <w:t> </w:t>
      </w:r>
      <w:proofErr w:type="spellStart"/>
      <w:r w:rsidRPr="001F7677">
        <w:rPr>
          <w:i/>
          <w:iCs/>
        </w:rPr>
        <w:t>ante</w:t>
      </w:r>
      <w:proofErr w:type="spellEnd"/>
      <w:r w:rsidRPr="001F7677">
        <w:t xml:space="preserve"> tiesiskais regulējums, lai nodrošinātu godīgus, atvērtus un </w:t>
      </w:r>
      <w:proofErr w:type="spellStart"/>
      <w:r w:rsidRPr="001F7677">
        <w:t>sāncensīgus</w:t>
      </w:r>
      <w:proofErr w:type="spellEnd"/>
      <w:r w:rsidRPr="001F7677">
        <w:t xml:space="preserve"> digitālos tirgus visā ES, novērstu negodīgu vārtziņu praksi, aizsargātu vienotā tirgus integritāti un pienācīgu darbību, nodrošinātu pienākumu efektīvu un nediskriminējošu piemērošanu visiem noteiktajiem vārtziņiem, novērstu šķēršļus ienākšanai tirgū un veicinātu pārrobežu digitālos pakalpojumus, inovāciju, patērētāju izvēli un godīgu konkurenci visā ES;</w:t>
      </w:r>
    </w:p>
    <w:p w14:paraId="0F171731" w14:textId="77777777" w:rsidR="00513AF8" w:rsidRPr="001F7677" w:rsidRDefault="00513AF8" w:rsidP="00513AF8">
      <w:pPr>
        <w:pStyle w:val="NormalHanging12a"/>
      </w:pPr>
      <w:r w:rsidRPr="001F7677">
        <w:t>B.</w:t>
      </w:r>
      <w:r w:rsidRPr="001F7677">
        <w:tab/>
        <w:t>tā kā DA mērķis ir sniegt reālus ieguvumus digitālajiem tirgiem, nodrošinot, ka komerciālie lietotāji un galalietotāji var efektīvi izmantot savas tiesības saskaņā ar regulu un ka vārtziņu prakse vairs nerada strukturālus šķēršļus ienākšanai tirgū vai spējai augt vai ieviest inovācijas vienotajā tirgū un novērš patērētāju piesaisti, kas attur patērētājus no pārejas uz citu pakalpojumu;</w:t>
      </w:r>
    </w:p>
    <w:p w14:paraId="03E17F28" w14:textId="77777777" w:rsidR="00513AF8" w:rsidRPr="001F7677" w:rsidRDefault="00513AF8" w:rsidP="00513AF8">
      <w:pPr>
        <w:pStyle w:val="NormalHanging12a"/>
      </w:pPr>
      <w:r w:rsidRPr="001F7677">
        <w:t>C.</w:t>
      </w:r>
      <w:r w:rsidRPr="001F7677">
        <w:tab/>
        <w:t>tā kā Parlaments veic DTA īstenošanas un izpildes demokrātisku kontroli, jo īpaši ar Iekšējā tirgus un patērētāju aizsardzības komitejas (</w:t>
      </w:r>
      <w:r w:rsidRPr="001F7677">
        <w:rPr>
          <w:iCs/>
        </w:rPr>
        <w:t>IMCO</w:t>
      </w:r>
      <w:r w:rsidRPr="001F7677">
        <w:t>) starpniecību;</w:t>
      </w:r>
    </w:p>
    <w:p w14:paraId="7CD7D886" w14:textId="77777777" w:rsidR="00513AF8" w:rsidRPr="001F7677" w:rsidRDefault="00513AF8" w:rsidP="00513AF8">
      <w:pPr>
        <w:pStyle w:val="NormalHanging12a"/>
      </w:pPr>
      <w:r w:rsidRPr="001F7677">
        <w:t>D.</w:t>
      </w:r>
      <w:r w:rsidRPr="001F7677">
        <w:tab/>
        <w:t xml:space="preserve">tā kā DTA agrīna īstenošana apstiprina, ka tas ir svarīgs instruments tirgus </w:t>
      </w:r>
      <w:proofErr w:type="spellStart"/>
      <w:r w:rsidRPr="001F7677">
        <w:t>atvērtības</w:t>
      </w:r>
      <w:proofErr w:type="spellEnd"/>
      <w:r w:rsidRPr="001F7677">
        <w:t xml:space="preserve"> un taisnīguma, konkurences un lietotāju izvēles uzlabošanai ES, un uzsver, ka visiem uzņēmumiem, kas darbojas ES, neatkarīgi no to lieluma vai izcelsmes ir pilnībā jāievēro ES tiesību akti;</w:t>
      </w:r>
    </w:p>
    <w:p w14:paraId="7F9A9951" w14:textId="77777777" w:rsidR="00513AF8" w:rsidRPr="001F7677" w:rsidRDefault="00513AF8" w:rsidP="00513AF8">
      <w:pPr>
        <w:pStyle w:val="NormalHanging12a"/>
      </w:pPr>
      <w:r w:rsidRPr="001F7677">
        <w:t>E.</w:t>
      </w:r>
      <w:r w:rsidRPr="001F7677">
        <w:tab/>
        <w:t xml:space="preserve">tā kā DTA īstenošana joprojām ir agrīnā posmā un ir saistīta ar problēmām attiecībā uz savlaicīgu un efektīvu izpildi, uzraudzības spēju un konkrētu atbilstības risinājumu praktisko efektivitāti, jo īpaši ņemot vērā pamatā esošo tehnoloģiju sarežģītību, lietotāju </w:t>
      </w:r>
      <w:proofErr w:type="spellStart"/>
      <w:r w:rsidRPr="001F7677">
        <w:t>saskarņu</w:t>
      </w:r>
      <w:proofErr w:type="spellEnd"/>
      <w:r w:rsidRPr="001F7677">
        <w:t xml:space="preserve"> dizainu un izvēles arhitektūru;</w:t>
      </w:r>
    </w:p>
    <w:p w14:paraId="68F8B661" w14:textId="77777777" w:rsidR="00513AF8" w:rsidRPr="001F7677" w:rsidRDefault="00513AF8" w:rsidP="00513AF8">
      <w:pPr>
        <w:pStyle w:val="NormalHanging12a"/>
      </w:pPr>
      <w:r w:rsidRPr="001F7677">
        <w:t>F.</w:t>
      </w:r>
      <w:r w:rsidRPr="001F7677">
        <w:tab/>
        <w:t xml:space="preserve">tā kā mazāki uzņēmumi, tostarp </w:t>
      </w:r>
      <w:proofErr w:type="spellStart"/>
      <w:r w:rsidRPr="001F7677">
        <w:t>jaunuzņēmumi</w:t>
      </w:r>
      <w:proofErr w:type="spellEnd"/>
      <w:r w:rsidRPr="001F7677">
        <w:t xml:space="preserve"> un inovatīvi augoši uzņēmumi, digitālajos tirgos joprojām saskaras ar ierobežojumiem un negodīgiem šķēršļiem, tostarp diskriminējošu praksi un vārtziņu noteiktiem ierobežojumiem, kas var kavēt inovāciju, ierobežot konkurenci un samazināt izaugsmes iespējas, un galu galā samazināt patērētāju izvēli;</w:t>
      </w:r>
    </w:p>
    <w:p w14:paraId="28798E1E" w14:textId="77777777" w:rsidR="00513AF8" w:rsidRPr="001F7677" w:rsidRDefault="00513AF8" w:rsidP="00513AF8">
      <w:pPr>
        <w:pStyle w:val="NormalHanging12a"/>
      </w:pPr>
      <w:r w:rsidRPr="001F7677">
        <w:t>G.</w:t>
      </w:r>
      <w:r w:rsidRPr="001F7677">
        <w:tab/>
        <w:t xml:space="preserve">tā kā informācijas asimetrija starp vārtziņiem un regulatoriem, kā arī ierobežota </w:t>
      </w:r>
      <w:proofErr w:type="spellStart"/>
      <w:r w:rsidRPr="001F7677">
        <w:t>pārredzamība</w:t>
      </w:r>
      <w:proofErr w:type="spellEnd"/>
      <w:r w:rsidRPr="001F7677">
        <w:t xml:space="preserve"> attiecībā uz atbilstības pasākumiem var apdraudēt efektīvu uzraudzību, </w:t>
      </w:r>
      <w:proofErr w:type="spellStart"/>
      <w:r w:rsidRPr="001F7677">
        <w:t>pārskatatbildību</w:t>
      </w:r>
      <w:proofErr w:type="spellEnd"/>
      <w:r w:rsidRPr="001F7677">
        <w:t xml:space="preserve"> un uzticēšanos DTA izpildei;</w:t>
      </w:r>
    </w:p>
    <w:p w14:paraId="5A4DD76F" w14:textId="77777777" w:rsidR="00513AF8" w:rsidRPr="001F7677" w:rsidRDefault="00513AF8" w:rsidP="00513AF8">
      <w:pPr>
        <w:pStyle w:val="NormalHanging12a"/>
      </w:pPr>
      <w:r w:rsidRPr="001F7677">
        <w:t>H.</w:t>
      </w:r>
      <w:r w:rsidRPr="001F7677">
        <w:tab/>
        <w:t xml:space="preserve">tā kā nepieciešams nodrošināt ilgstošu un stingru izpildi attiecībā uz DTA pamatelementiem, proti, veicināt </w:t>
      </w:r>
      <w:proofErr w:type="spellStart"/>
      <w:r w:rsidRPr="001F7677">
        <w:t>sadarbspēju</w:t>
      </w:r>
      <w:proofErr w:type="spellEnd"/>
      <w:r w:rsidRPr="001F7677">
        <w:t xml:space="preserve">, piekļuvi datiem un datu pārnesamību, kā </w:t>
      </w:r>
      <w:r w:rsidRPr="001F7677">
        <w:lastRenderedPageBreak/>
        <w:t>arī novērst prioritātes piešķiršanu saviem produktiem un pakalpojumiem, tostarp gadījumos, kad kaitējumu konkurencei rada noklusējuma iestatījumi, tehniskā integrācija vai ietekme uz ekosistēmu;</w:t>
      </w:r>
    </w:p>
    <w:p w14:paraId="774EA28D" w14:textId="77777777" w:rsidR="00513AF8" w:rsidRPr="001F7677" w:rsidRDefault="00513AF8" w:rsidP="00513AF8">
      <w:pPr>
        <w:pStyle w:val="NormalHanging12a"/>
      </w:pPr>
      <w:r w:rsidRPr="001F7677">
        <w:t>I.</w:t>
      </w:r>
      <w:r w:rsidRPr="001F7677">
        <w:tab/>
        <w:t xml:space="preserve">tā kā vairāki DTA noteiktie pienākumi ir atkarīgi no aktīvas lietotāju izvēles, tostarp piekrišanas atteikšanas, iepriekš instalētu lietotņu atinstalēšanas, noklusējuma iestatījumu maiņas un datu pārnešanas, padarot lietotāju informētību un </w:t>
      </w:r>
      <w:proofErr w:type="spellStart"/>
      <w:r w:rsidRPr="001F7677">
        <w:t>saskarņu</w:t>
      </w:r>
      <w:proofErr w:type="spellEnd"/>
      <w:r w:rsidRPr="001F7677">
        <w:t xml:space="preserve"> dizainu par regulas efektivitātes galveno elementu;</w:t>
      </w:r>
    </w:p>
    <w:p w14:paraId="1EBEE446" w14:textId="77777777" w:rsidR="00513AF8" w:rsidRPr="001F7677" w:rsidRDefault="00513AF8" w:rsidP="00513AF8">
      <w:pPr>
        <w:pStyle w:val="NormalHanging12a"/>
      </w:pPr>
      <w:r w:rsidRPr="001F7677">
        <w:t>J.</w:t>
      </w:r>
      <w:r w:rsidRPr="001F7677">
        <w:tab/>
        <w:t>tā kā kopš DTA stāšanās spēkā ir novēroti reāli rezultāti godīgu, atvērtu un konkurētspējīgu digitālo tirgu veidošanā, jo patērētājiem tagad tiek piedāvāti uzlaboti un neitrālāki izvēles ekrāni, tiem atlasot noklusējuma pārlūkprogrammas un lietotnes, tostarp ierīču iestatīšanas un sistēmas iestatījumu laikā, un viņi spēj iestatīt trešo personu pakalpojumus pēc noklusējuma kategorijās, kas iepriekš attiecās tikai uz iepriekš instalētiem pakalpojumiem;</w:t>
      </w:r>
    </w:p>
    <w:p w14:paraId="1C481E62" w14:textId="77777777" w:rsidR="00513AF8" w:rsidRPr="001F7677" w:rsidRDefault="00513AF8" w:rsidP="00513AF8">
      <w:pPr>
        <w:pStyle w:val="NormalHanging12a"/>
      </w:pPr>
      <w:r w:rsidRPr="001F7677">
        <w:t>K.</w:t>
      </w:r>
      <w:r w:rsidRPr="001F7677">
        <w:tab/>
        <w:t xml:space="preserve">tā kā pastiprinātas </w:t>
      </w:r>
      <w:proofErr w:type="spellStart"/>
      <w:r w:rsidRPr="001F7677">
        <w:t>sadarbspējas</w:t>
      </w:r>
      <w:proofErr w:type="spellEnd"/>
      <w:r w:rsidRPr="001F7677">
        <w:t xml:space="preserve"> prasības arī paplašina patērētāju izvēli, ļaujot ar platformas pamatpakalpojumiem darboties plašākam savienotu un valkājamu ierīču un pakalpojumu klāstam, tādējādi samazinot atkarību no iepriekš instalētām ekosistēmām un veicinot lielāku sāncensību un patērētāju autonomiju;</w:t>
      </w:r>
    </w:p>
    <w:p w14:paraId="15C25DFC" w14:textId="77777777" w:rsidR="00513AF8" w:rsidRPr="001F7677" w:rsidRDefault="00513AF8" w:rsidP="00513AF8">
      <w:pPr>
        <w:pStyle w:val="NormalHanging12a"/>
      </w:pPr>
      <w:r w:rsidRPr="001F7677">
        <w:t>L.</w:t>
      </w:r>
      <w:r w:rsidRPr="001F7677">
        <w:tab/>
        <w:t>tā kā DTA panākumi būtu jānovērtē, ne tikai pamatojoties uz formālu atbilstību, bet arī uz to, vai tā mērķi tiek sasniegti praksē un vai galalietotāji, komerciālie lietotāji un plašāka sabiedrība tos uzskata par leģitīmiem;</w:t>
      </w:r>
    </w:p>
    <w:p w14:paraId="5C9C51DB" w14:textId="77777777" w:rsidR="00513AF8" w:rsidRPr="001F7677" w:rsidRDefault="00513AF8" w:rsidP="00513AF8">
      <w:pPr>
        <w:pStyle w:val="NormalHanging12a"/>
      </w:pPr>
      <w:r w:rsidRPr="001F7677">
        <w:t>M.</w:t>
      </w:r>
      <w:r w:rsidRPr="001F7677">
        <w:tab/>
        <w:t xml:space="preserve">tā kā DTA paredz virkni izpildes instrumentu, tostarp regulatīvo dialogu, tirgus izmeklēšanu un neatbilstības procedūras, lai atklātu pārkāpumus, novērstu tos un piemērotu naudas sodus par tiem; tā kā efektīvi un samērīgi naudas sodi ir būtiski, lai nodrošinātu atturošu iedarbību un aizsargātu DTA efektivitāti; tā kā tehnoloģiju attīstība, tostarp MI virzītas funkcijas un </w:t>
      </w:r>
      <w:proofErr w:type="spellStart"/>
      <w:r w:rsidRPr="001F7677">
        <w:t>mākoņpakalpojumi</w:t>
      </w:r>
      <w:proofErr w:type="spellEnd"/>
      <w:r w:rsidRPr="001F7677">
        <w:t>, rada jaunus izaicinājumus sāncensībai un taisnīgumam, kas ir jārisina, savlaicīgi, vienoti un konsekventi piemērojot DTA noteikumus;</w:t>
      </w:r>
    </w:p>
    <w:p w14:paraId="73FD1912" w14:textId="77777777" w:rsidR="00513AF8" w:rsidRPr="001F7677" w:rsidRDefault="00513AF8" w:rsidP="00513AF8">
      <w:pPr>
        <w:pStyle w:val="NormalHanging12a"/>
      </w:pPr>
      <w:r w:rsidRPr="001F7677">
        <w:t>N.</w:t>
      </w:r>
      <w:r w:rsidRPr="001F7677">
        <w:tab/>
        <w:t>tā kā ģeneratīvo MI sistēmu un uz MI balstītu virtuālo asistentu straujā attīstība būtiski maina konkurences dinamiku, tirgus struktūras, vērtības ķēdes un lietotāju piekļuvi digitālajiem pakalpojumiem visā ES, kas var ietekmēt sāncensību un taisnīgumu digitālajos tirgos;</w:t>
      </w:r>
    </w:p>
    <w:p w14:paraId="4FB7B190" w14:textId="77777777" w:rsidR="00513AF8" w:rsidRPr="001F7677" w:rsidRDefault="00513AF8" w:rsidP="00513AF8">
      <w:pPr>
        <w:pStyle w:val="NormalHanging12a"/>
      </w:pPr>
      <w:r w:rsidRPr="001F7677">
        <w:t>O.</w:t>
      </w:r>
      <w:r w:rsidRPr="001F7677">
        <w:tab/>
        <w:t xml:space="preserve">tā kā DTA ir ietverti vairāki noteikumi, kas ir būtiski, lai nepieļautu, ka vārtziņi ierobežo jauno MI izstrādātāju spēju konkurēt un ieviest jauninājumus, tostarp pienākumi saistībā ar godīgu un nediskriminējošu rangu noteikšanu, reklāmas pakalpojumu </w:t>
      </w:r>
      <w:proofErr w:type="spellStart"/>
      <w:r w:rsidRPr="001F7677">
        <w:t>pārredzamību</w:t>
      </w:r>
      <w:proofErr w:type="spellEnd"/>
      <w:r w:rsidRPr="001F7677">
        <w:t xml:space="preserve"> un piekļuvi datiem;</w:t>
      </w:r>
    </w:p>
    <w:p w14:paraId="5523BC0D" w14:textId="77777777" w:rsidR="00513AF8" w:rsidRPr="001F7677" w:rsidRDefault="00513AF8" w:rsidP="00513AF8">
      <w:pPr>
        <w:pStyle w:val="NormalHanging12a"/>
      </w:pPr>
      <w:r w:rsidRPr="001F7677">
        <w:t>P.</w:t>
      </w:r>
      <w:r w:rsidRPr="001F7677">
        <w:tab/>
        <w:t xml:space="preserve">tā kā </w:t>
      </w:r>
      <w:proofErr w:type="spellStart"/>
      <w:r w:rsidRPr="001F7677">
        <w:t>mākoņdatošanas</w:t>
      </w:r>
      <w:proofErr w:type="spellEnd"/>
      <w:r w:rsidRPr="001F7677">
        <w:t xml:space="preserve"> pakalpojumi dažos gadījumos arvien vairāk veido kritiski svarīgu digitālo ekosistēmu slāni, tostarp MI lietotņu izstrādei, ieviešanai un izvēršanai; tā kā augsts koncentrācijas līmenis, pārslēgšanās izmaksas, </w:t>
      </w:r>
      <w:proofErr w:type="spellStart"/>
      <w:r w:rsidRPr="001F7677">
        <w:t>sadarbspējas</w:t>
      </w:r>
      <w:proofErr w:type="spellEnd"/>
      <w:r w:rsidRPr="001F7677">
        <w:t xml:space="preserve"> ierobežojumi un atkarības riski atsevišķos </w:t>
      </w:r>
      <w:proofErr w:type="spellStart"/>
      <w:r w:rsidRPr="001F7677">
        <w:t>mākoņpakalpojumu</w:t>
      </w:r>
      <w:proofErr w:type="spellEnd"/>
      <w:r w:rsidRPr="001F7677">
        <w:t xml:space="preserve"> tirgus segmentos var radīt bažas, kas ir līdzīgas tām, uz kurām attiecas DTA; tā kā 2025. gada novembrī tika sākta izmeklēšana, lai novērtētu, vai </w:t>
      </w:r>
      <w:proofErr w:type="spellStart"/>
      <w:r w:rsidRPr="001F7677">
        <w:rPr>
          <w:i/>
          <w:iCs/>
        </w:rPr>
        <w:t>Amazon</w:t>
      </w:r>
      <w:proofErr w:type="spellEnd"/>
      <w:r w:rsidRPr="001F7677">
        <w:t xml:space="preserve"> un </w:t>
      </w:r>
      <w:r w:rsidRPr="001F7677">
        <w:rPr>
          <w:i/>
          <w:iCs/>
        </w:rPr>
        <w:t>Microsoft</w:t>
      </w:r>
      <w:r w:rsidRPr="001F7677">
        <w:t xml:space="preserve"> būtu jānosaka par vārtziņiem attiecībā uz to </w:t>
      </w:r>
      <w:proofErr w:type="spellStart"/>
      <w:r w:rsidRPr="001F7677">
        <w:t>mākoņdatošanas</w:t>
      </w:r>
      <w:proofErr w:type="spellEnd"/>
      <w:r w:rsidRPr="001F7677">
        <w:t xml:space="preserve"> pakalpojumiem </w:t>
      </w:r>
      <w:proofErr w:type="spellStart"/>
      <w:r w:rsidRPr="001F7677">
        <w:rPr>
          <w:i/>
          <w:iCs/>
        </w:rPr>
        <w:t>Amazon</w:t>
      </w:r>
      <w:proofErr w:type="spellEnd"/>
      <w:r w:rsidRPr="001F7677">
        <w:rPr>
          <w:i/>
          <w:iCs/>
        </w:rPr>
        <w:t xml:space="preserve"> </w:t>
      </w:r>
      <w:proofErr w:type="spellStart"/>
      <w:r w:rsidRPr="001F7677">
        <w:rPr>
          <w:i/>
          <w:iCs/>
        </w:rPr>
        <w:t>Web</w:t>
      </w:r>
      <w:proofErr w:type="spellEnd"/>
      <w:r w:rsidRPr="001F7677">
        <w:rPr>
          <w:i/>
          <w:iCs/>
        </w:rPr>
        <w:t xml:space="preserve"> Services</w:t>
      </w:r>
      <w:r w:rsidRPr="001F7677">
        <w:t xml:space="preserve"> un </w:t>
      </w:r>
      <w:r w:rsidRPr="001F7677">
        <w:rPr>
          <w:i/>
          <w:iCs/>
        </w:rPr>
        <w:t xml:space="preserve">Microsoft </w:t>
      </w:r>
      <w:proofErr w:type="spellStart"/>
      <w:r w:rsidRPr="001F7677">
        <w:rPr>
          <w:i/>
          <w:iCs/>
        </w:rPr>
        <w:t>Azure</w:t>
      </w:r>
      <w:proofErr w:type="spellEnd"/>
      <w:r w:rsidRPr="001F7677">
        <w:t xml:space="preserve">, un tā kā tika sākta vēl viena izmeklēšana, lai novērtētu, vai pašreizējie DTA noteiktie pienākumi </w:t>
      </w:r>
      <w:r w:rsidRPr="001F7677">
        <w:lastRenderedPageBreak/>
        <w:t xml:space="preserve">efektīvi novērš praksi, kas ierobežo konkurētspēju vai ir negodīga </w:t>
      </w:r>
      <w:proofErr w:type="spellStart"/>
      <w:r w:rsidRPr="001F7677">
        <w:t>mākoņdatošanas</w:t>
      </w:r>
      <w:proofErr w:type="spellEnd"/>
      <w:r w:rsidRPr="001F7677">
        <w:t xml:space="preserve"> nozarē; tā kā līdz šim nevienam </w:t>
      </w:r>
      <w:proofErr w:type="spellStart"/>
      <w:r w:rsidRPr="001F7677">
        <w:t>mākoņdatošanas</w:t>
      </w:r>
      <w:proofErr w:type="spellEnd"/>
      <w:r w:rsidRPr="001F7677">
        <w:t xml:space="preserve"> pakalpojumu sniedzējam saskaņā ar regulu nav noteikts vārtziņa statuss;</w:t>
      </w:r>
    </w:p>
    <w:p w14:paraId="56F21749" w14:textId="77777777" w:rsidR="00513AF8" w:rsidRPr="001F7677" w:rsidRDefault="00513AF8" w:rsidP="00513AF8">
      <w:pPr>
        <w:pStyle w:val="NormalHanging12a"/>
      </w:pPr>
      <w:r w:rsidRPr="001F7677">
        <w:t>Q.</w:t>
      </w:r>
      <w:r w:rsidRPr="001F7677">
        <w:tab/>
        <w:t xml:space="preserve">tā kā piekļuve </w:t>
      </w:r>
      <w:proofErr w:type="spellStart"/>
      <w:r w:rsidRPr="001F7677">
        <w:t>lielapjoma</w:t>
      </w:r>
      <w:proofErr w:type="spellEnd"/>
      <w:r w:rsidRPr="001F7677">
        <w:t xml:space="preserve"> skaitļošanas jaudai, progresīviem MI modeļiem un datu un </w:t>
      </w:r>
      <w:proofErr w:type="spellStart"/>
      <w:r w:rsidRPr="001F7677">
        <w:t>mākoņdatošanas</w:t>
      </w:r>
      <w:proofErr w:type="spellEnd"/>
      <w:r w:rsidRPr="001F7677">
        <w:t xml:space="preserve"> infrastruktūrai var radīt jaunas strukturālas atkarības un ekosistēmas piesaistes efektu, kas varētu ierobežot konkurētspēju, ja šie jautājumi netiks pienācīgi risināti saskaņā ar ES tiesisko regulējumu;</w:t>
      </w:r>
    </w:p>
    <w:p w14:paraId="2074402F" w14:textId="77777777" w:rsidR="00513AF8" w:rsidRPr="001F7677" w:rsidRDefault="00513AF8" w:rsidP="00513AF8">
      <w:pPr>
        <w:pStyle w:val="NormalHanging12a"/>
      </w:pPr>
      <w:r w:rsidRPr="001F7677">
        <w:t>R.</w:t>
      </w:r>
      <w:r w:rsidRPr="001F7677">
        <w:tab/>
        <w:t>tā kā pienācīgas institucionālās spējas, tehniskās zināšanas un resursi Komisijā ir neaizstājami, lai nodrošinātu DTA efektīvu, neatkarīgu un savlaicīgu izpildi un saglabātu tā uzticamību un atturošo ietekmi;</w:t>
      </w:r>
    </w:p>
    <w:p w14:paraId="26CF1DCC" w14:textId="77777777" w:rsidR="00513AF8" w:rsidRPr="001F7677" w:rsidRDefault="00513AF8" w:rsidP="00513AF8">
      <w:pPr>
        <w:pStyle w:val="NormalHanging12a"/>
      </w:pPr>
      <w:r w:rsidRPr="001F7677">
        <w:t>S.</w:t>
      </w:r>
      <w:r w:rsidRPr="001F7677">
        <w:tab/>
        <w:t>tā kā saskaņā ar DTA Komisijai ir periodiski jāpārskata regula, sniedzot iespēju novērtēt izpildes efektivitāti un tās sniegtos ieguvumus patērētājiem, apzināt īstenošanas problēmas un nodrošināt, ka DTA joprojām atbilst paredzētajam mērķim, ņemot vērā tehnoloģiju un tirgus attīstību un MI virzītu ekosistēmu veidu attīstību;</w:t>
      </w:r>
    </w:p>
    <w:p w14:paraId="72B6E2F6" w14:textId="77777777" w:rsidR="00513AF8" w:rsidRPr="001F7677" w:rsidRDefault="00513AF8" w:rsidP="00513AF8">
      <w:pPr>
        <w:pStyle w:val="NormalHanging12a"/>
      </w:pPr>
      <w:r w:rsidRPr="001F7677">
        <w:t>1.</w:t>
      </w:r>
      <w:r w:rsidRPr="001F7677">
        <w:tab/>
        <w:t>atkārtoti apstiprina, ka DTA efektīva, savlaicīga un konsekventa izpilde, kā arī Komisijas politiskais atbalsts ir būtiski, lai aizsargātu vienotā tirgus darbību un nodrošinātu reālus ieguvumus patērētājiem, komerciālajiem lietotājiem un novatoriem visā ES;</w:t>
      </w:r>
    </w:p>
    <w:p w14:paraId="6D2DFEFC" w14:textId="77777777" w:rsidR="00513AF8" w:rsidRPr="001F7677" w:rsidRDefault="00513AF8" w:rsidP="00513AF8">
      <w:pPr>
        <w:pStyle w:val="NormalHanging12a"/>
      </w:pPr>
      <w:r w:rsidRPr="001F7677">
        <w:t>2.</w:t>
      </w:r>
      <w:r w:rsidRPr="001F7677">
        <w:tab/>
        <w:t>pauž bažas par trešo valstu politisko spiedienu, mudinot ES pārskatīt vai vājināt DTA, un uzsver, ka šāda ārēja iejaukšanās nedrīkst apdraudēt ES suverenitāti un tās autonomiju definēt un īstenot savus noteikumus; uzsver, ka DTA pienākumi vienādi attiecas uz visiem noteiktajiem vārtziņiem, kas sniedz pakalpojumus ES, neatkarīgi no to iedibinājuma vietas vai valstspiederības;</w:t>
      </w:r>
    </w:p>
    <w:p w14:paraId="189C010F" w14:textId="77777777" w:rsidR="00513AF8" w:rsidRPr="001F7677" w:rsidRDefault="00513AF8" w:rsidP="00513AF8">
      <w:pPr>
        <w:pStyle w:val="NormalHanging12a"/>
      </w:pPr>
      <w:r w:rsidRPr="001F7677">
        <w:t>3.</w:t>
      </w:r>
      <w:r w:rsidRPr="001F7677">
        <w:tab/>
        <w:t xml:space="preserve">aicina Komisiju pilnībā un </w:t>
      </w:r>
      <w:proofErr w:type="spellStart"/>
      <w:r w:rsidRPr="001F7677">
        <w:t>proaktīvi</w:t>
      </w:r>
      <w:proofErr w:type="spellEnd"/>
      <w:r w:rsidRPr="001F7677">
        <w:t xml:space="preserve"> izmantot visus Digitālo tirgu aktā paredzētos izpildes instrumentus, papildu izmeklēšanas tirgū, tostarp neatbilstības procedūras, pārbaudes, pagaidu pasākumus, naudas sodus un kavējuma naudas, lai novērstu noteikumu apiešanu un nodrošinātu efektīvu atbilstību;</w:t>
      </w:r>
    </w:p>
    <w:p w14:paraId="33E16B80" w14:textId="77777777" w:rsidR="00513AF8" w:rsidRPr="001F7677" w:rsidRDefault="00513AF8" w:rsidP="00513AF8">
      <w:pPr>
        <w:pStyle w:val="NormalHanging12a"/>
      </w:pPr>
      <w:r w:rsidRPr="001F7677">
        <w:t>4.</w:t>
      </w:r>
      <w:r w:rsidRPr="001F7677">
        <w:tab/>
        <w:t xml:space="preserve">uzsver, ka, lai gan Komisijai joprojām ir ekskluzīva kompetence attiecībā uz DTA izpildi, efektīvai, savlaicīgai un konsekventai regulas piemērošanai visā ES ir vajadzīga strukturēta un cieša sadarbība ar valstu konkurences iestādēm un citām attiecīgajām valstu publiskajām struktūrām; uzsver, ka DTA izveidotajā satvarā šīm iestādēm ir būtiska atbalsta loma, tostarp palīdzot veikt izmeklēšanu un pārbaudes, veicinot tirgus uzraudzību un atvieglojot informācijas apmaiņu, tādējādi stiprinot DTA efektīvu un vienotu izpildi un aizsargājot godīgus un </w:t>
      </w:r>
      <w:proofErr w:type="spellStart"/>
      <w:r w:rsidRPr="001F7677">
        <w:t>sāncensīgus</w:t>
      </w:r>
      <w:proofErr w:type="spellEnd"/>
      <w:r w:rsidRPr="001F7677">
        <w:t xml:space="preserve"> digitālos tirgus visā ES;</w:t>
      </w:r>
    </w:p>
    <w:p w14:paraId="69E5D92D" w14:textId="77777777" w:rsidR="00513AF8" w:rsidRPr="001F7677" w:rsidRDefault="00513AF8" w:rsidP="00513AF8">
      <w:pPr>
        <w:pStyle w:val="NormalHanging12a"/>
      </w:pPr>
      <w:r w:rsidRPr="001F7677">
        <w:t>5.</w:t>
      </w:r>
      <w:r w:rsidRPr="001F7677">
        <w:tab/>
        <w:t xml:space="preserve">uzsver, ka tirgus </w:t>
      </w:r>
      <w:proofErr w:type="spellStart"/>
      <w:r w:rsidRPr="001F7677">
        <w:t>atvērtības</w:t>
      </w:r>
      <w:proofErr w:type="spellEnd"/>
      <w:r w:rsidRPr="001F7677">
        <w:t xml:space="preserve"> nodrošināšana, tostarp efektīvi piemērojot DTA, ir būtisks elements, lai sekmīgi īstenotu MI pielietošanas stratēģiju, kuras mērķis ir veicināt MI ieviešanu un inovāciju visā Eiropā, jo efektīva sāncensība digitālajos tirgos ir priekšnoteikums atvērtai un taisnīgai Eiropas MI ekosistēmai;</w:t>
      </w:r>
    </w:p>
    <w:p w14:paraId="31C97EB9" w14:textId="77777777" w:rsidR="00513AF8" w:rsidRPr="001F7677" w:rsidRDefault="00513AF8" w:rsidP="00513AF8">
      <w:pPr>
        <w:pStyle w:val="NormalHanging12a"/>
      </w:pPr>
      <w:r w:rsidRPr="001F7677">
        <w:t>6.</w:t>
      </w:r>
      <w:r w:rsidRPr="001F7677">
        <w:tab/>
        <w:t xml:space="preserve">aicina Komisiju bez nepamatotas kavēšanās noslēgt neatbilstības procedūras un nodrošināt savlaicīgu izpildi saskaņā ar DTA, jo īpaši ievērojot gan saistošos, gan orientējošos termiņus, kā arī pienācīgi informēt Eiropas Parlamentu par izpildes progresu; uzsver, ka ir vajadzīga lielāka </w:t>
      </w:r>
      <w:proofErr w:type="spellStart"/>
      <w:r w:rsidRPr="001F7677">
        <w:t>pārredzamība</w:t>
      </w:r>
      <w:proofErr w:type="spellEnd"/>
      <w:r w:rsidRPr="001F7677">
        <w:t xml:space="preserve"> attiecībā uz procedūras posmiem </w:t>
      </w:r>
      <w:r w:rsidRPr="001F7677">
        <w:lastRenderedPageBreak/>
        <w:t xml:space="preserve">un termiņiem, lai Parlaments un jo īpaši IMCO komitejas DTA darba grupa varētu īstenot savas kontroles pilnvaras; aicina Komisiju </w:t>
      </w:r>
      <w:proofErr w:type="spellStart"/>
      <w:r w:rsidRPr="001F7677">
        <w:t>proaktīvi</w:t>
      </w:r>
      <w:proofErr w:type="spellEnd"/>
      <w:r w:rsidRPr="001F7677">
        <w:t xml:space="preserve"> un regulāri informēt Parlamentu par DTA izpildes gaitu, tostarp par norisēm regulatīvajā dialogā, augsta līmeņa grupas darbībām un darba kārtību, attiecīgajiem Komisijas pasūtītajiem pētījumiem un jebkādu citu informāciju, kas Parlamentam nepieciešama uzraudzības funkcijas veikšanai;</w:t>
      </w:r>
    </w:p>
    <w:p w14:paraId="1A0F3DDA" w14:textId="77777777" w:rsidR="00513AF8" w:rsidRPr="001F7677" w:rsidRDefault="00513AF8" w:rsidP="00513AF8">
      <w:pPr>
        <w:pStyle w:val="NormalHanging12a"/>
      </w:pPr>
      <w:r w:rsidRPr="001F7677">
        <w:t>7.</w:t>
      </w:r>
      <w:r w:rsidRPr="001F7677">
        <w:tab/>
        <w:t>aicina Komisiju pilnībā izmantot augsta līmeņa grupas sniegtās iespējas; uzsver efektīvas koordinācijas nozīmi starp regulatīvajām iestādēm, ņemot vērā lielo skaitu jaunu noteikumu un regulatoru, kas darbojas digitālajos tirgos;</w:t>
      </w:r>
    </w:p>
    <w:p w14:paraId="55C481FA" w14:textId="77777777" w:rsidR="00513AF8" w:rsidRPr="001F7677" w:rsidRDefault="00513AF8" w:rsidP="00513AF8">
      <w:pPr>
        <w:pStyle w:val="NormalHanging12a"/>
      </w:pPr>
      <w:r w:rsidRPr="001F7677">
        <w:t>8.</w:t>
      </w:r>
      <w:r w:rsidRPr="001F7677">
        <w:tab/>
        <w:t xml:space="preserve">uzsver, ka atbilstība DTA ir jānovērtē, pamatojoties uz tā praktisko un reālo ietekmi uz tirgus </w:t>
      </w:r>
      <w:proofErr w:type="spellStart"/>
      <w:r w:rsidRPr="001F7677">
        <w:t>atvērtību</w:t>
      </w:r>
      <w:proofErr w:type="spellEnd"/>
      <w:r w:rsidRPr="001F7677">
        <w:t xml:space="preserve">, konkurenci, inovāciju un lietotāju izvēli, tādējādi nodrošinot juridisko noteiktību, </w:t>
      </w:r>
      <w:proofErr w:type="spellStart"/>
      <w:r w:rsidRPr="001F7677">
        <w:t>paredzamību</w:t>
      </w:r>
      <w:proofErr w:type="spellEnd"/>
      <w:r w:rsidRPr="001F7677">
        <w:t xml:space="preserve"> un vienlīdzīgu attieksmi;</w:t>
      </w:r>
    </w:p>
    <w:p w14:paraId="6EBB2CFC" w14:textId="77777777" w:rsidR="00513AF8" w:rsidRPr="001F7677" w:rsidRDefault="00513AF8" w:rsidP="00513AF8">
      <w:pPr>
        <w:pStyle w:val="NormalHanging12a"/>
      </w:pPr>
      <w:r w:rsidRPr="001F7677">
        <w:t>9.</w:t>
      </w:r>
      <w:r w:rsidRPr="001F7677">
        <w:tab/>
        <w:t xml:space="preserve">aicina Komisiju novērst informācijas asimetriju, stiprinot mehānismus, kas ļauj komerciālajiem lietotājiem un galalietotājiem efektīvi īstenot savas tiesības saskaņā ar DTA, tostarp tiesības, kas saistītas ar izvēli, piekļuvi datiem, </w:t>
      </w:r>
      <w:proofErr w:type="spellStart"/>
      <w:r w:rsidRPr="001F7677">
        <w:t>sadarbspēju</w:t>
      </w:r>
      <w:proofErr w:type="spellEnd"/>
      <w:r w:rsidRPr="001F7677">
        <w:t xml:space="preserve">, </w:t>
      </w:r>
      <w:proofErr w:type="spellStart"/>
      <w:r w:rsidRPr="001F7677">
        <w:t>nediskrimināciju</w:t>
      </w:r>
      <w:proofErr w:type="spellEnd"/>
      <w:r w:rsidRPr="001F7677">
        <w:t xml:space="preserve"> un brīvību no represijām, izmantojot pieejamus un drošus ziņošanas un sūdzību kanālus, aizsardzības pasākumus pret represijām un labāku informētību par DTA paredzētajām tiesībām un tiesiskās aizsardzības līdzekļiem, atzīstot, ka DTA efektivitāte ir atkarīga no pilnvarotiem galalietotājiem;</w:t>
      </w:r>
    </w:p>
    <w:p w14:paraId="1DB99F3C" w14:textId="77777777" w:rsidR="00513AF8" w:rsidRPr="001F7677" w:rsidRDefault="00513AF8" w:rsidP="00513AF8">
      <w:pPr>
        <w:pStyle w:val="NormalHanging12a"/>
      </w:pPr>
      <w:r w:rsidRPr="001F7677">
        <w:t>10.</w:t>
      </w:r>
      <w:r w:rsidRPr="001F7677">
        <w:tab/>
        <w:t xml:space="preserve">mudina Komisiju par prioritāti noteikt stingru izpildi, lai nodrošinātu </w:t>
      </w:r>
      <w:proofErr w:type="spellStart"/>
      <w:r w:rsidRPr="001F7677">
        <w:t>sadarbspēju</w:t>
      </w:r>
      <w:proofErr w:type="spellEnd"/>
      <w:r w:rsidRPr="001F7677">
        <w:t>, piekļuvi datiem un datu pārnesamību, kā arī novērstu virzīšanu un prioritātes piešķiršanu saviem produktiem un pakalpojumiem, tostarp gadījumos, kad kaitējumu konkurencei rada noklusējuma iestatījumi, tehniskā integrācija vai platformu ekosistēmu izstrāde; aicina Komisiju, nosakot izpildes prioritātes, pienācīgi ņemt vērā attiecīgās tirgus norises un mijiedarbību starp piemērojamiem ES instrumentiem, tostarp Datu aktu</w:t>
      </w:r>
      <w:r w:rsidRPr="001F7677">
        <w:rPr>
          <w:rStyle w:val="FootnoteReference"/>
        </w:rPr>
        <w:footnoteReference w:id="12"/>
      </w:r>
      <w:r w:rsidRPr="001F7677">
        <w:t xml:space="preserve">; norāda, ka dažos gadījumos DTA efektīvu īstenošanu un izpildi var ietekmēt vārtziņu mijiedarbība ar konkurentiem un </w:t>
      </w:r>
      <w:proofErr w:type="spellStart"/>
      <w:r w:rsidRPr="001F7677">
        <w:t>darījumdarbības</w:t>
      </w:r>
      <w:proofErr w:type="spellEnd"/>
      <w:r w:rsidRPr="001F7677">
        <w:t xml:space="preserve"> partneriem, jo īpaši situācijās, kad ir paustas bažas par </w:t>
      </w:r>
      <w:proofErr w:type="spellStart"/>
      <w:r w:rsidRPr="001F7677">
        <w:t>darījumdarbības</w:t>
      </w:r>
      <w:proofErr w:type="spellEnd"/>
      <w:r w:rsidRPr="001F7677">
        <w:t xml:space="preserve"> prakses taisnīgumu;</w:t>
      </w:r>
    </w:p>
    <w:p w14:paraId="751E729F" w14:textId="77777777" w:rsidR="00513AF8" w:rsidRPr="001F7677" w:rsidRDefault="00513AF8" w:rsidP="00513AF8">
      <w:pPr>
        <w:pStyle w:val="NormalHanging12a"/>
      </w:pPr>
      <w:r w:rsidRPr="001F7677">
        <w:t>11.</w:t>
      </w:r>
      <w:r w:rsidRPr="001F7677">
        <w:tab/>
        <w:t xml:space="preserve">aicina Komisiju turpināt darbu pie tā, lai nodrošinātu </w:t>
      </w:r>
      <w:proofErr w:type="spellStart"/>
      <w:r w:rsidRPr="001F7677">
        <w:t>ziņapmaiņas</w:t>
      </w:r>
      <w:proofErr w:type="spellEnd"/>
      <w:r w:rsidRPr="001F7677">
        <w:t xml:space="preserve"> pakalpojumu </w:t>
      </w:r>
      <w:proofErr w:type="spellStart"/>
      <w:r w:rsidRPr="001F7677">
        <w:t>sadarbspēju</w:t>
      </w:r>
      <w:proofErr w:type="spellEnd"/>
      <w:r w:rsidRPr="001F7677">
        <w:t xml:space="preserve"> ar mazākām trešo personu </w:t>
      </w:r>
      <w:proofErr w:type="spellStart"/>
      <w:r w:rsidRPr="001F7677">
        <w:t>ziņapmaiņas</w:t>
      </w:r>
      <w:proofErr w:type="spellEnd"/>
      <w:r w:rsidRPr="001F7677">
        <w:t xml:space="preserve"> lietotnēm pēc pieprasījuma, ļaujot lietotājiem apmainīties ar tekstu, datnēm un balss/video zvaniem dažādās platformās, vienlaikus saglabājot pilnīgu šifrēšanu;</w:t>
      </w:r>
    </w:p>
    <w:p w14:paraId="2C2035F3" w14:textId="77777777" w:rsidR="00513AF8" w:rsidRPr="001F7677" w:rsidRDefault="00513AF8" w:rsidP="00513AF8">
      <w:pPr>
        <w:pStyle w:val="NormalHanging12a"/>
      </w:pPr>
      <w:r w:rsidRPr="001F7677">
        <w:t>12.</w:t>
      </w:r>
      <w:r w:rsidRPr="001F7677">
        <w:tab/>
        <w:t xml:space="preserve">pauž nopietnas bažas par </w:t>
      </w:r>
      <w:r w:rsidRPr="001F7677">
        <w:rPr>
          <w:i/>
          <w:iCs/>
        </w:rPr>
        <w:t>Google</w:t>
      </w:r>
      <w:r w:rsidRPr="001F7677">
        <w:t xml:space="preserve"> pastāvīgo praksi piešķirt sev prioritāti meklēšanas, iepirkšanās, ceļošanas un video pakalpojumos, kas turpina kropļot konkurenci un ierobežot patērētāju izvēli; norāda, ka produktu saraksta reklāmas joprojām ir izvietotas redzamā vietā meklēšanas rezultātu augšgalā, saglabājot dominējošā stāvokļa tendenci un </w:t>
      </w:r>
      <w:proofErr w:type="spellStart"/>
      <w:r w:rsidRPr="001F7677">
        <w:t>pārredzamības</w:t>
      </w:r>
      <w:proofErr w:type="spellEnd"/>
      <w:r w:rsidRPr="001F7677">
        <w:t xml:space="preserve"> trūkumu, kas apdraud DTA nolūku; atgādina, ka sākotnējie konstatējumi saskaņā ar DTA 6. panta 5. punktu liecina, ka </w:t>
      </w:r>
      <w:r w:rsidRPr="001F7677">
        <w:rPr>
          <w:i/>
          <w:iCs/>
        </w:rPr>
        <w:t>Google</w:t>
      </w:r>
      <w:r w:rsidRPr="001F7677">
        <w:t xml:space="preserve"> izmanto vizuālās priekšrocības un preferenciālu pozicionēšanu, lai dotu priekšroku saviem pakalpojumiem, tostarp </w:t>
      </w:r>
      <w:r w:rsidRPr="001F7677">
        <w:rPr>
          <w:i/>
          <w:iCs/>
        </w:rPr>
        <w:t xml:space="preserve">Google </w:t>
      </w:r>
      <w:proofErr w:type="spellStart"/>
      <w:r w:rsidRPr="001F7677">
        <w:rPr>
          <w:i/>
          <w:iCs/>
        </w:rPr>
        <w:t>Shopping</w:t>
      </w:r>
      <w:proofErr w:type="spellEnd"/>
      <w:r w:rsidRPr="001F7677">
        <w:t xml:space="preserve">, </w:t>
      </w:r>
      <w:proofErr w:type="spellStart"/>
      <w:r w:rsidRPr="001F7677">
        <w:rPr>
          <w:i/>
          <w:iCs/>
        </w:rPr>
        <w:t>Flights</w:t>
      </w:r>
      <w:proofErr w:type="spellEnd"/>
      <w:r w:rsidRPr="001F7677">
        <w:t xml:space="preserve"> un </w:t>
      </w:r>
      <w:proofErr w:type="spellStart"/>
      <w:r w:rsidRPr="001F7677">
        <w:rPr>
          <w:i/>
          <w:iCs/>
        </w:rPr>
        <w:t>Hotels</w:t>
      </w:r>
      <w:proofErr w:type="spellEnd"/>
      <w:r w:rsidRPr="001F7677">
        <w:t xml:space="preserve">, tādējādi ierobežojot </w:t>
      </w:r>
      <w:r w:rsidRPr="001F7677">
        <w:lastRenderedPageBreak/>
        <w:t xml:space="preserve">taisnīgu piekļuvi konkurentiem un stiprinot savu ietekmi tirgū; atgādina, ka nesenā tiesvedība valstu tiesās ir apstiprinājusi, ka </w:t>
      </w:r>
      <w:r w:rsidRPr="001F7677">
        <w:rPr>
          <w:i/>
          <w:iCs/>
        </w:rPr>
        <w:t>Google</w:t>
      </w:r>
      <w:r w:rsidRPr="001F7677">
        <w:t xml:space="preserve"> prakse meklēšanas pakalpojumos dot priekšroku saviem pakalpojumiem kaitēja konkurējošām salīdzināšanas platformām, kā to apliecina 2025. gada spriedums </w:t>
      </w:r>
      <w:proofErr w:type="spellStart"/>
      <w:r w:rsidRPr="001F7677">
        <w:rPr>
          <w:i/>
          <w:iCs/>
        </w:rPr>
        <w:t>Idealo</w:t>
      </w:r>
      <w:proofErr w:type="spellEnd"/>
      <w:r w:rsidRPr="001F7677">
        <w:rPr>
          <w:i/>
          <w:iCs/>
        </w:rPr>
        <w:t>/Google</w:t>
      </w:r>
      <w:r w:rsidRPr="001F7677">
        <w:t xml:space="preserve"> lietā Berlīnes apgabaltiesā; uzsver, ka vārtziņu mēģinājumi saglabāt vai pagarināt neatbilstību DTA līdz ar to var pakļaut tos ievērojamai finansiālajai atbildībai, iesniedzot turpmākas prasības par zaudējumu atlīdzību;</w:t>
      </w:r>
    </w:p>
    <w:p w14:paraId="6AC26C3D" w14:textId="77777777" w:rsidR="00513AF8" w:rsidRPr="001F7677" w:rsidRDefault="00513AF8" w:rsidP="00513AF8">
      <w:pPr>
        <w:pStyle w:val="NormalHanging12a"/>
      </w:pPr>
      <w:r w:rsidRPr="001F7677">
        <w:t>13.</w:t>
      </w:r>
      <w:r w:rsidRPr="001F7677">
        <w:tab/>
        <w:t>uzsver, ka ,</w:t>
      </w:r>
      <w:r w:rsidRPr="001F7677">
        <w:rPr>
          <w:i/>
          <w:iCs/>
        </w:rPr>
        <w:t>Google</w:t>
      </w:r>
      <w:r w:rsidRPr="001F7677">
        <w:t xml:space="preserve"> MI integrācija meklēšanas un atklāšanas procesos arvien vairāk ļauj uzņēmumam kontrolēt visu patērētāju “ceļu” — no meklēšanas un ieteikumiem līdz nodomam iegādāties —, tādējādi vēl vairāk </w:t>
      </w:r>
      <w:proofErr w:type="spellStart"/>
      <w:r w:rsidRPr="001F7677">
        <w:t>marginalizējot</w:t>
      </w:r>
      <w:proofErr w:type="spellEnd"/>
      <w:r w:rsidRPr="001F7677">
        <w:t xml:space="preserve"> konkurējošos pakalpojumus un samazinot patērētāju spēju izdarīt neatkarīgu izvēli; uzsver, ka šāda dinamika var pārvērst neatkarīgus tirgotājus par vienkāršiem </w:t>
      </w:r>
      <w:r w:rsidRPr="001F7677">
        <w:rPr>
          <w:i/>
          <w:iCs/>
        </w:rPr>
        <w:t>Google</w:t>
      </w:r>
      <w:r w:rsidRPr="001F7677">
        <w:t xml:space="preserve"> izpildes kanāliem, atkārtojot agrākos mēģinājumus dominēt tirdzniecībā, kas iepriekš tika ierobežoti, un ka bez skaidriem aizsardzības pasākumiem saskaņā ar DTA šī prakse var vēl vairāk nostiprināties;</w:t>
      </w:r>
    </w:p>
    <w:p w14:paraId="3FBF4C82" w14:textId="77777777" w:rsidR="00513AF8" w:rsidRPr="001F7677" w:rsidRDefault="00513AF8" w:rsidP="00513AF8">
      <w:pPr>
        <w:pStyle w:val="NormalHanging12a"/>
      </w:pPr>
      <w:r w:rsidRPr="001F7677">
        <w:t>14.</w:t>
      </w:r>
      <w:r w:rsidRPr="001F7677">
        <w:tab/>
        <w:t xml:space="preserve">norāda, ka vienotajā tirgū </w:t>
      </w:r>
      <w:proofErr w:type="spellStart"/>
      <w:r w:rsidRPr="001F7677">
        <w:rPr>
          <w:i/>
          <w:iCs/>
        </w:rPr>
        <w:t>iOS</w:t>
      </w:r>
      <w:proofErr w:type="spellEnd"/>
      <w:r w:rsidRPr="001F7677">
        <w:t xml:space="preserve"> ir parādījušās alternatīvas lietotņu tirdzniecības vietas, taču pauž bažas par to, ka to praktiskā dzīvotspēja un mērogojamība joprojām ir ierobežota lietotāju “ceļa” plānojuma un ierobežojošo ekonomisko un līgumisko nosacījumu dēļ; uzsver, ka vārtziņi pārstrukturē savas maksas tā, ai izstrādātāji būtu sliktākā situācijā nekā pirms DTA stāšanās spēkā; mudina Komisiju novērtēt, vai </w:t>
      </w:r>
      <w:proofErr w:type="spellStart"/>
      <w:r w:rsidRPr="001F7677">
        <w:rPr>
          <w:i/>
          <w:iCs/>
        </w:rPr>
        <w:t>Apple</w:t>
      </w:r>
      <w:proofErr w:type="spellEnd"/>
      <w:r w:rsidRPr="001F7677">
        <w:t xml:space="preserve"> piekļuves noteikumi ir taisnīgi un nediskriminējoši, kā noteikts DTA 6. panta 12. punktā;</w:t>
      </w:r>
    </w:p>
    <w:p w14:paraId="61DCF866" w14:textId="07433402" w:rsidR="00F7708E" w:rsidRPr="001F7677" w:rsidRDefault="00F7708E" w:rsidP="00513AF8">
      <w:pPr>
        <w:pStyle w:val="NormalHanging12a"/>
      </w:pPr>
      <w:r w:rsidRPr="001F7677">
        <w:t>15.</w:t>
      </w:r>
      <w:r w:rsidRPr="001F7677">
        <w:tab/>
        <w:t xml:space="preserve">norāda, ka daži vārtziņi, kā nesen paziņoja, piemēram, uzņēmums Google, atsaucas uz drošības un </w:t>
      </w:r>
      <w:proofErr w:type="spellStart"/>
      <w:r w:rsidRPr="001F7677">
        <w:t>kiberdrošības</w:t>
      </w:r>
      <w:proofErr w:type="spellEnd"/>
      <w:r w:rsidRPr="001F7677">
        <w:t xml:space="preserve"> apsvērumiem, uz kuru pamata tie nosaka reģistrācijas un identifikācijas prasības lietojumprogrammu izstrādātājiem, tādējādi ierobežojot efektīvu piekļuvi alternatīviem lietojumprogrammu izplatīšanas kanāliem tādā veidā, kas var būt pretrunā DTA 6. panta 4. punktam; tādēļ aicina Komisiju izmeklēt, vai minētie ar drošību saistītie pasākumi ir absolūti nepieciešami un samērīgi, un nodrošināt, ka tie netiek izmantoti kā iegansts, lai apietu Digitālo tirgu akta mērķi iespējot trešo personu faktisku piekļuvi programmatūrai, tādējādi nodrošinot taisnīgus, saprātīgus un nediskriminējošus piekļuves nosacījumus un vienlaikus aizsargājot izstrādātāju spēju novirzīt lietotājus uz alternatīviem izplatīšanas kanāliem;</w:t>
      </w:r>
    </w:p>
    <w:p w14:paraId="28E6E3BB" w14:textId="31B02C36" w:rsidR="00513AF8" w:rsidRPr="001F7677" w:rsidRDefault="00F7708E" w:rsidP="00513AF8">
      <w:pPr>
        <w:pStyle w:val="NormalHanging12a"/>
      </w:pPr>
      <w:r w:rsidRPr="001F7677">
        <w:t>16</w:t>
      </w:r>
      <w:r w:rsidR="00513AF8" w:rsidRPr="001F7677">
        <w:t>.</w:t>
      </w:r>
      <w:r w:rsidR="00513AF8" w:rsidRPr="001F7677">
        <w:tab/>
        <w:t xml:space="preserve">atgādina, ka saskaņā ar DTA 5. panta 4. punktu komerciālajiem lietotājiem vajadzētu būt iespējai bez maksas informēt galalietotājus par alternatīviem piedāvājumiem un novirzīt tos uz šiem piedāvājumiem un slēgt līgumus; norāda, ka DTA 40. apsvērumā ir atzīta iespēja saņemt atlīdzību par gala lietotāja sākotnējās piesaistīšanas veicināšanu, vienlaikus uzsverot, ka jebkādai šādai atlīdzībai jābūt stingri ierobežotai līdz sākotnējai piesaistīšanai, samērīgai un atbilstošai, un tā nedrīkst praksē apdraudēt novirzīšanu; aicina Komisiju nodrošināt, ka </w:t>
      </w:r>
      <w:proofErr w:type="spellStart"/>
      <w:r w:rsidR="00513AF8" w:rsidRPr="001F7677">
        <w:rPr>
          <w:i/>
          <w:iCs/>
        </w:rPr>
        <w:t>Apple</w:t>
      </w:r>
      <w:proofErr w:type="spellEnd"/>
      <w:r w:rsidR="00513AF8" w:rsidRPr="001F7677">
        <w:t xml:space="preserve"> pārstrādātie noteikumi tiek rūpīgi novērtēti, ņemot vērā DMA prasības attiecībā uz jebkādām maksām, kas saistītas ar novirzīšanu, un ka jebkādi mēģinājumi apiet šīs prasības tiek rūpīgi pārbaudīti  un vajadzības gadījumā sodīti, negaidot pašreizējā ASV tiesvedības procesa iznākumu lietā </w:t>
      </w:r>
      <w:proofErr w:type="spellStart"/>
      <w:r w:rsidR="00513AF8" w:rsidRPr="001F7677">
        <w:rPr>
          <w:i/>
          <w:iCs/>
        </w:rPr>
        <w:t>Epic</w:t>
      </w:r>
      <w:proofErr w:type="spellEnd"/>
      <w:r w:rsidR="00513AF8" w:rsidRPr="001F7677">
        <w:rPr>
          <w:i/>
          <w:iCs/>
        </w:rPr>
        <w:t xml:space="preserve"> </w:t>
      </w:r>
      <w:proofErr w:type="spellStart"/>
      <w:r w:rsidR="00513AF8" w:rsidRPr="001F7677">
        <w:rPr>
          <w:i/>
          <w:iCs/>
        </w:rPr>
        <w:t>Games</w:t>
      </w:r>
      <w:proofErr w:type="spellEnd"/>
      <w:r w:rsidR="00513AF8" w:rsidRPr="001F7677">
        <w:t xml:space="preserve"> pret </w:t>
      </w:r>
      <w:proofErr w:type="spellStart"/>
      <w:r w:rsidR="00513AF8" w:rsidRPr="001F7677">
        <w:rPr>
          <w:i/>
          <w:iCs/>
        </w:rPr>
        <w:t>Apple</w:t>
      </w:r>
      <w:proofErr w:type="spellEnd"/>
      <w:r w:rsidR="00513AF8" w:rsidRPr="001F7677">
        <w:t>; uzsver, ka ES tiesību aktu izpilde būtu jāpanāk neatkarīgi no trešo valstu tiesvedības;</w:t>
      </w:r>
    </w:p>
    <w:p w14:paraId="3CBB41DE" w14:textId="4E9CD27B" w:rsidR="00513AF8" w:rsidRPr="001F7677" w:rsidRDefault="00F7708E" w:rsidP="00513AF8">
      <w:pPr>
        <w:pStyle w:val="NormalHanging12a"/>
      </w:pPr>
      <w:r w:rsidRPr="001F7677">
        <w:t>17</w:t>
      </w:r>
      <w:r w:rsidR="00513AF8" w:rsidRPr="001F7677">
        <w:t>.</w:t>
      </w:r>
      <w:r w:rsidR="00513AF8" w:rsidRPr="001F7677">
        <w:tab/>
        <w:t xml:space="preserve">pauž bažas par </w:t>
      </w:r>
      <w:proofErr w:type="spellStart"/>
      <w:r w:rsidR="00513AF8" w:rsidRPr="001F7677">
        <w:rPr>
          <w:i/>
          <w:iCs/>
        </w:rPr>
        <w:t>ByteDance</w:t>
      </w:r>
      <w:proofErr w:type="spellEnd"/>
      <w:r w:rsidR="00513AF8" w:rsidRPr="001F7677">
        <w:t xml:space="preserve"> pārvaldīto platformu </w:t>
      </w:r>
      <w:proofErr w:type="spellStart"/>
      <w:r w:rsidR="00513AF8" w:rsidRPr="001F7677">
        <w:rPr>
          <w:i/>
          <w:iCs/>
        </w:rPr>
        <w:t>TikTok</w:t>
      </w:r>
      <w:proofErr w:type="spellEnd"/>
      <w:r w:rsidR="00513AF8" w:rsidRPr="001F7677">
        <w:t xml:space="preserve"> un tajā izmantotajiem piekrišanas ekrāniem, kas lielā mērā balstās uz uzvedības manipulācijas paņēmieniem </w:t>
      </w:r>
      <w:r w:rsidR="00513AF8" w:rsidRPr="001F7677">
        <w:lastRenderedPageBreak/>
        <w:t xml:space="preserve">nolūkā iegūt lietotāju piekrišanu; norāda, ka šāda prakse var apdraudēt informētas un brīvprātīgas piekrišanas principus un varētu būt DTA 5. panta 2. punkta pārkāpums; uzsver, ka piekrišanas mehānismiem jābūt pārredzamiem, ērti lietojamiem un patiesi brīvprātīgiem, bez </w:t>
      </w:r>
      <w:proofErr w:type="spellStart"/>
      <w:r w:rsidR="00513AF8" w:rsidRPr="001F7677">
        <w:t>manipulatīva</w:t>
      </w:r>
      <w:proofErr w:type="spellEnd"/>
      <w:r w:rsidR="00513AF8" w:rsidRPr="001F7677">
        <w:t xml:space="preserve"> dizaina vai psiholoģiska spiediena; aicina Komisiju rūpīgi uzraudzīt </w:t>
      </w:r>
      <w:proofErr w:type="spellStart"/>
      <w:r w:rsidR="00513AF8" w:rsidRPr="001F7677">
        <w:rPr>
          <w:i/>
          <w:iCs/>
        </w:rPr>
        <w:t>TikTok</w:t>
      </w:r>
      <w:proofErr w:type="spellEnd"/>
      <w:r w:rsidR="00513AF8" w:rsidRPr="001F7677">
        <w:t xml:space="preserve"> piekrišanas praksi un nodrošināt, ka visi neatbilstīgie mehānismi tiek nekavējoties koriģēti, lai saglabātu lietotāju autonomiju un digitālās tiesības;</w:t>
      </w:r>
    </w:p>
    <w:p w14:paraId="76DABFAE" w14:textId="7143A1BB" w:rsidR="00513AF8" w:rsidRPr="001F7677" w:rsidRDefault="00F7708E" w:rsidP="00513AF8">
      <w:pPr>
        <w:pStyle w:val="NormalHanging12a"/>
      </w:pPr>
      <w:r w:rsidRPr="001F7677">
        <w:t>18</w:t>
      </w:r>
      <w:r w:rsidR="00513AF8" w:rsidRPr="001F7677">
        <w:t>.</w:t>
      </w:r>
      <w:r w:rsidR="00513AF8" w:rsidRPr="001F7677">
        <w:tab/>
        <w:t xml:space="preserve">norāda, cik svarīgi ir, lai </w:t>
      </w:r>
      <w:r w:rsidR="00513AF8" w:rsidRPr="001F7677">
        <w:rPr>
          <w:i/>
          <w:iCs/>
        </w:rPr>
        <w:t>Microsoft</w:t>
      </w:r>
      <w:r w:rsidR="00513AF8" w:rsidRPr="001F7677">
        <w:t xml:space="preserve"> efektīvi ievērotu DTA 6. panta 3. punktu, jo īpaši attiecībā uz pienākumu ļaut un tehniski nodrošināt galalietotājiem iespēju viegli mainīt noklusējuma iestatījumus </w:t>
      </w:r>
      <w:r w:rsidR="00513AF8" w:rsidRPr="001F7677">
        <w:rPr>
          <w:i/>
          <w:iCs/>
        </w:rPr>
        <w:t>Windows PC</w:t>
      </w:r>
      <w:r w:rsidR="00513AF8" w:rsidRPr="001F7677">
        <w:t xml:space="preserve"> operētājsistēmā un piekļūt konkurējošiem pakalpojumiem bez liekām neērtībām; norāda, ka </w:t>
      </w:r>
      <w:r w:rsidR="00513AF8" w:rsidRPr="001F7677">
        <w:rPr>
          <w:i/>
          <w:iCs/>
        </w:rPr>
        <w:t>Bing</w:t>
      </w:r>
      <w:r w:rsidR="00513AF8" w:rsidRPr="001F7677">
        <w:t xml:space="preserve"> kā tiešsaistes meklēšanas rezultātu noklusējuma sniedzēja integrēšana </w:t>
      </w:r>
      <w:r w:rsidR="00513AF8" w:rsidRPr="001F7677">
        <w:rPr>
          <w:i/>
          <w:iCs/>
        </w:rPr>
        <w:t>Windows</w:t>
      </w:r>
      <w:r w:rsidR="00513AF8" w:rsidRPr="001F7677">
        <w:t xml:space="preserve"> uzdevumjoslā un grūtības to nomainīt var nepamatoti virzīt lietotājus uz </w:t>
      </w:r>
      <w:r w:rsidR="00513AF8" w:rsidRPr="001F7677">
        <w:rPr>
          <w:i/>
          <w:iCs/>
        </w:rPr>
        <w:t>Microsoft</w:t>
      </w:r>
      <w:r w:rsidR="00513AF8" w:rsidRPr="001F7677">
        <w:t xml:space="preserve"> paša pakalpojumiem un ierobežot lietotāju faktisko izvēli; atgādina, ka </w:t>
      </w:r>
      <w:r w:rsidR="00513AF8" w:rsidRPr="001F7677">
        <w:rPr>
          <w:i/>
          <w:iCs/>
        </w:rPr>
        <w:t>Microsoft</w:t>
      </w:r>
      <w:r w:rsidR="00513AF8" w:rsidRPr="001F7677">
        <w:t xml:space="preserve"> ir iesniedzis Komisijai atbilstības pasākumus, bet pauž bažas par to praktisko ietekmi, tostarp par iespējamiem šķēršļiem efektīvai </w:t>
      </w:r>
      <w:proofErr w:type="spellStart"/>
      <w:r w:rsidR="00513AF8" w:rsidRPr="001F7677">
        <w:t>sadarbspējai</w:t>
      </w:r>
      <w:proofErr w:type="spellEnd"/>
      <w:r w:rsidR="00513AF8" w:rsidRPr="001F7677">
        <w:t xml:space="preserve"> </w:t>
      </w:r>
      <w:r w:rsidR="00513AF8" w:rsidRPr="001F7677">
        <w:rPr>
          <w:i/>
          <w:iCs/>
        </w:rPr>
        <w:t>Windows</w:t>
      </w:r>
      <w:r w:rsidR="00513AF8" w:rsidRPr="001F7677">
        <w:t xml:space="preserve"> ekosistēmā; atgādina, ka Komisijai arī turpmāk būtu rūpīgi jāizvērtē šie pasākumi, lai praksē nodrošinātu lietotāju efektīvu izvēli un godīgu un konkurētspējīgu vidi trešo personu pakalpojumu sniedzējiem, jo īpaši gadījumos, kad ierobežota vai lēna lietojumprogrammu </w:t>
      </w:r>
      <w:proofErr w:type="spellStart"/>
      <w:r w:rsidR="00513AF8" w:rsidRPr="001F7677">
        <w:t>saskarnes</w:t>
      </w:r>
      <w:proofErr w:type="spellEnd"/>
      <w:r w:rsidR="00513AF8" w:rsidRPr="001F7677">
        <w:t xml:space="preserve"> (</w:t>
      </w:r>
      <w:r w:rsidR="00513AF8" w:rsidRPr="001F7677">
        <w:rPr>
          <w:i/>
          <w:iCs/>
        </w:rPr>
        <w:t>API</w:t>
      </w:r>
      <w:r w:rsidR="00513AF8" w:rsidRPr="001F7677">
        <w:t xml:space="preserve">) pieejamība pakalpojumiem, kas nav </w:t>
      </w:r>
      <w:r w:rsidR="00513AF8" w:rsidRPr="001F7677">
        <w:rPr>
          <w:i/>
          <w:iCs/>
        </w:rPr>
        <w:t>Microsoft</w:t>
      </w:r>
      <w:r w:rsidR="00513AF8" w:rsidRPr="001F7677">
        <w:t xml:space="preserve"> pakalpojumi, var traucēt trešo personu izstrādātājiem nodrošināt galalietotājiem līdzvērtīgu pieredzi;</w:t>
      </w:r>
    </w:p>
    <w:p w14:paraId="40F874D7" w14:textId="4AA07619" w:rsidR="00513AF8" w:rsidRPr="001F7677" w:rsidRDefault="00F7708E" w:rsidP="00513AF8">
      <w:pPr>
        <w:pStyle w:val="NormalHanging12a"/>
      </w:pPr>
      <w:r w:rsidRPr="001F7677">
        <w:t>19</w:t>
      </w:r>
      <w:r w:rsidR="00513AF8" w:rsidRPr="001F7677">
        <w:t>.</w:t>
      </w:r>
      <w:r w:rsidR="00513AF8" w:rsidRPr="001F7677">
        <w:tab/>
        <w:t xml:space="preserve">ar bažām norāda uz dažādu ceļojumu nozarē ieinteresēto personu ziņojumiem par pastāvīgi augstām komisijas maksām un to, ka </w:t>
      </w:r>
      <w:r w:rsidR="00513AF8" w:rsidRPr="001F7677">
        <w:rPr>
          <w:i/>
          <w:iCs/>
        </w:rPr>
        <w:t>Booking.com</w:t>
      </w:r>
      <w:r w:rsidR="00513AF8" w:rsidRPr="001F7677">
        <w:t xml:space="preserve"> turpina izmantot praksi, kas šķiet līdzvērtīga aizliegtajām paritātes klauzulām, tostarp viesnīcu darbības programmas, kuru pamatā ir nepārredzami kritēriji, un pastāvīgās grūtības atteikties no </w:t>
      </w:r>
      <w:r w:rsidR="00513AF8" w:rsidRPr="001F7677">
        <w:rPr>
          <w:i/>
          <w:iCs/>
        </w:rPr>
        <w:t>Booking.com</w:t>
      </w:r>
      <w:r w:rsidR="00513AF8" w:rsidRPr="001F7677">
        <w:t xml:space="preserve"> sponsorētajām maksājumu sistēmām; atgādina, ka valstu konkurences iestādes, tostarp Francijā un Spānijā, ir piemērojušas </w:t>
      </w:r>
      <w:r w:rsidR="00513AF8" w:rsidRPr="001F7677">
        <w:rPr>
          <w:i/>
          <w:iCs/>
        </w:rPr>
        <w:t>Booking.com</w:t>
      </w:r>
      <w:r w:rsidR="00513AF8" w:rsidRPr="001F7677">
        <w:t xml:space="preserve"> sankcijas saistībā ar paritātes klauzulām; aicina Komisiju novērtēt pašreizējo sāncensības līmeni tiešsaistes ceļojumu nozarē kopš </w:t>
      </w:r>
      <w:r w:rsidR="00513AF8" w:rsidRPr="001F7677">
        <w:rPr>
          <w:i/>
          <w:iCs/>
        </w:rPr>
        <w:t>Booking.com</w:t>
      </w:r>
      <w:r w:rsidR="00513AF8" w:rsidRPr="001F7677">
        <w:t xml:space="preserve"> noteikšanas par vārtzini un attiecīgi izlēmīgi rīkoties;</w:t>
      </w:r>
    </w:p>
    <w:p w14:paraId="16A7350C" w14:textId="08DF7DF8" w:rsidR="00513AF8" w:rsidRPr="001F7677" w:rsidRDefault="00F7708E" w:rsidP="00513AF8">
      <w:pPr>
        <w:pStyle w:val="NormalHanging12a"/>
      </w:pPr>
      <w:r w:rsidRPr="001F7677">
        <w:t>20</w:t>
      </w:r>
      <w:r w:rsidR="00513AF8" w:rsidRPr="001F7677">
        <w:t>.</w:t>
      </w:r>
      <w:r w:rsidR="00513AF8" w:rsidRPr="001F7677">
        <w:tab/>
        <w:t xml:space="preserve">norāda, ka uzņēmums </w:t>
      </w:r>
      <w:r w:rsidR="00513AF8" w:rsidRPr="001F7677">
        <w:rPr>
          <w:i/>
          <w:iCs/>
        </w:rPr>
        <w:t>Meta</w:t>
      </w:r>
      <w:r w:rsidR="00513AF8" w:rsidRPr="001F7677">
        <w:t xml:space="preserve"> ir īstenojis savu jauno trešo iespēju “maksā vai piekrīti”, kas ierobežo personalizētu reklāmu un kas tika uzsākta 2025. gada jūlijā pēc Komisijas 2025. gada aprīlī uzliktā naudas soda; aicina Komisiju nodrošināt, ka </w:t>
      </w:r>
      <w:r w:rsidR="00513AF8" w:rsidRPr="001F7677">
        <w:rPr>
          <w:i/>
          <w:iCs/>
        </w:rPr>
        <w:t>Meta</w:t>
      </w:r>
      <w:r w:rsidR="00513AF8" w:rsidRPr="001F7677">
        <w:t xml:space="preserve"> tagad patiešām nodrošina lietotājiem neitrālu izvēli, ka trešo personu piekļuve </w:t>
      </w:r>
      <w:r w:rsidR="00513AF8" w:rsidRPr="001F7677">
        <w:rPr>
          <w:i/>
          <w:iCs/>
        </w:rPr>
        <w:t>Meta</w:t>
      </w:r>
      <w:r w:rsidR="00513AF8" w:rsidRPr="001F7677">
        <w:t xml:space="preserve"> pakalpojumiem ir taisnīga un netraucēta un ka jebkāda DTA prasību apiešana tiek stingri pārbaudīta un attiecīgā gadījumā sodīta;</w:t>
      </w:r>
    </w:p>
    <w:p w14:paraId="27AAD824" w14:textId="00F04141" w:rsidR="00513AF8" w:rsidRPr="001F7677" w:rsidRDefault="00F7708E" w:rsidP="00513AF8">
      <w:pPr>
        <w:pStyle w:val="NormalHanging12a"/>
      </w:pPr>
      <w:r w:rsidRPr="001F7677">
        <w:t>21</w:t>
      </w:r>
      <w:r w:rsidR="00513AF8" w:rsidRPr="001F7677">
        <w:t>.</w:t>
      </w:r>
      <w:r w:rsidR="00513AF8" w:rsidRPr="001F7677">
        <w:tab/>
        <w:t xml:space="preserve">pauž bažas par praksi attiecībā uz </w:t>
      </w:r>
      <w:proofErr w:type="spellStart"/>
      <w:r w:rsidR="00513AF8" w:rsidRPr="001F7677">
        <w:t>hibrīdtelevīziju</w:t>
      </w:r>
      <w:proofErr w:type="spellEnd"/>
      <w:r w:rsidR="00513AF8" w:rsidRPr="001F7677">
        <w:t xml:space="preserve">, kas atkārto </w:t>
      </w:r>
      <w:proofErr w:type="spellStart"/>
      <w:r w:rsidR="00513AF8" w:rsidRPr="001F7677">
        <w:t>nekonkurētpējīgo</w:t>
      </w:r>
      <w:proofErr w:type="spellEnd"/>
      <w:r w:rsidR="00513AF8" w:rsidRPr="001F7677">
        <w:t xml:space="preserve"> praksi, kuru iepriekš viedtālruņos īstenoja </w:t>
      </w:r>
      <w:proofErr w:type="spellStart"/>
      <w:r w:rsidR="00513AF8" w:rsidRPr="001F7677">
        <w:rPr>
          <w:i/>
          <w:iCs/>
        </w:rPr>
        <w:t>Android</w:t>
      </w:r>
      <w:proofErr w:type="spellEnd"/>
      <w:r w:rsidR="00513AF8" w:rsidRPr="001F7677">
        <w:t xml:space="preserve">; uzsver, ka piekļuvi audiovizuālo mediju pakalpojumiem </w:t>
      </w:r>
      <w:proofErr w:type="spellStart"/>
      <w:r w:rsidR="00513AF8" w:rsidRPr="001F7677">
        <w:t>hibrīdtelevīzijā</w:t>
      </w:r>
      <w:proofErr w:type="spellEnd"/>
      <w:r w:rsidR="00513AF8" w:rsidRPr="001F7677">
        <w:t xml:space="preserve"> nedrīkst kontrolēt neliels skaits lielu tehnoloģiju uzņēmumu un ka atvērts, godīgs un </w:t>
      </w:r>
      <w:proofErr w:type="spellStart"/>
      <w:r w:rsidR="00513AF8" w:rsidRPr="001F7677">
        <w:t>sāncensīgs</w:t>
      </w:r>
      <w:proofErr w:type="spellEnd"/>
      <w:r w:rsidR="00513AF8" w:rsidRPr="001F7677">
        <w:t xml:space="preserve"> tirgus ir būtisks plurālistiskai un daudzveidīgai mediju videi; attiecībā uz </w:t>
      </w:r>
      <w:proofErr w:type="spellStart"/>
      <w:r w:rsidR="00513AF8" w:rsidRPr="001F7677">
        <w:t>hibrīdtelevīzijas</w:t>
      </w:r>
      <w:proofErr w:type="spellEnd"/>
      <w:r w:rsidR="00513AF8" w:rsidRPr="001F7677">
        <w:t xml:space="preserve"> operētājsistēmām uzsver, ka lielākie šādu operētājsistēmu nodrošinātāji kontrolē piekļuvi daudzpusējiem skatītāju, reklāmas un datu tirgiem; norāda, ka līdzīga vārtziņa kontrole pār lietotāju piekļuves punktiem var rasties citās savienotās vidēs, kurās operētājsistēmas vai virtuālie palīgi ir starpnieki piekļuvē pakalpojumiem, tostarp transportlīdzekļu informācijas un izklaides sistēmās; aicina Komisiju rūpīgi uzraudzīt šo tirgus segmentu un vajadzības gadījumā veikt atbilstīgus pasākumus;</w:t>
      </w:r>
    </w:p>
    <w:p w14:paraId="60329B31" w14:textId="1C0409E5" w:rsidR="00513AF8" w:rsidRPr="001F7677" w:rsidRDefault="00F7708E" w:rsidP="00513AF8">
      <w:pPr>
        <w:pStyle w:val="NormalHanging12a"/>
      </w:pPr>
      <w:r w:rsidRPr="001F7677">
        <w:lastRenderedPageBreak/>
        <w:t>22</w:t>
      </w:r>
      <w:r w:rsidR="00513AF8" w:rsidRPr="001F7677">
        <w:t>.</w:t>
      </w:r>
      <w:r w:rsidR="00513AF8" w:rsidRPr="001F7677">
        <w:tab/>
        <w:t xml:space="preserve">uzsver galalietotāju nozīmīgo lomu DTA mērķu sasniegšanā un norāda, ka ir svarīgi nodrošināt, lai lietotāja </w:t>
      </w:r>
      <w:proofErr w:type="spellStart"/>
      <w:r w:rsidR="00513AF8" w:rsidRPr="001F7677">
        <w:t>saskarnes</w:t>
      </w:r>
      <w:proofErr w:type="spellEnd"/>
      <w:r w:rsidR="00513AF8" w:rsidRPr="001F7677">
        <w:t xml:space="preserve">, piekrišanas mehānismi un izvēles arhitektūra būtu neitrāla, viegli lietojama, saprotama un </w:t>
      </w:r>
      <w:proofErr w:type="spellStart"/>
      <w:r w:rsidR="00513AF8" w:rsidRPr="001F7677">
        <w:t>nemanipulatīva</w:t>
      </w:r>
      <w:proofErr w:type="spellEnd"/>
      <w:r w:rsidR="00513AF8" w:rsidRPr="001F7677">
        <w:t>, lai lietotāji varētu efektīvi un bez liekiem sarežģījumiem īstenot savas tiesības;</w:t>
      </w:r>
    </w:p>
    <w:p w14:paraId="107896E6" w14:textId="61FC6145" w:rsidR="00513AF8" w:rsidRPr="001F7677" w:rsidRDefault="00F7708E" w:rsidP="00513AF8">
      <w:pPr>
        <w:pStyle w:val="NormalHanging12a"/>
      </w:pPr>
      <w:r w:rsidRPr="001F7677">
        <w:t>23</w:t>
      </w:r>
      <w:r w:rsidR="00513AF8" w:rsidRPr="001F7677">
        <w:t>.</w:t>
      </w:r>
      <w:r w:rsidR="00513AF8" w:rsidRPr="001F7677">
        <w:tab/>
        <w:t xml:space="preserve">aicina Komisiju nodrošināt konsekventu un nākotnes prasībām atbilstošu DTA piemērošanu tehnoloģiju attīstībai, laikus risinot ar MI sniegtiem pakalpojumiem un mākoņa infrastruktūru saistītus jautājumus, lai novērstu jaunus klientu piesaistīšanas veidus vienam pārdevējam un noslēgtības vai vārtziņu prakses, tostarp kad vārtziņi kontrolē datus, </w:t>
      </w:r>
      <w:proofErr w:type="spellStart"/>
      <w:r w:rsidR="00513AF8" w:rsidRPr="001F7677">
        <w:t>datošanas</w:t>
      </w:r>
      <w:proofErr w:type="spellEnd"/>
      <w:r w:rsidR="00513AF8" w:rsidRPr="001F7677">
        <w:t xml:space="preserve"> resursus vai integrētus pakalpojumus, kaitējot jauniem MI izstrādātājiem un inovatīviem tirgus </w:t>
      </w:r>
      <w:proofErr w:type="spellStart"/>
      <w:r w:rsidR="00513AF8" w:rsidRPr="001F7677">
        <w:t>jaunpienācējiem</w:t>
      </w:r>
      <w:proofErr w:type="spellEnd"/>
      <w:r w:rsidR="00513AF8" w:rsidRPr="001F7677">
        <w:t>;</w:t>
      </w:r>
    </w:p>
    <w:p w14:paraId="7D419ED6" w14:textId="2A2C798F" w:rsidR="00513AF8" w:rsidRPr="001F7677" w:rsidRDefault="00F7708E" w:rsidP="00513AF8">
      <w:pPr>
        <w:pStyle w:val="NormalHanging12a"/>
      </w:pPr>
      <w:r w:rsidRPr="001F7677">
        <w:t>24</w:t>
      </w:r>
      <w:r w:rsidR="00513AF8" w:rsidRPr="001F7677">
        <w:t>.</w:t>
      </w:r>
      <w:r w:rsidR="00513AF8" w:rsidRPr="001F7677">
        <w:tab/>
        <w:t xml:space="preserve">Aicina Komisiju nodrošināt </w:t>
      </w:r>
      <w:proofErr w:type="spellStart"/>
      <w:r w:rsidR="00513AF8" w:rsidRPr="001F7677">
        <w:t>papildināmību</w:t>
      </w:r>
      <w:proofErr w:type="spellEnd"/>
      <w:r w:rsidR="00513AF8" w:rsidRPr="001F7677">
        <w:t>, saskaņotību un juridisko noteiktību starp DTA, Datu aktu un Mākslīgā intelekta aktu</w:t>
      </w:r>
      <w:r w:rsidR="00513AF8" w:rsidRPr="001F7677">
        <w:rPr>
          <w:rStyle w:val="FootnoteReference"/>
        </w:rPr>
        <w:footnoteReference w:id="13"/>
      </w:r>
      <w:r w:rsidR="00513AF8" w:rsidRPr="001F7677">
        <w:t>, tostarp izmantojot koordinētus norādījumus un īstenošanu;</w:t>
      </w:r>
    </w:p>
    <w:p w14:paraId="59777B2A" w14:textId="5A556EBE" w:rsidR="00513AF8" w:rsidRPr="001F7677" w:rsidRDefault="00F7708E" w:rsidP="00513AF8">
      <w:pPr>
        <w:pStyle w:val="NormalHanging12a"/>
      </w:pPr>
      <w:r w:rsidRPr="001F7677">
        <w:t>25</w:t>
      </w:r>
      <w:r w:rsidR="00513AF8" w:rsidRPr="001F7677">
        <w:t>.</w:t>
      </w:r>
      <w:r w:rsidR="00513AF8" w:rsidRPr="001F7677">
        <w:tab/>
        <w:t>atzinīgi vērtē Komisijas pirmos lēmumus par neatbilstību saskaņā ar DTA, kas ir svarīgs solis ceļā uz efektīvas izpildes nodrošināšanu, taču pauž nožēlu par to, ka šo lēmumu darbības joma joprojām ir ierobežota un tie vēl nerisina visu problemātisko vārtziņu praksi, ko konstatējuši komerciālie lietotāji un citas ieinteresētās personas; turklāt pauž nožēlu par to, ka uzliktie naudas sodi ir salīdzinoši pieticīgi salīdzinājumā ar pārkāpumu mērogu un noteikto vārtziņu ekonomisko varu, riskējot ar nepietiekamu atturošu ietekmi un neatspoguļojot regulas vērienīgumu; uzsver, ka vispārējam izpildes satvaram būtu jānodrošina, ka paredzamās neatbilstības izmaksas, tostarp naudas sodi un periodiskie soda maksājumi, jau no paša sākuma sistemātiski pārsniedz atbilstības nodrošināšanas izmaksas, lai novērstu stratēģisku kavēšanos un nodrošinātu patiesi atturošu ietekmi;</w:t>
      </w:r>
    </w:p>
    <w:p w14:paraId="57BCEB2C" w14:textId="1A866783" w:rsidR="00513AF8" w:rsidRPr="001F7677" w:rsidRDefault="00F7708E" w:rsidP="00513AF8">
      <w:pPr>
        <w:pStyle w:val="NormalHanging12a"/>
      </w:pPr>
      <w:r w:rsidRPr="001F7677">
        <w:t>26</w:t>
      </w:r>
      <w:r w:rsidR="00513AF8" w:rsidRPr="001F7677">
        <w:t>.</w:t>
      </w:r>
      <w:r w:rsidR="00513AF8" w:rsidRPr="001F7677">
        <w:tab/>
        <w:t xml:space="preserve">aicina Komisiju, ņemot vērā </w:t>
      </w:r>
      <w:proofErr w:type="spellStart"/>
      <w:r w:rsidR="00513AF8" w:rsidRPr="001F7677">
        <w:t>mākoņdatošanas</w:t>
      </w:r>
      <w:proofErr w:type="spellEnd"/>
      <w:r w:rsidR="00513AF8" w:rsidRPr="001F7677">
        <w:t xml:space="preserve"> pakalpojumu pieaugošo stratēģisko nozīmi un to lomu digitālajās un MI ekosistēmās, rūpīgi izvērtēt, vai šādu pakalpojumu sniedzēji atbilst kritērijiem vārtziņa statusa noteikšanai saskaņā ar DTA, tostarp izmantojot tirgus apsekošanu; aicina Komisiju, veicot tirgus izpēti un novērtējot iespējamos apzīmējumus </w:t>
      </w:r>
      <w:proofErr w:type="spellStart"/>
      <w:r w:rsidR="00513AF8" w:rsidRPr="001F7677">
        <w:t>mākoņdatošanā</w:t>
      </w:r>
      <w:proofErr w:type="spellEnd"/>
      <w:r w:rsidR="00513AF8" w:rsidRPr="001F7677">
        <w:t xml:space="preserve">, konsekventi, pārredzami un uz pierādījumiem balstītā veidā piemērot DTA kritērijus visiem pakalpojumu sniedzējiem, ja to pamato tirgus rādītāji, lai izvairītos no konkurences izkropļojumiem un saglabātu inovāciju; atzinīgi vērtē Komisijas nesenos tirgus pētījumus par </w:t>
      </w:r>
      <w:proofErr w:type="spellStart"/>
      <w:r w:rsidR="00513AF8" w:rsidRPr="001F7677">
        <w:t>mākoņpakalpojumu</w:t>
      </w:r>
      <w:proofErr w:type="spellEnd"/>
      <w:r w:rsidR="00513AF8" w:rsidRPr="001F7677">
        <w:t xml:space="preserve"> sniedzējiem, piemēram, </w:t>
      </w:r>
      <w:proofErr w:type="spellStart"/>
      <w:r w:rsidR="00513AF8" w:rsidRPr="001F7677">
        <w:rPr>
          <w:i/>
          <w:iCs/>
        </w:rPr>
        <w:t>Amazon</w:t>
      </w:r>
      <w:proofErr w:type="spellEnd"/>
      <w:r w:rsidR="00513AF8" w:rsidRPr="001F7677">
        <w:rPr>
          <w:i/>
          <w:iCs/>
        </w:rPr>
        <w:t xml:space="preserve"> </w:t>
      </w:r>
      <w:proofErr w:type="spellStart"/>
      <w:r w:rsidR="00513AF8" w:rsidRPr="001F7677">
        <w:rPr>
          <w:i/>
          <w:iCs/>
        </w:rPr>
        <w:t>Web</w:t>
      </w:r>
      <w:proofErr w:type="spellEnd"/>
      <w:r w:rsidR="00513AF8" w:rsidRPr="001F7677">
        <w:rPr>
          <w:i/>
          <w:iCs/>
        </w:rPr>
        <w:t xml:space="preserve"> Services</w:t>
      </w:r>
      <w:r w:rsidR="00513AF8" w:rsidRPr="001F7677">
        <w:t xml:space="preserve"> un </w:t>
      </w:r>
      <w:r w:rsidR="00513AF8" w:rsidRPr="001F7677">
        <w:rPr>
          <w:i/>
          <w:iCs/>
        </w:rPr>
        <w:t xml:space="preserve">Microsoft </w:t>
      </w:r>
      <w:proofErr w:type="spellStart"/>
      <w:r w:rsidR="00513AF8" w:rsidRPr="001F7677">
        <w:rPr>
          <w:i/>
          <w:iCs/>
        </w:rPr>
        <w:t>Azure</w:t>
      </w:r>
      <w:proofErr w:type="spellEnd"/>
      <w:r w:rsidR="00513AF8" w:rsidRPr="001F7677">
        <w:t>;</w:t>
      </w:r>
    </w:p>
    <w:p w14:paraId="0596ECED" w14:textId="313DC310" w:rsidR="00513AF8" w:rsidRPr="001F7677" w:rsidRDefault="00F7708E" w:rsidP="00513AF8">
      <w:pPr>
        <w:pStyle w:val="NormalHanging12a"/>
      </w:pPr>
      <w:r w:rsidRPr="001F7677">
        <w:t>27</w:t>
      </w:r>
      <w:r w:rsidR="00513AF8" w:rsidRPr="001F7677">
        <w:t>.</w:t>
      </w:r>
      <w:r w:rsidR="00513AF8" w:rsidRPr="001F7677">
        <w:tab/>
        <w:t xml:space="preserve">uzsver, ka MI virzīti meklēšanas un asistenta rīki, ja tie tiek piedāvāti kā noteikti platformas pamatpakalpojumi vai to ietvaros, piemēram, </w:t>
      </w:r>
      <w:r w:rsidR="00513AF8" w:rsidRPr="001F7677">
        <w:rPr>
          <w:i/>
          <w:iCs/>
        </w:rPr>
        <w:t xml:space="preserve">Google AI </w:t>
      </w:r>
      <w:proofErr w:type="spellStart"/>
      <w:r w:rsidR="00513AF8" w:rsidRPr="001F7677">
        <w:rPr>
          <w:i/>
          <w:iCs/>
        </w:rPr>
        <w:t>Overviews</w:t>
      </w:r>
      <w:proofErr w:type="spellEnd"/>
      <w:r w:rsidR="00513AF8" w:rsidRPr="001F7677">
        <w:t xml:space="preserve">, </w:t>
      </w:r>
      <w:r w:rsidR="00513AF8" w:rsidRPr="001F7677">
        <w:rPr>
          <w:i/>
          <w:iCs/>
        </w:rPr>
        <w:t>Google Gemini</w:t>
      </w:r>
      <w:r w:rsidR="00513AF8" w:rsidRPr="001F7677">
        <w:t xml:space="preserve">, </w:t>
      </w:r>
      <w:proofErr w:type="spellStart"/>
      <w:r w:rsidR="00513AF8" w:rsidRPr="001F7677">
        <w:rPr>
          <w:i/>
          <w:iCs/>
        </w:rPr>
        <w:t>Apple</w:t>
      </w:r>
      <w:proofErr w:type="spellEnd"/>
      <w:r w:rsidR="00513AF8" w:rsidRPr="001F7677">
        <w:rPr>
          <w:i/>
          <w:iCs/>
        </w:rPr>
        <w:t xml:space="preserve"> </w:t>
      </w:r>
      <w:proofErr w:type="spellStart"/>
      <w:r w:rsidR="00513AF8" w:rsidRPr="001F7677">
        <w:rPr>
          <w:i/>
          <w:iCs/>
        </w:rPr>
        <w:t>Siri</w:t>
      </w:r>
      <w:proofErr w:type="spellEnd"/>
      <w:r w:rsidR="00513AF8" w:rsidRPr="001F7677">
        <w:t xml:space="preserve">, </w:t>
      </w:r>
      <w:r w:rsidR="00513AF8" w:rsidRPr="001F7677">
        <w:rPr>
          <w:i/>
          <w:iCs/>
        </w:rPr>
        <w:t xml:space="preserve">Meta </w:t>
      </w:r>
      <w:proofErr w:type="spellStart"/>
      <w:r w:rsidR="00513AF8" w:rsidRPr="001F7677">
        <w:rPr>
          <w:i/>
          <w:iCs/>
        </w:rPr>
        <w:t>WhatsApp</w:t>
      </w:r>
      <w:proofErr w:type="spellEnd"/>
      <w:r w:rsidR="00513AF8" w:rsidRPr="001F7677">
        <w:rPr>
          <w:i/>
          <w:iCs/>
        </w:rPr>
        <w:t xml:space="preserve"> AI</w:t>
      </w:r>
      <w:r w:rsidR="00513AF8" w:rsidRPr="001F7677">
        <w:t xml:space="preserve">, </w:t>
      </w:r>
      <w:proofErr w:type="spellStart"/>
      <w:r w:rsidR="00513AF8" w:rsidRPr="001F7677">
        <w:rPr>
          <w:i/>
          <w:iCs/>
        </w:rPr>
        <w:t>Amazon</w:t>
      </w:r>
      <w:proofErr w:type="spellEnd"/>
      <w:r w:rsidR="00513AF8" w:rsidRPr="001F7677">
        <w:rPr>
          <w:i/>
          <w:iCs/>
        </w:rPr>
        <w:t xml:space="preserve"> Rufus</w:t>
      </w:r>
      <w:r w:rsidR="00513AF8" w:rsidRPr="001F7677">
        <w:t xml:space="preserve"> vai </w:t>
      </w:r>
      <w:r w:rsidR="00513AF8" w:rsidRPr="001F7677">
        <w:rPr>
          <w:i/>
          <w:iCs/>
        </w:rPr>
        <w:t xml:space="preserve">Microsoft </w:t>
      </w:r>
      <w:proofErr w:type="spellStart"/>
      <w:r w:rsidR="00513AF8" w:rsidRPr="001F7677">
        <w:rPr>
          <w:i/>
          <w:iCs/>
        </w:rPr>
        <w:t>Copilot</w:t>
      </w:r>
      <w:proofErr w:type="spellEnd"/>
      <w:r w:rsidR="00513AF8" w:rsidRPr="001F7677">
        <w:t xml:space="preserve">, arvien vairāk kļūst par jaunām vārtejām uz informāciju, tirdzniecību un digitālajiem pakalpojumiem; aicina Komisiju savlaicīgi pārbaudīt, vai un kā vārtziņi šādas funkcijas izmanto tā, lai tās varētu apdraudēt apstrīdamību un taisnīgumu, tostarp izmantojot noklusējuma iestatījumus, iepriekšēju atlasi vai rezultātu diskriminējošu attēlošanu vai </w:t>
      </w:r>
      <w:r w:rsidR="00513AF8" w:rsidRPr="001F7677">
        <w:lastRenderedPageBreak/>
        <w:t>atlasi;</w:t>
      </w:r>
    </w:p>
    <w:p w14:paraId="0A0BEFD5" w14:textId="297118AD" w:rsidR="00513AF8" w:rsidRPr="001F7677" w:rsidRDefault="00F7708E" w:rsidP="00513AF8">
      <w:pPr>
        <w:pStyle w:val="NormalHanging12a"/>
      </w:pPr>
      <w:r w:rsidRPr="001F7677">
        <w:t>28</w:t>
      </w:r>
      <w:r w:rsidR="00513AF8" w:rsidRPr="001F7677">
        <w:t>.</w:t>
      </w:r>
      <w:r w:rsidR="00513AF8" w:rsidRPr="001F7677">
        <w:tab/>
        <w:t xml:space="preserve">uzsver, ka dažu vārtziņu integrētās digitālās ekosistēmas, ko veido vairāki platformas pamatpakalpojumi un saistītie pakalpojumi, var sniegt tiem strukturālas konkurences priekšrocības MI sistēmu izstrādē, apmācībā un ieviešanā, jo īpaši tad, ja piekļuvi liela mēroga </w:t>
      </w:r>
      <w:proofErr w:type="spellStart"/>
      <w:r w:rsidR="00513AF8" w:rsidRPr="001F7677">
        <w:t>daudzpakalpojumu</w:t>
      </w:r>
      <w:proofErr w:type="spellEnd"/>
      <w:r w:rsidR="00513AF8" w:rsidRPr="001F7677">
        <w:t xml:space="preserve"> datu plūsmām, lietotāju </w:t>
      </w:r>
      <w:proofErr w:type="spellStart"/>
      <w:r w:rsidR="00513AF8" w:rsidRPr="001F7677">
        <w:t>saskarnēm</w:t>
      </w:r>
      <w:proofErr w:type="spellEnd"/>
      <w:r w:rsidR="00513AF8" w:rsidRPr="001F7677">
        <w:t>, izplatīšanas kanāliem vai papildu pakalpojumiem var izmantot visās ekosistēmās; tādēļ uzsver, ka ir stingri jāīsteno DTA 6. panta 10. punkts, lai nodrošinātu efektīvas datu piekļuves tiesības komerciālajiem lietotājiem un novērstu ekosistēmas mēroga datu priekšrocību izmantošanu tādā veidā, kas apdraud sāncensību un taisnīgumu, tostarp gadījumos, kad MI funkcijas ir integrētas platformas pamatpakalpojumos vai var kļūt par jaunām vārtejām uz informāciju, tirdzniecību un digitālajiem pakalpojumiem;</w:t>
      </w:r>
    </w:p>
    <w:p w14:paraId="06FC668B" w14:textId="72CC72D8" w:rsidR="00513AF8" w:rsidRPr="001F7677" w:rsidRDefault="00F7708E" w:rsidP="00513AF8">
      <w:pPr>
        <w:pStyle w:val="NormalHanging12a"/>
      </w:pPr>
      <w:r w:rsidRPr="001F7677">
        <w:t>29</w:t>
      </w:r>
      <w:r w:rsidR="00513AF8" w:rsidRPr="001F7677">
        <w:t>.</w:t>
      </w:r>
      <w:r w:rsidR="00513AF8" w:rsidRPr="001F7677">
        <w:tab/>
        <w:t>aicina Komisiju nodrošināt pietiekamus cilvēkresursus un finanšu resursus DTA izpildei saskaņā ar regulas darbības jomu, sarežģītību un stratēģisko nozīmi un aicina ievērojami palielināt darbinieku skaitu;</w:t>
      </w:r>
    </w:p>
    <w:p w14:paraId="1BF6A3C3" w14:textId="285ECC0B" w:rsidR="00513AF8" w:rsidRPr="001F7677" w:rsidRDefault="00F7708E" w:rsidP="00513AF8">
      <w:pPr>
        <w:pStyle w:val="NormalHanging12a"/>
      </w:pPr>
      <w:r w:rsidRPr="001F7677">
        <w:t>30</w:t>
      </w:r>
      <w:r w:rsidR="00513AF8" w:rsidRPr="001F7677">
        <w:t>.</w:t>
      </w:r>
      <w:r w:rsidR="00513AF8" w:rsidRPr="001F7677">
        <w:tab/>
        <w:t>sagaida, ka gaidāmā DTA pārskatīšana būs pārredzama un stingri balstīta uz izpildes pieredzi un pierādījumiem, kas gūti, to piemērojot, tostarp novērtējot reālos rezultātus lietotājiem un tirgiem, kā arī īstenošanas praktisko ietekmi uz patērētājiem, jo īpaši saistībā ar piekļuvi inovācijai, lietošanas ērtumu, privātumu un drošību, vienlaikus pienācīgi ņemot vērā tehnoloģisko attīstību un nepieciešamību nodrošināt, ka tiesiskais regulējums atbilst arī nākotnes prasībām; aicina Komisiju pārskatīšanas procesā īpaši ņemt vērā no MVU saņemtās atsauksmes;</w:t>
      </w:r>
    </w:p>
    <w:p w14:paraId="5FF52B55" w14:textId="57C69A56" w:rsidR="00513AF8" w:rsidRPr="001F7677" w:rsidRDefault="00F7708E" w:rsidP="00513AF8">
      <w:pPr>
        <w:pStyle w:val="NormalHanging12a"/>
      </w:pPr>
      <w:r w:rsidRPr="001F7677">
        <w:t>31</w:t>
      </w:r>
      <w:r w:rsidR="00513AF8" w:rsidRPr="001F7677">
        <w:t>.</w:t>
      </w:r>
      <w:r w:rsidR="00513AF8" w:rsidRPr="001F7677">
        <w:tab/>
        <w:t xml:space="preserve">uzsver, ka pārskatīšanā galvenā uzmanība būtu jāpievērš esošā regulējuma efektivitātes un </w:t>
      </w:r>
      <w:proofErr w:type="spellStart"/>
      <w:r w:rsidR="00513AF8" w:rsidRPr="001F7677">
        <w:t>izpildāmības</w:t>
      </w:r>
      <w:proofErr w:type="spellEnd"/>
      <w:r w:rsidR="00513AF8" w:rsidRPr="001F7677">
        <w:t xml:space="preserve"> stiprināšanai, vienlaikus risinot problēmas, ko rada strauji mainīgās tehnoloģijas un ekosistēmas, pilnībā izmantojot pilnvaras, kas pieejamas saskaņā ar pašreizējo regulējumu, tostarp vajadzības gadījumā sniedzot skaidrojumus un norādījumus, un jāizvairās no DTA pamatmērķu, darbības jomas vai arhitektūras atkārtotas pārskatīšanas, ja vien to nepamato pierādītas izpildes nepilnības vai nozīmīgas tirgus attīstības tendences;</w:t>
      </w:r>
    </w:p>
    <w:p w14:paraId="1625078F" w14:textId="3D0166DB" w:rsidR="00F7708E" w:rsidRPr="001F7677" w:rsidRDefault="00F7708E" w:rsidP="00513AF8">
      <w:pPr>
        <w:pStyle w:val="NormalHanging12a"/>
      </w:pPr>
      <w:r w:rsidRPr="001F7677">
        <w:t>32.</w:t>
      </w:r>
      <w:r w:rsidRPr="001F7677">
        <w:tab/>
        <w:t xml:space="preserve">uzsver, ka Digitālo tirgu akta efektīvai īstenošanai ir papildus jāizmanto vispārējā konkurences politika un visi pārējie ES tirdzniecības aizsardzības un tirgus uzraudzības instrumenti, jo sistēmiskus riskus taisnīgumam un ekonomiskajai drošībai var radīt arī darījumi, kas neietilpst Digitālo tirgu akta darbības jomā; šajā sakarībā norāda uz bažām par to, ka JD.com iegādājas uzņēmumu </w:t>
      </w:r>
      <w:proofErr w:type="spellStart"/>
      <w:r w:rsidRPr="001F7677">
        <w:t>Ceconomy</w:t>
      </w:r>
      <w:proofErr w:type="spellEnd"/>
      <w:r w:rsidRPr="001F7677">
        <w:t xml:space="preserve"> AG, kā rezultātā kontrole pār lielu Eiropas mazumtirdzniecības un izplatīšanas tīklu tiks nodota struktūrai ārpus ES, radot risku, ka trešās valstis varētu piekļūt </w:t>
      </w:r>
      <w:proofErr w:type="spellStart"/>
      <w:r w:rsidRPr="001F7677">
        <w:t>sensitīviem</w:t>
      </w:r>
      <w:proofErr w:type="spellEnd"/>
      <w:r w:rsidRPr="001F7677">
        <w:t xml:space="preserve"> patērētāju datiem, un iespējamus izkropļojumus saistībā ar valsts atbalstītu finansiālo atbalstu; aicina Komisiju stingri piemērot Ārvalstu subsīdiju regulu</w:t>
      </w:r>
      <w:r w:rsidR="00DC34B9" w:rsidRPr="008C253D">
        <w:rPr>
          <w:rStyle w:val="FootnoteReference"/>
        </w:rPr>
        <w:footnoteReference w:id="14"/>
      </w:r>
      <w:r w:rsidRPr="001F7677">
        <w:t xml:space="preserve"> un izvērtēt visas ārvalstu subsīdijas, kas ir gan šā darījuma, gan turpmāko darījumu pamatā; aicina Komisiju saskaņā ar Ārvalstu tiešo ieguldījumu izvērtēšanas regulu</w:t>
      </w:r>
      <w:r w:rsidR="00DC34B9" w:rsidRPr="008C253D">
        <w:rPr>
          <w:rStyle w:val="FootnoteReference"/>
        </w:rPr>
        <w:footnoteReference w:id="15"/>
      </w:r>
      <w:r w:rsidRPr="001F7677">
        <w:t xml:space="preserve"> novērtēt riskus Eiropas patērētāju datiem un nodrošināt efektīvu datu lokalizāciju atbilstīgi ES datu suverenitātei un Digitālo tirgu akta izpildes satvaram;</w:t>
      </w:r>
    </w:p>
    <w:p w14:paraId="603D05DE" w14:textId="36FBA016" w:rsidR="00E365E1" w:rsidRPr="001F7677" w:rsidRDefault="00F7708E" w:rsidP="001F7677">
      <w:pPr>
        <w:pStyle w:val="NormalHanging12a"/>
      </w:pPr>
      <w:r w:rsidRPr="001F7677">
        <w:t>33</w:t>
      </w:r>
      <w:r w:rsidR="00513AF8" w:rsidRPr="001F7677">
        <w:t>.</w:t>
      </w:r>
      <w:r w:rsidR="00513AF8" w:rsidRPr="001F7677">
        <w:tab/>
        <w:t>uzdod priekšsēdētājai šo rezolūciju nosūtīt Komisijai.</w:t>
      </w:r>
    </w:p>
    <w:sectPr w:rsidR="00E365E1" w:rsidRPr="001F7677" w:rsidSect="006C66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B90F6" w14:textId="77777777" w:rsidR="00FC3B19" w:rsidRPr="006C660F" w:rsidRDefault="00FC3B19">
      <w:r w:rsidRPr="006C660F">
        <w:separator/>
      </w:r>
    </w:p>
  </w:endnote>
  <w:endnote w:type="continuationSeparator" w:id="0">
    <w:p w14:paraId="495D10B7" w14:textId="77777777" w:rsidR="00FC3B19" w:rsidRPr="006C660F" w:rsidRDefault="00FC3B19">
      <w:r w:rsidRPr="006C66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6B71" w14:textId="77777777" w:rsidR="00064002" w:rsidRPr="006C660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B75AC" w14:textId="77777777" w:rsidR="00064002" w:rsidRPr="006C660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7857B" w14:textId="77777777" w:rsidR="00064002" w:rsidRPr="006C66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95680" w14:textId="77777777" w:rsidR="00FC3B19" w:rsidRPr="006C660F" w:rsidRDefault="00FC3B19">
      <w:r w:rsidRPr="006C660F">
        <w:separator/>
      </w:r>
    </w:p>
  </w:footnote>
  <w:footnote w:type="continuationSeparator" w:id="0">
    <w:p w14:paraId="515C37BF" w14:textId="77777777" w:rsidR="00FC3B19" w:rsidRPr="006C660F" w:rsidRDefault="00FC3B19">
      <w:r w:rsidRPr="006C660F">
        <w:continuationSeparator/>
      </w:r>
    </w:p>
  </w:footnote>
  <w:footnote w:id="1">
    <w:p w14:paraId="0236B9E2" w14:textId="294B540E" w:rsidR="00513AF8" w:rsidRPr="006C660F" w:rsidRDefault="00513AF8" w:rsidP="006C660F">
      <w:pPr>
        <w:pStyle w:val="FootnoteText"/>
        <w:ind w:left="567" w:hanging="567"/>
        <w:rPr>
          <w:sz w:val="24"/>
          <w:lang w:val="lv-LV"/>
        </w:rPr>
      </w:pPr>
      <w:r w:rsidRPr="006C660F">
        <w:rPr>
          <w:rStyle w:val="FootnoteReference"/>
          <w:sz w:val="24"/>
          <w:lang w:val="lv-LV"/>
        </w:rPr>
        <w:footnoteRef/>
      </w:r>
      <w:r w:rsidR="006C660F" w:rsidRPr="006C660F">
        <w:rPr>
          <w:sz w:val="24"/>
          <w:lang w:val="lv-LV"/>
        </w:rPr>
        <w:t xml:space="preserve"> </w:t>
      </w:r>
      <w:r w:rsidR="006C660F" w:rsidRPr="006C660F">
        <w:rPr>
          <w:sz w:val="24"/>
          <w:lang w:val="lv-LV"/>
        </w:rPr>
        <w:tab/>
      </w:r>
      <w:r w:rsidRPr="006C660F">
        <w:rPr>
          <w:sz w:val="24"/>
          <w:lang w:val="lv-LV"/>
        </w:rPr>
        <w:t>OV L 265, 12.10.2022., 1. lpp., ELI: </w:t>
      </w:r>
      <w:hyperlink r:id="rId1" w:tooltip="Nodrošina piekļuvi šim dokumentam, izmantojot tā ELI URI." w:history="1">
        <w:r w:rsidR="00093FD2">
          <w:rPr>
            <w:rStyle w:val="Hyperlink"/>
            <w:sz w:val="24"/>
            <w:lang w:val="lv-LV"/>
          </w:rPr>
          <w:t>http://data.europa.eu/eli/reg/2022/1925/oj</w:t>
        </w:r>
      </w:hyperlink>
      <w:r w:rsidRPr="006C660F">
        <w:rPr>
          <w:sz w:val="24"/>
          <w:lang w:val="lv-LV"/>
        </w:rPr>
        <w:t>.</w:t>
      </w:r>
    </w:p>
  </w:footnote>
  <w:footnote w:id="2">
    <w:p w14:paraId="0885BF50" w14:textId="60D87203" w:rsidR="00513AF8" w:rsidRPr="006C660F" w:rsidRDefault="00513AF8" w:rsidP="006C660F">
      <w:pPr>
        <w:pStyle w:val="FootnoteText"/>
        <w:ind w:left="567" w:hanging="567"/>
        <w:rPr>
          <w:sz w:val="24"/>
          <w:lang w:val="lv-LV"/>
        </w:rPr>
      </w:pPr>
      <w:r w:rsidRPr="006C660F">
        <w:rPr>
          <w:rStyle w:val="FootnoteReference"/>
          <w:sz w:val="24"/>
          <w:lang w:val="lv-LV"/>
        </w:rPr>
        <w:footnoteRef/>
      </w:r>
      <w:r w:rsidR="006C660F" w:rsidRPr="006C660F">
        <w:rPr>
          <w:sz w:val="24"/>
          <w:lang w:val="lv-LV"/>
        </w:rPr>
        <w:t xml:space="preserve"> </w:t>
      </w:r>
      <w:r w:rsidR="006C660F" w:rsidRPr="006C660F">
        <w:rPr>
          <w:sz w:val="24"/>
          <w:lang w:val="lv-LV"/>
        </w:rPr>
        <w:tab/>
      </w:r>
      <w:r w:rsidRPr="006C660F">
        <w:rPr>
          <w:sz w:val="24"/>
          <w:lang w:val="lv-LV"/>
        </w:rPr>
        <w:t>OV C, C/2023/549, 27.10.2023., ELI: </w:t>
      </w:r>
      <w:hyperlink r:id="rId2" w:tgtFrame="_blank" w:tooltip="Nodrošina piekļuvi šim dokumentam, izmantojot tā ELI URI." w:history="1">
        <w:r w:rsidR="00093FD2">
          <w:rPr>
            <w:rStyle w:val="Hyperlink"/>
            <w:sz w:val="24"/>
            <w:lang w:val="lv-LV"/>
          </w:rPr>
          <w:t>http://data.europa.eu/eli/C/2023/549/oj</w:t>
        </w:r>
      </w:hyperlink>
      <w:r w:rsidRPr="006C660F">
        <w:rPr>
          <w:sz w:val="24"/>
          <w:lang w:val="lv-LV"/>
        </w:rPr>
        <w:t>.</w:t>
      </w:r>
    </w:p>
  </w:footnote>
  <w:footnote w:id="3">
    <w:p w14:paraId="0E0919FD" w14:textId="3153D7B8" w:rsidR="00513AF8" w:rsidRPr="006C660F" w:rsidRDefault="00513AF8" w:rsidP="006C660F">
      <w:pPr>
        <w:pStyle w:val="FootnoteText"/>
        <w:ind w:left="567" w:hanging="567"/>
        <w:rPr>
          <w:sz w:val="24"/>
          <w:lang w:val="lv-LV"/>
        </w:rPr>
      </w:pPr>
      <w:r w:rsidRPr="006C660F">
        <w:rPr>
          <w:rStyle w:val="FootnoteReference"/>
          <w:sz w:val="24"/>
          <w:lang w:val="lv-LV"/>
        </w:rPr>
        <w:footnoteRef/>
      </w:r>
      <w:r w:rsidR="006C660F" w:rsidRPr="006C660F">
        <w:rPr>
          <w:sz w:val="24"/>
          <w:lang w:val="lv-LV"/>
        </w:rPr>
        <w:t xml:space="preserve"> </w:t>
      </w:r>
      <w:r w:rsidR="006C660F" w:rsidRPr="006C660F">
        <w:rPr>
          <w:sz w:val="24"/>
          <w:lang w:val="lv-LV"/>
        </w:rPr>
        <w:tab/>
      </w:r>
      <w:r w:rsidRPr="006C660F">
        <w:rPr>
          <w:sz w:val="24"/>
          <w:lang w:val="lv-LV"/>
        </w:rPr>
        <w:t>OV C, C/2023/905, 15.11.2023., ELI: </w:t>
      </w:r>
      <w:hyperlink r:id="rId3" w:tgtFrame="_blank" w:tooltip="Nodrošina piekļuvi šim dokumentam, izmantojot tā ELI URI." w:history="1">
        <w:r w:rsidR="00093FD2">
          <w:rPr>
            <w:rStyle w:val="Hyperlink"/>
            <w:sz w:val="24"/>
            <w:lang w:val="lv-LV"/>
          </w:rPr>
          <w:t>http://data.europa.eu/eli/C/2023/905/oj</w:t>
        </w:r>
      </w:hyperlink>
      <w:r w:rsidRPr="006C660F">
        <w:rPr>
          <w:sz w:val="24"/>
          <w:lang w:val="lv-LV"/>
        </w:rPr>
        <w:t>.</w:t>
      </w:r>
    </w:p>
  </w:footnote>
  <w:footnote w:id="4">
    <w:p w14:paraId="0E36B2AE" w14:textId="43E3DA6D" w:rsidR="00513AF8" w:rsidRPr="006C660F" w:rsidRDefault="00513AF8" w:rsidP="006C660F">
      <w:pPr>
        <w:pStyle w:val="FootnoteText"/>
        <w:ind w:left="567" w:hanging="567"/>
        <w:rPr>
          <w:sz w:val="24"/>
          <w:lang w:val="lv-LV"/>
        </w:rPr>
      </w:pPr>
      <w:r w:rsidRPr="006C660F">
        <w:rPr>
          <w:rStyle w:val="FootnoteReference"/>
          <w:sz w:val="24"/>
          <w:lang w:val="lv-LV"/>
        </w:rPr>
        <w:footnoteRef/>
      </w:r>
      <w:r w:rsidR="006C660F" w:rsidRPr="006C660F">
        <w:rPr>
          <w:sz w:val="24"/>
          <w:lang w:val="lv-LV"/>
        </w:rPr>
        <w:t xml:space="preserve"> </w:t>
      </w:r>
      <w:r w:rsidR="006C660F" w:rsidRPr="006C660F">
        <w:rPr>
          <w:sz w:val="24"/>
          <w:lang w:val="lv-LV"/>
        </w:rPr>
        <w:tab/>
      </w:r>
      <w:r w:rsidRPr="006C660F">
        <w:rPr>
          <w:sz w:val="24"/>
          <w:lang w:val="lv-LV"/>
        </w:rPr>
        <w:t>OV C, C/2025/4646, 14.8.2025, ELI: </w:t>
      </w:r>
      <w:hyperlink r:id="rId4" w:tgtFrame="_blank" w:tooltip="Nodrošina piekļuvi šim dokumentam, izmantojot tā ELI URI." w:history="1">
        <w:r w:rsidR="00093FD2">
          <w:rPr>
            <w:rStyle w:val="Hyperlink"/>
            <w:sz w:val="24"/>
            <w:lang w:val="lv-LV"/>
          </w:rPr>
          <w:t>http://data.europa.eu/eli/C/2025/4646/oj</w:t>
        </w:r>
      </w:hyperlink>
      <w:r w:rsidRPr="006C660F">
        <w:rPr>
          <w:sz w:val="24"/>
          <w:lang w:val="lv-LV"/>
        </w:rPr>
        <w:t>.</w:t>
      </w:r>
    </w:p>
  </w:footnote>
  <w:footnote w:id="5">
    <w:p w14:paraId="63717525" w14:textId="3D78601A" w:rsidR="00513AF8" w:rsidRPr="006C660F" w:rsidRDefault="00513AF8" w:rsidP="006C660F">
      <w:pPr>
        <w:pStyle w:val="FootnoteText"/>
        <w:ind w:left="567" w:hanging="567"/>
        <w:rPr>
          <w:sz w:val="24"/>
          <w:lang w:val="lv-LV"/>
        </w:rPr>
      </w:pPr>
      <w:r w:rsidRPr="006C660F">
        <w:rPr>
          <w:rStyle w:val="FootnoteReference"/>
          <w:sz w:val="24"/>
          <w:lang w:val="lv-LV"/>
        </w:rPr>
        <w:footnoteRef/>
      </w:r>
      <w:r w:rsidR="006C660F" w:rsidRPr="006C660F">
        <w:rPr>
          <w:sz w:val="24"/>
          <w:lang w:val="lv-LV"/>
        </w:rPr>
        <w:t xml:space="preserve"> </w:t>
      </w:r>
      <w:r w:rsidR="006C660F" w:rsidRPr="006C660F">
        <w:rPr>
          <w:sz w:val="24"/>
          <w:lang w:val="lv-LV"/>
        </w:rPr>
        <w:tab/>
      </w:r>
      <w:r w:rsidRPr="006C660F">
        <w:rPr>
          <w:sz w:val="24"/>
          <w:lang w:val="lv-LV"/>
        </w:rPr>
        <w:t>OV C, C/2023/552, 27.10.2023., ELI: </w:t>
      </w:r>
      <w:hyperlink r:id="rId5" w:tgtFrame="_blank" w:tooltip="Nodrošina piekļuvi šim dokumentam, izmantojot tā ELI URI." w:history="1">
        <w:r w:rsidR="00093FD2">
          <w:rPr>
            <w:rStyle w:val="Hyperlink"/>
            <w:sz w:val="24"/>
            <w:lang w:val="lv-LV"/>
          </w:rPr>
          <w:t>http://data.europa.eu/eli/C/2023/552/oj</w:t>
        </w:r>
      </w:hyperlink>
      <w:r w:rsidRPr="006C660F">
        <w:rPr>
          <w:sz w:val="24"/>
          <w:lang w:val="lv-LV"/>
        </w:rPr>
        <w:t>.</w:t>
      </w:r>
    </w:p>
  </w:footnote>
  <w:footnote w:id="6">
    <w:p w14:paraId="12A7E9EB" w14:textId="16F8C8CA" w:rsidR="00513AF8" w:rsidRPr="006C660F" w:rsidRDefault="00513AF8" w:rsidP="006C660F">
      <w:pPr>
        <w:pStyle w:val="FootnoteText"/>
        <w:ind w:left="567" w:hanging="567"/>
        <w:rPr>
          <w:sz w:val="24"/>
          <w:lang w:val="lv-LV"/>
        </w:rPr>
      </w:pPr>
      <w:r w:rsidRPr="006C660F">
        <w:rPr>
          <w:rStyle w:val="FootnoteReference"/>
          <w:sz w:val="24"/>
          <w:lang w:val="lv-LV"/>
        </w:rPr>
        <w:footnoteRef/>
      </w:r>
      <w:r w:rsidR="006C660F" w:rsidRPr="006C660F">
        <w:rPr>
          <w:sz w:val="24"/>
          <w:lang w:val="lv-LV"/>
        </w:rPr>
        <w:t xml:space="preserve"> </w:t>
      </w:r>
      <w:r w:rsidR="006C660F" w:rsidRPr="006C660F">
        <w:rPr>
          <w:sz w:val="24"/>
          <w:lang w:val="lv-LV"/>
        </w:rPr>
        <w:tab/>
      </w:r>
      <w:r w:rsidRPr="006C660F">
        <w:rPr>
          <w:sz w:val="24"/>
          <w:lang w:val="lv-LV"/>
        </w:rPr>
        <w:t>OV C, C/2023/1092, 23.11.2023., ELI: </w:t>
      </w:r>
      <w:hyperlink r:id="rId6" w:tgtFrame="_blank" w:tooltip="Nodrošina piekļuvi šim dokumentam, izmantojot tā ELI URI." w:history="1">
        <w:r w:rsidR="00093FD2">
          <w:rPr>
            <w:rStyle w:val="Hyperlink"/>
            <w:sz w:val="24"/>
            <w:lang w:val="lv-LV"/>
          </w:rPr>
          <w:t>http://data.europa.eu/eli/C/2023/1092/oj</w:t>
        </w:r>
      </w:hyperlink>
      <w:r w:rsidRPr="006C660F">
        <w:rPr>
          <w:sz w:val="24"/>
          <w:lang w:val="lv-LV"/>
        </w:rPr>
        <w:t xml:space="preserve">. </w:t>
      </w:r>
    </w:p>
  </w:footnote>
  <w:footnote w:id="7">
    <w:p w14:paraId="4EC59385" w14:textId="6D135ADE" w:rsidR="00513AF8" w:rsidRPr="006C660F" w:rsidRDefault="00513AF8" w:rsidP="006C660F">
      <w:pPr>
        <w:pStyle w:val="FootnoteText"/>
        <w:ind w:left="567" w:hanging="567"/>
        <w:rPr>
          <w:sz w:val="24"/>
          <w:lang w:val="lv-LV"/>
        </w:rPr>
      </w:pPr>
      <w:r w:rsidRPr="006C660F">
        <w:rPr>
          <w:rStyle w:val="FootnoteReference"/>
          <w:sz w:val="24"/>
          <w:lang w:val="lv-LV"/>
        </w:rPr>
        <w:footnoteRef/>
      </w:r>
      <w:r w:rsidR="006C660F" w:rsidRPr="006C660F">
        <w:rPr>
          <w:sz w:val="24"/>
          <w:lang w:val="lv-LV"/>
        </w:rPr>
        <w:t xml:space="preserve"> </w:t>
      </w:r>
      <w:r w:rsidR="006C660F" w:rsidRPr="006C660F">
        <w:rPr>
          <w:sz w:val="24"/>
          <w:lang w:val="lv-LV"/>
        </w:rPr>
        <w:tab/>
      </w:r>
      <w:r w:rsidRPr="006C660F">
        <w:rPr>
          <w:sz w:val="24"/>
          <w:lang w:val="lv-LV"/>
        </w:rPr>
        <w:t>OV C, C/2023/551, 27.10.2023., ELI: </w:t>
      </w:r>
      <w:hyperlink r:id="rId7" w:tgtFrame="_blank" w:tooltip="Nodrošina piekļuvi šim dokumentam, izmantojot tā ELI URI." w:history="1">
        <w:r w:rsidR="00093FD2">
          <w:rPr>
            <w:rStyle w:val="Hyperlink"/>
            <w:sz w:val="24"/>
            <w:lang w:val="lv-LV"/>
          </w:rPr>
          <w:t>http://data.europa.eu/eli/C/2023/551/oj</w:t>
        </w:r>
      </w:hyperlink>
      <w:r w:rsidRPr="006C660F">
        <w:rPr>
          <w:sz w:val="24"/>
          <w:lang w:val="lv-LV"/>
        </w:rPr>
        <w:t xml:space="preserve">. </w:t>
      </w:r>
    </w:p>
  </w:footnote>
  <w:footnote w:id="8">
    <w:p w14:paraId="0CB9232C" w14:textId="3FE7F522" w:rsidR="00513AF8" w:rsidRPr="006C660F" w:rsidRDefault="00513AF8" w:rsidP="006C660F">
      <w:pPr>
        <w:pStyle w:val="FootnoteText"/>
        <w:ind w:left="567" w:hanging="567"/>
        <w:rPr>
          <w:sz w:val="24"/>
          <w:lang w:val="lv-LV"/>
        </w:rPr>
      </w:pPr>
      <w:r w:rsidRPr="006C660F">
        <w:rPr>
          <w:rStyle w:val="FootnoteReference"/>
          <w:sz w:val="24"/>
          <w:lang w:val="lv-LV"/>
        </w:rPr>
        <w:footnoteRef/>
      </w:r>
      <w:r w:rsidR="006C660F" w:rsidRPr="006C660F">
        <w:rPr>
          <w:sz w:val="24"/>
          <w:lang w:val="lv-LV"/>
        </w:rPr>
        <w:t xml:space="preserve"> </w:t>
      </w:r>
      <w:r w:rsidR="006C660F" w:rsidRPr="006C660F">
        <w:rPr>
          <w:sz w:val="24"/>
          <w:lang w:val="lv-LV"/>
        </w:rPr>
        <w:tab/>
      </w:r>
      <w:r w:rsidRPr="006C660F">
        <w:rPr>
          <w:sz w:val="24"/>
          <w:lang w:val="lv-LV"/>
        </w:rPr>
        <w:t>OV C, C/2024/4374, 4.7.2024., ELI: </w:t>
      </w:r>
      <w:hyperlink r:id="rId8" w:tgtFrame="_blank" w:tooltip="Nodrošina piekļuvi šim dokumentam, izmantojot tā ELI URI." w:history="1">
        <w:r w:rsidR="00093FD2">
          <w:rPr>
            <w:rStyle w:val="Hyperlink"/>
            <w:sz w:val="24"/>
            <w:lang w:val="lv-LV"/>
          </w:rPr>
          <w:t>http://data.europa.eu/eli/C/2024/4374/oj</w:t>
        </w:r>
      </w:hyperlink>
      <w:r w:rsidRPr="006C660F">
        <w:rPr>
          <w:sz w:val="24"/>
          <w:lang w:val="lv-LV"/>
        </w:rPr>
        <w:t xml:space="preserve">. </w:t>
      </w:r>
    </w:p>
  </w:footnote>
  <w:footnote w:id="9">
    <w:p w14:paraId="3586F7E5" w14:textId="27E7F89A" w:rsidR="00513AF8" w:rsidRPr="006C660F" w:rsidRDefault="00513AF8" w:rsidP="006C660F">
      <w:pPr>
        <w:pStyle w:val="FootnoteText"/>
        <w:ind w:left="567" w:hanging="567"/>
        <w:rPr>
          <w:sz w:val="24"/>
          <w:lang w:val="lv-LV"/>
        </w:rPr>
      </w:pPr>
      <w:r w:rsidRPr="006C660F">
        <w:rPr>
          <w:rStyle w:val="FootnoteReference"/>
          <w:sz w:val="24"/>
          <w:lang w:val="lv-LV"/>
        </w:rPr>
        <w:footnoteRef/>
      </w:r>
      <w:r w:rsidR="006C660F" w:rsidRPr="006C660F">
        <w:rPr>
          <w:sz w:val="24"/>
          <w:lang w:val="lv-LV"/>
        </w:rPr>
        <w:t xml:space="preserve"> </w:t>
      </w:r>
      <w:r w:rsidR="006C660F" w:rsidRPr="006C660F">
        <w:rPr>
          <w:sz w:val="24"/>
          <w:lang w:val="lv-LV"/>
        </w:rPr>
        <w:tab/>
      </w:r>
      <w:r w:rsidRPr="006C660F">
        <w:rPr>
          <w:sz w:val="24"/>
          <w:lang w:val="lv-LV"/>
        </w:rPr>
        <w:t>OV C, C/2024/4360, 4.7.2024., ELI: </w:t>
      </w:r>
      <w:hyperlink r:id="rId9" w:tgtFrame="_blank" w:tooltip="Nodrošina piekļuvi šim dokumentam, izmantojot tā ELI URI." w:history="1">
        <w:r w:rsidR="00093FD2">
          <w:rPr>
            <w:rStyle w:val="Hyperlink"/>
            <w:sz w:val="24"/>
            <w:lang w:val="lv-LV"/>
          </w:rPr>
          <w:t>http://data.europa.eu/eli/C/2024/4360/oj</w:t>
        </w:r>
      </w:hyperlink>
      <w:r w:rsidRPr="006C660F">
        <w:rPr>
          <w:sz w:val="24"/>
          <w:lang w:val="lv-LV"/>
        </w:rPr>
        <w:t>.</w:t>
      </w:r>
    </w:p>
  </w:footnote>
  <w:footnote w:id="10">
    <w:p w14:paraId="15E0ECC7" w14:textId="07D86D54" w:rsidR="00513AF8" w:rsidRPr="006C660F" w:rsidRDefault="00513AF8" w:rsidP="006C660F">
      <w:pPr>
        <w:pStyle w:val="FootnoteText"/>
        <w:ind w:left="567" w:hanging="567"/>
        <w:rPr>
          <w:sz w:val="24"/>
          <w:lang w:val="lv-LV"/>
        </w:rPr>
      </w:pPr>
      <w:r w:rsidRPr="006C660F">
        <w:rPr>
          <w:rStyle w:val="FootnoteReference"/>
          <w:sz w:val="24"/>
          <w:lang w:val="lv-LV"/>
        </w:rPr>
        <w:footnoteRef/>
      </w:r>
      <w:r w:rsidR="006C660F" w:rsidRPr="006C660F">
        <w:rPr>
          <w:sz w:val="24"/>
          <w:lang w:val="lv-LV"/>
        </w:rPr>
        <w:t xml:space="preserve"> </w:t>
      </w:r>
      <w:r w:rsidR="006C660F" w:rsidRPr="006C660F">
        <w:rPr>
          <w:sz w:val="24"/>
          <w:lang w:val="lv-LV"/>
        </w:rPr>
        <w:tab/>
      </w:r>
      <w:r w:rsidRPr="006C660F">
        <w:rPr>
          <w:sz w:val="24"/>
          <w:lang w:val="lv-LV"/>
        </w:rPr>
        <w:t>OV C, C/2025/3466, 27.6.2025</w:t>
      </w:r>
      <w:r w:rsidR="003310C5">
        <w:rPr>
          <w:sz w:val="24"/>
          <w:lang w:val="lv-LV"/>
        </w:rPr>
        <w:t>.</w:t>
      </w:r>
      <w:r w:rsidRPr="006C660F">
        <w:rPr>
          <w:sz w:val="24"/>
          <w:lang w:val="lv-LV"/>
        </w:rPr>
        <w:t>, ELI: </w:t>
      </w:r>
      <w:hyperlink r:id="rId10" w:tgtFrame="_blank" w:tooltip="Nodrošina piekļuvi šim dokumentam, izmantojot tā ELI URI." w:history="1">
        <w:r w:rsidR="00093FD2">
          <w:rPr>
            <w:rStyle w:val="Hyperlink"/>
            <w:sz w:val="24"/>
            <w:lang w:val="lv-LV"/>
          </w:rPr>
          <w:t>http://data.europa.eu/eli/C/2025/3466/oj</w:t>
        </w:r>
      </w:hyperlink>
      <w:r w:rsidRPr="006C660F">
        <w:rPr>
          <w:sz w:val="24"/>
          <w:lang w:val="lv-LV"/>
        </w:rPr>
        <w:t xml:space="preserve">. </w:t>
      </w:r>
    </w:p>
  </w:footnote>
  <w:footnote w:id="11">
    <w:p w14:paraId="70E846F0" w14:textId="0FD1FF39" w:rsidR="00513AF8" w:rsidRPr="006C660F" w:rsidRDefault="00513AF8" w:rsidP="006C660F">
      <w:pPr>
        <w:pStyle w:val="FootnoteText"/>
        <w:ind w:left="567" w:hanging="567"/>
        <w:rPr>
          <w:sz w:val="24"/>
          <w:lang w:val="lv-LV"/>
        </w:rPr>
      </w:pPr>
      <w:r w:rsidRPr="006C660F">
        <w:rPr>
          <w:rStyle w:val="FootnoteReference"/>
          <w:sz w:val="24"/>
          <w:lang w:val="lv-LV"/>
        </w:rPr>
        <w:footnoteRef/>
      </w:r>
      <w:r w:rsidR="006C660F" w:rsidRPr="006C660F">
        <w:rPr>
          <w:sz w:val="24"/>
          <w:lang w:val="lv-LV"/>
        </w:rPr>
        <w:t xml:space="preserve"> </w:t>
      </w:r>
      <w:r w:rsidR="006C660F" w:rsidRPr="006C660F">
        <w:rPr>
          <w:sz w:val="24"/>
          <w:lang w:val="lv-LV"/>
        </w:rPr>
        <w:tab/>
      </w:r>
      <w:r w:rsidRPr="006C660F">
        <w:rPr>
          <w:sz w:val="24"/>
          <w:lang w:val="lv-LV"/>
        </w:rPr>
        <w:t>OV L 102, 17.4.2023., 6. </w:t>
      </w:r>
      <w:r w:rsidRPr="006C660F">
        <w:rPr>
          <w:sz w:val="24"/>
          <w:lang w:val="lv-LV"/>
        </w:rPr>
        <w:t>lpp., ELI: </w:t>
      </w:r>
      <w:hyperlink r:id="rId11" w:tooltip="Nodrošina piekļuvi šim dokumentam, izmantojot tā ELI URI." w:history="1">
        <w:r w:rsidR="00093FD2">
          <w:rPr>
            <w:rStyle w:val="Hyperlink"/>
            <w:sz w:val="24"/>
            <w:lang w:val="lv-LV"/>
          </w:rPr>
          <w:t>http://data.europa.eu/eli/reg_impl/2023/814/oj</w:t>
        </w:r>
      </w:hyperlink>
      <w:r w:rsidRPr="006C660F">
        <w:rPr>
          <w:sz w:val="24"/>
          <w:lang w:val="lv-LV"/>
        </w:rPr>
        <w:t xml:space="preserve">. </w:t>
      </w:r>
    </w:p>
  </w:footnote>
  <w:footnote w:id="12">
    <w:p w14:paraId="19F64B51" w14:textId="1F584065" w:rsidR="00513AF8" w:rsidRPr="006C660F" w:rsidRDefault="00513AF8" w:rsidP="006C660F">
      <w:pPr>
        <w:pStyle w:val="FootnoteText"/>
        <w:ind w:left="567" w:hanging="567"/>
        <w:rPr>
          <w:sz w:val="24"/>
          <w:lang w:val="lv-LV"/>
        </w:rPr>
      </w:pPr>
      <w:r w:rsidRPr="006C660F">
        <w:rPr>
          <w:rStyle w:val="FootnoteReference"/>
          <w:sz w:val="24"/>
          <w:lang w:val="lv-LV"/>
        </w:rPr>
        <w:footnoteRef/>
      </w:r>
      <w:r w:rsidR="006C660F" w:rsidRPr="006C660F">
        <w:rPr>
          <w:sz w:val="24"/>
          <w:lang w:val="lv-LV"/>
        </w:rPr>
        <w:t xml:space="preserve"> </w:t>
      </w:r>
      <w:r w:rsidR="006C660F" w:rsidRPr="006C660F">
        <w:rPr>
          <w:sz w:val="24"/>
          <w:lang w:val="lv-LV"/>
        </w:rPr>
        <w:tab/>
      </w:r>
      <w:r w:rsidRPr="006C660F">
        <w:rPr>
          <w:sz w:val="24"/>
          <w:lang w:val="lv-LV"/>
        </w:rPr>
        <w:t>Eiropas Parlamenta un Padomes Regula (ES) 2023/2854 (2023. gada 13. </w:t>
      </w:r>
      <w:r w:rsidRPr="006C660F">
        <w:rPr>
          <w:sz w:val="24"/>
          <w:lang w:val="lv-LV"/>
        </w:rPr>
        <w:t xml:space="preserve">decembris) par saskaņotiem noteikumiem par taisnīgu piekļuvi datiem un to lietošanu un ar ko groza Regulu (ES) 2017/2394 un Direktīvu (ES) 2020/1828 (Datu akts) (OV L, 2023/2854, 22.12.2023., ELI: </w:t>
      </w:r>
      <w:hyperlink r:id="rId12" w:history="1">
        <w:r w:rsidR="00093FD2">
          <w:rPr>
            <w:rStyle w:val="Hyperlink"/>
            <w:sz w:val="24"/>
            <w:lang w:val="lv-LV"/>
          </w:rPr>
          <w:t>http://data.europa.eu/eli/reg/2023/2854/oj</w:t>
        </w:r>
      </w:hyperlink>
      <w:r w:rsidRPr="006C660F">
        <w:rPr>
          <w:sz w:val="24"/>
          <w:lang w:val="lv-LV"/>
        </w:rPr>
        <w:t>).</w:t>
      </w:r>
    </w:p>
  </w:footnote>
  <w:footnote w:id="13">
    <w:p w14:paraId="18B42C15" w14:textId="7E92AF9A" w:rsidR="00513AF8" w:rsidRPr="006C660F" w:rsidRDefault="00513AF8" w:rsidP="006C660F">
      <w:pPr>
        <w:pStyle w:val="FootnoteText"/>
        <w:ind w:left="567" w:hanging="567"/>
        <w:rPr>
          <w:sz w:val="24"/>
          <w:lang w:val="lv-LV"/>
        </w:rPr>
      </w:pPr>
      <w:r w:rsidRPr="006C660F">
        <w:rPr>
          <w:rStyle w:val="FootnoteReference"/>
          <w:sz w:val="24"/>
          <w:lang w:val="lv-LV"/>
        </w:rPr>
        <w:footnoteRef/>
      </w:r>
      <w:r w:rsidR="006C660F" w:rsidRPr="006C660F">
        <w:rPr>
          <w:sz w:val="24"/>
          <w:lang w:val="lv-LV"/>
        </w:rPr>
        <w:t xml:space="preserve"> </w:t>
      </w:r>
      <w:r w:rsidR="006C660F" w:rsidRPr="006C660F">
        <w:rPr>
          <w:sz w:val="24"/>
          <w:lang w:val="lv-LV"/>
        </w:rPr>
        <w:tab/>
      </w:r>
      <w:r w:rsidRPr="006C660F">
        <w:rPr>
          <w:sz w:val="24"/>
          <w:lang w:val="lv-LV"/>
        </w:rPr>
        <w:t>Eiropas Parlamenta un Padomes Regula (ES) 2024/1689 (2024. gada 13. jūnijs), ar ko nosaka saskaņotas normas mākslīgā intelekta jomā un groza Regulas (EK) Nr. 300/2008, (ES) Nr. 167/2013, (ES) Nr. </w:t>
      </w:r>
      <w:r w:rsidRPr="006C660F">
        <w:rPr>
          <w:sz w:val="24"/>
          <w:lang w:val="lv-LV"/>
        </w:rPr>
        <w:t xml:space="preserve">168/2013, (ES) 2018/858, (ES) 2018/1139 un (ES) 2019/2144 un Direktīvas 2014/90/ES, (ES) 2016/797 un (ES) 2020/1828 (Mākslīgā intelekta akts) (OV L, 2024/1689, 12.7.2024., ELI: </w:t>
      </w:r>
      <w:hyperlink r:id="rId13" w:history="1">
        <w:r w:rsidR="00093FD2">
          <w:rPr>
            <w:rStyle w:val="Hyperlink"/>
            <w:sz w:val="24"/>
            <w:lang w:val="lv-LV"/>
          </w:rPr>
          <w:t>http://data.europa.eu/eli/reg/2024/1689/oj</w:t>
        </w:r>
      </w:hyperlink>
      <w:r w:rsidRPr="006C660F">
        <w:rPr>
          <w:sz w:val="24"/>
          <w:lang w:val="lv-LV"/>
        </w:rPr>
        <w:t>).</w:t>
      </w:r>
    </w:p>
  </w:footnote>
  <w:footnote w:id="14">
    <w:p w14:paraId="4AFEF16E" w14:textId="76783CB9" w:rsidR="00DC34B9" w:rsidRPr="008C253D" w:rsidRDefault="00DC34B9" w:rsidP="00DC34B9">
      <w:pPr>
        <w:pStyle w:val="FootnoteText"/>
        <w:ind w:left="567" w:hanging="567"/>
        <w:rPr>
          <w:sz w:val="24"/>
          <w:szCs w:val="24"/>
          <w:lang w:val="en-GB"/>
        </w:rPr>
      </w:pPr>
      <w:r w:rsidRPr="008C253D">
        <w:rPr>
          <w:rStyle w:val="FootnoteReference"/>
          <w:sz w:val="24"/>
          <w:szCs w:val="24"/>
        </w:rPr>
        <w:footnoteRef/>
      </w:r>
      <w:r w:rsidRPr="008C253D">
        <w:rPr>
          <w:sz w:val="24"/>
          <w:szCs w:val="24"/>
          <w:lang w:val="en-GB"/>
        </w:rPr>
        <w:t xml:space="preserve"> </w:t>
      </w:r>
      <w:r w:rsidRPr="008C253D">
        <w:rPr>
          <w:sz w:val="24"/>
          <w:szCs w:val="24"/>
          <w:lang w:val="en-GB"/>
        </w:rPr>
        <w:tab/>
      </w:r>
      <w:r w:rsidRPr="00DC34B9">
        <w:rPr>
          <w:sz w:val="24"/>
          <w:szCs w:val="24"/>
          <w:lang w:val="lv-LV"/>
        </w:rPr>
        <w:t>Eiropas Parlamenta un Padomes Regula (ES) 2022/2560 (2022. gada 14. decembris) par ārvalstu subsīdijām, kas izkropļo iekšējo tirgu</w:t>
      </w:r>
      <w:r w:rsidRPr="008C253D">
        <w:rPr>
          <w:sz w:val="24"/>
          <w:szCs w:val="24"/>
          <w:lang w:val="en-GB"/>
        </w:rPr>
        <w:t xml:space="preserve"> (O</w:t>
      </w:r>
      <w:r>
        <w:rPr>
          <w:sz w:val="24"/>
          <w:szCs w:val="24"/>
          <w:lang w:val="en-GB"/>
        </w:rPr>
        <w:t>V</w:t>
      </w:r>
      <w:r w:rsidRPr="008C253D">
        <w:rPr>
          <w:sz w:val="24"/>
          <w:szCs w:val="24"/>
          <w:lang w:val="en-GB"/>
        </w:rPr>
        <w:t xml:space="preserve"> L 330, 23.12.2022</w:t>
      </w:r>
      <w:r>
        <w:rPr>
          <w:sz w:val="24"/>
          <w:szCs w:val="24"/>
          <w:lang w:val="en-GB"/>
        </w:rPr>
        <w:t>.</w:t>
      </w:r>
      <w:r w:rsidRPr="008C253D">
        <w:rPr>
          <w:sz w:val="24"/>
          <w:szCs w:val="24"/>
          <w:lang w:val="en-GB"/>
        </w:rPr>
        <w:t>, 1</w:t>
      </w:r>
      <w:r>
        <w:rPr>
          <w:sz w:val="24"/>
          <w:szCs w:val="24"/>
          <w:lang w:val="en-GB"/>
        </w:rPr>
        <w:t>. </w:t>
      </w:r>
      <w:proofErr w:type="spellStart"/>
      <w:r>
        <w:rPr>
          <w:sz w:val="24"/>
          <w:szCs w:val="24"/>
          <w:lang w:val="en-GB"/>
        </w:rPr>
        <w:t>lpp</w:t>
      </w:r>
      <w:proofErr w:type="spellEnd"/>
      <w:r>
        <w:rPr>
          <w:sz w:val="24"/>
          <w:szCs w:val="24"/>
          <w:lang w:val="en-GB"/>
        </w:rPr>
        <w:t>.</w:t>
      </w:r>
      <w:r w:rsidRPr="008C253D">
        <w:rPr>
          <w:sz w:val="24"/>
          <w:szCs w:val="24"/>
          <w:lang w:val="en-GB"/>
        </w:rPr>
        <w:t xml:space="preserve">, ELI: </w:t>
      </w:r>
      <w:hyperlink r:id="rId14" w:history="1">
        <w:r w:rsidRPr="008C253D">
          <w:rPr>
            <w:rStyle w:val="Hyperlink"/>
            <w:sz w:val="24"/>
            <w:szCs w:val="24"/>
            <w:lang w:val="en-GB"/>
          </w:rPr>
          <w:t>http://data</w:t>
        </w:r>
        <w:r w:rsidRPr="008C253D">
          <w:rPr>
            <w:rStyle w:val="Hyperlink"/>
            <w:sz w:val="24"/>
            <w:szCs w:val="24"/>
            <w:lang w:val="en-GB"/>
          </w:rPr>
          <w:t>.europa.eu/eli/reg/2022/2560/oj</w:t>
        </w:r>
      </w:hyperlink>
      <w:r w:rsidRPr="008C253D">
        <w:rPr>
          <w:sz w:val="24"/>
          <w:szCs w:val="24"/>
          <w:lang w:val="en-GB"/>
        </w:rPr>
        <w:t>).</w:t>
      </w:r>
    </w:p>
  </w:footnote>
  <w:footnote w:id="15">
    <w:p w14:paraId="79D3BFFD" w14:textId="7DC44320" w:rsidR="00DC34B9" w:rsidRPr="008C253D" w:rsidRDefault="00DC34B9" w:rsidP="00DC34B9">
      <w:pPr>
        <w:pStyle w:val="FootnoteText"/>
        <w:ind w:left="567" w:hanging="567"/>
        <w:rPr>
          <w:sz w:val="24"/>
          <w:szCs w:val="24"/>
          <w:lang w:val="en-GB"/>
        </w:rPr>
      </w:pPr>
      <w:r w:rsidRPr="008C253D">
        <w:rPr>
          <w:rStyle w:val="FootnoteReference"/>
          <w:sz w:val="24"/>
          <w:szCs w:val="24"/>
        </w:rPr>
        <w:footnoteRef/>
      </w:r>
      <w:r w:rsidRPr="008C253D">
        <w:rPr>
          <w:sz w:val="24"/>
          <w:szCs w:val="24"/>
          <w:lang w:val="en-GB"/>
        </w:rPr>
        <w:t xml:space="preserve"> </w:t>
      </w:r>
      <w:r w:rsidRPr="008C253D">
        <w:rPr>
          <w:sz w:val="24"/>
          <w:szCs w:val="24"/>
          <w:lang w:val="en-GB"/>
        </w:rPr>
        <w:tab/>
      </w:r>
      <w:r w:rsidR="008A14FA" w:rsidRPr="008A14FA">
        <w:rPr>
          <w:sz w:val="24"/>
          <w:szCs w:val="24"/>
          <w:lang w:val="lv-LV"/>
        </w:rPr>
        <w:t>Eiropas Parlamenta un Padomes Regula (ES) 2019/452 (2019.</w:t>
      </w:r>
      <w:r w:rsidR="008A14FA">
        <w:rPr>
          <w:sz w:val="24"/>
          <w:szCs w:val="24"/>
          <w:lang w:val="lv-LV"/>
        </w:rPr>
        <w:t> </w:t>
      </w:r>
      <w:r w:rsidR="008A14FA" w:rsidRPr="008A14FA">
        <w:rPr>
          <w:sz w:val="24"/>
          <w:szCs w:val="24"/>
          <w:lang w:val="lv-LV"/>
        </w:rPr>
        <w:t>gada 19.</w:t>
      </w:r>
      <w:r w:rsidR="008A14FA">
        <w:rPr>
          <w:sz w:val="24"/>
          <w:szCs w:val="24"/>
          <w:lang w:val="lv-LV"/>
        </w:rPr>
        <w:t> </w:t>
      </w:r>
      <w:r w:rsidR="008A14FA" w:rsidRPr="008A14FA">
        <w:rPr>
          <w:sz w:val="24"/>
          <w:szCs w:val="24"/>
          <w:lang w:val="lv-LV"/>
        </w:rPr>
        <w:t>marts), ar ko izveido regulējumu ārvalstu tiešo ieguldījumu Savienībā izvērtēšanai</w:t>
      </w:r>
      <w:r w:rsidRPr="008C253D">
        <w:rPr>
          <w:sz w:val="24"/>
          <w:szCs w:val="24"/>
          <w:lang w:val="en-GB"/>
        </w:rPr>
        <w:t xml:space="preserve"> (O</w:t>
      </w:r>
      <w:r w:rsidR="008A14FA">
        <w:rPr>
          <w:sz w:val="24"/>
          <w:szCs w:val="24"/>
          <w:lang w:val="en-GB"/>
        </w:rPr>
        <w:t>V</w:t>
      </w:r>
      <w:r w:rsidRPr="008C253D">
        <w:rPr>
          <w:sz w:val="24"/>
          <w:szCs w:val="24"/>
          <w:lang w:val="en-GB"/>
        </w:rPr>
        <w:t xml:space="preserve"> L 79</w:t>
      </w:r>
      <w:r>
        <w:rPr>
          <w:sz w:val="24"/>
          <w:szCs w:val="24"/>
          <w:lang w:val="en-GB"/>
        </w:rPr>
        <w:t xml:space="preserve"> </w:t>
      </w:r>
      <w:r w:rsidRPr="008C253D">
        <w:rPr>
          <w:sz w:val="24"/>
          <w:szCs w:val="24"/>
          <w:lang w:val="en-GB"/>
        </w:rPr>
        <w:t>I, 21.3.2019</w:t>
      </w:r>
      <w:r w:rsidR="008A14FA">
        <w:rPr>
          <w:sz w:val="24"/>
          <w:szCs w:val="24"/>
          <w:lang w:val="en-GB"/>
        </w:rPr>
        <w:t>.</w:t>
      </w:r>
      <w:r w:rsidRPr="008C253D">
        <w:rPr>
          <w:sz w:val="24"/>
          <w:szCs w:val="24"/>
          <w:lang w:val="en-GB"/>
        </w:rPr>
        <w:t>, 1</w:t>
      </w:r>
      <w:r w:rsidR="008A14FA">
        <w:rPr>
          <w:sz w:val="24"/>
          <w:szCs w:val="24"/>
          <w:lang w:val="en-GB"/>
        </w:rPr>
        <w:t>. </w:t>
      </w:r>
      <w:proofErr w:type="spellStart"/>
      <w:r w:rsidR="008A14FA">
        <w:rPr>
          <w:sz w:val="24"/>
          <w:szCs w:val="24"/>
          <w:lang w:val="en-GB"/>
        </w:rPr>
        <w:t>lpp</w:t>
      </w:r>
      <w:proofErr w:type="spellEnd"/>
      <w:r w:rsidR="008A14FA">
        <w:rPr>
          <w:sz w:val="24"/>
          <w:szCs w:val="24"/>
          <w:lang w:val="en-GB"/>
        </w:rPr>
        <w:t>.</w:t>
      </w:r>
      <w:r w:rsidRPr="008C253D">
        <w:rPr>
          <w:sz w:val="24"/>
          <w:szCs w:val="24"/>
          <w:lang w:val="en-GB"/>
        </w:rPr>
        <w:t xml:space="preserve">, ELI: </w:t>
      </w:r>
      <w:hyperlink r:id="rId15" w:history="1">
        <w:r w:rsidRPr="008C253D">
          <w:rPr>
            <w:rStyle w:val="Hyperlink"/>
            <w:sz w:val="24"/>
            <w:szCs w:val="24"/>
            <w:lang w:val="en-GB"/>
          </w:rPr>
          <w:t>http://data.europa.eu/eli/reg/2019/452/oj</w:t>
        </w:r>
      </w:hyperlink>
      <w:r w:rsidRPr="008C253D">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8118" w14:textId="77777777" w:rsidR="00064002" w:rsidRPr="006C660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03F3D" w14:textId="77777777" w:rsidR="00064002" w:rsidRPr="006C660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2CAAB" w14:textId="77777777" w:rsidR="00064002" w:rsidRPr="006C66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6834210">
    <w:abstractNumId w:val="9"/>
  </w:num>
  <w:num w:numId="2" w16cid:durableId="373817975">
    <w:abstractNumId w:val="9"/>
  </w:num>
  <w:num w:numId="3" w16cid:durableId="649213749">
    <w:abstractNumId w:val="7"/>
  </w:num>
  <w:num w:numId="4" w16cid:durableId="1959335642">
    <w:abstractNumId w:val="7"/>
  </w:num>
  <w:num w:numId="5" w16cid:durableId="28259207">
    <w:abstractNumId w:val="6"/>
  </w:num>
  <w:num w:numId="6" w16cid:durableId="1662269702">
    <w:abstractNumId w:val="6"/>
  </w:num>
  <w:num w:numId="7" w16cid:durableId="55206751">
    <w:abstractNumId w:val="5"/>
  </w:num>
  <w:num w:numId="8" w16cid:durableId="276329505">
    <w:abstractNumId w:val="5"/>
  </w:num>
  <w:num w:numId="9" w16cid:durableId="1096831328">
    <w:abstractNumId w:val="4"/>
  </w:num>
  <w:num w:numId="10" w16cid:durableId="831260956">
    <w:abstractNumId w:val="4"/>
  </w:num>
  <w:num w:numId="11" w16cid:durableId="769205734">
    <w:abstractNumId w:val="8"/>
  </w:num>
  <w:num w:numId="12" w16cid:durableId="1728793967">
    <w:abstractNumId w:val="8"/>
  </w:num>
  <w:num w:numId="13" w16cid:durableId="537619247">
    <w:abstractNumId w:val="3"/>
  </w:num>
  <w:num w:numId="14" w16cid:durableId="1976637000">
    <w:abstractNumId w:val="3"/>
  </w:num>
  <w:num w:numId="15" w16cid:durableId="1188299641">
    <w:abstractNumId w:val="2"/>
  </w:num>
  <w:num w:numId="16" w16cid:durableId="448469988">
    <w:abstractNumId w:val="2"/>
  </w:num>
  <w:num w:numId="17" w16cid:durableId="1449658839">
    <w:abstractNumId w:val="1"/>
  </w:num>
  <w:num w:numId="18" w16cid:durableId="2011517131">
    <w:abstractNumId w:val="1"/>
  </w:num>
  <w:num w:numId="19" w16cid:durableId="1910456007">
    <w:abstractNumId w:val="0"/>
  </w:num>
  <w:num w:numId="20" w16cid:durableId="1780023469">
    <w:abstractNumId w:val="0"/>
  </w:num>
  <w:num w:numId="21" w16cid:durableId="1158577293">
    <w:abstractNumId w:val="9"/>
  </w:num>
  <w:num w:numId="22" w16cid:durableId="1420174398">
    <w:abstractNumId w:val="7"/>
  </w:num>
  <w:num w:numId="23" w16cid:durableId="1010333786">
    <w:abstractNumId w:val="6"/>
  </w:num>
  <w:num w:numId="24" w16cid:durableId="449860765">
    <w:abstractNumId w:val="5"/>
  </w:num>
  <w:num w:numId="25" w16cid:durableId="588777865">
    <w:abstractNumId w:val="4"/>
  </w:num>
  <w:num w:numId="26" w16cid:durableId="492450805">
    <w:abstractNumId w:val="8"/>
  </w:num>
  <w:num w:numId="27" w16cid:durableId="2105611844">
    <w:abstractNumId w:val="3"/>
  </w:num>
  <w:num w:numId="28" w16cid:durableId="1928462980">
    <w:abstractNumId w:val="2"/>
  </w:num>
  <w:num w:numId="29" w16cid:durableId="1155609453">
    <w:abstractNumId w:val="1"/>
  </w:num>
  <w:num w:numId="30" w16cid:durableId="25301186">
    <w:abstractNumId w:val="0"/>
  </w:num>
  <w:num w:numId="31" w16cid:durableId="1631207291">
    <w:abstractNumId w:val="9"/>
  </w:num>
  <w:num w:numId="32" w16cid:durableId="854343213">
    <w:abstractNumId w:val="7"/>
  </w:num>
  <w:num w:numId="33" w16cid:durableId="2093039253">
    <w:abstractNumId w:val="6"/>
  </w:num>
  <w:num w:numId="34" w16cid:durableId="30502916">
    <w:abstractNumId w:val="5"/>
  </w:num>
  <w:num w:numId="35" w16cid:durableId="1275556868">
    <w:abstractNumId w:val="4"/>
  </w:num>
  <w:num w:numId="36" w16cid:durableId="1384401320">
    <w:abstractNumId w:val="8"/>
  </w:num>
  <w:num w:numId="37" w16cid:durableId="1990353824">
    <w:abstractNumId w:val="3"/>
  </w:num>
  <w:num w:numId="38" w16cid:durableId="1652127480">
    <w:abstractNumId w:val="2"/>
  </w:num>
  <w:num w:numId="39" w16cid:durableId="535393085">
    <w:abstractNumId w:val="1"/>
  </w:num>
  <w:num w:numId="40" w16cid:durableId="298387568">
    <w:abstractNumId w:val="0"/>
  </w:num>
  <w:num w:numId="41" w16cid:durableId="385296516">
    <w:abstractNumId w:val="10"/>
  </w:num>
  <w:num w:numId="42" w16cid:durableId="1249926085">
    <w:abstractNumId w:val="10"/>
  </w:num>
  <w:num w:numId="43" w16cid:durableId="1071271096">
    <w:abstractNumId w:val="10"/>
  </w:num>
  <w:num w:numId="44" w16cid:durableId="4529873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0/2026"/>
    <w:docVar w:name="dvlangue" w:val="LV"/>
    <w:docVar w:name="dvnumam" w:val="0"/>
    <w:docVar w:name="dvpe" w:val="785.295"/>
    <w:docVar w:name="dvtitre" w:val="Eiropas Parlamenta 2026. gada XX. XXX  rezolūcija par Digitālo tirgu akta izpildes nodrošināšanu(2026/2596(RSP))"/>
  </w:docVars>
  <w:rsids>
    <w:rsidRoot w:val="00FC3B19"/>
    <w:rsid w:val="00002272"/>
    <w:rsid w:val="00064002"/>
    <w:rsid w:val="000677B9"/>
    <w:rsid w:val="000831BA"/>
    <w:rsid w:val="00093FD2"/>
    <w:rsid w:val="000A42CC"/>
    <w:rsid w:val="000E7DD9"/>
    <w:rsid w:val="0010095E"/>
    <w:rsid w:val="00125B37"/>
    <w:rsid w:val="00187494"/>
    <w:rsid w:val="001F32AE"/>
    <w:rsid w:val="001F7677"/>
    <w:rsid w:val="002767FF"/>
    <w:rsid w:val="002B18FE"/>
    <w:rsid w:val="002B5493"/>
    <w:rsid w:val="003310C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3AF8"/>
    <w:rsid w:val="00514517"/>
    <w:rsid w:val="00545827"/>
    <w:rsid w:val="00560270"/>
    <w:rsid w:val="005C2568"/>
    <w:rsid w:val="005E00DA"/>
    <w:rsid w:val="005F1B17"/>
    <w:rsid w:val="006037C0"/>
    <w:rsid w:val="006631B6"/>
    <w:rsid w:val="00680577"/>
    <w:rsid w:val="006C660F"/>
    <w:rsid w:val="006F3389"/>
    <w:rsid w:val="006F74FA"/>
    <w:rsid w:val="00731ADD"/>
    <w:rsid w:val="0073330F"/>
    <w:rsid w:val="00734777"/>
    <w:rsid w:val="00747932"/>
    <w:rsid w:val="00751A4A"/>
    <w:rsid w:val="00756632"/>
    <w:rsid w:val="00762C74"/>
    <w:rsid w:val="00786EC0"/>
    <w:rsid w:val="007D1690"/>
    <w:rsid w:val="007E22AD"/>
    <w:rsid w:val="00817416"/>
    <w:rsid w:val="00842779"/>
    <w:rsid w:val="00865F67"/>
    <w:rsid w:val="00881A7B"/>
    <w:rsid w:val="008840E5"/>
    <w:rsid w:val="008867B0"/>
    <w:rsid w:val="00887B3E"/>
    <w:rsid w:val="008A14FA"/>
    <w:rsid w:val="008C2AC6"/>
    <w:rsid w:val="00930C23"/>
    <w:rsid w:val="0093193B"/>
    <w:rsid w:val="009509D8"/>
    <w:rsid w:val="00950B64"/>
    <w:rsid w:val="00981893"/>
    <w:rsid w:val="00A1687D"/>
    <w:rsid w:val="00A43E52"/>
    <w:rsid w:val="00A4678D"/>
    <w:rsid w:val="00A56737"/>
    <w:rsid w:val="00A778C7"/>
    <w:rsid w:val="00AB441E"/>
    <w:rsid w:val="00AB6293"/>
    <w:rsid w:val="00AE0928"/>
    <w:rsid w:val="00AE36E1"/>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34B9"/>
    <w:rsid w:val="00E365E1"/>
    <w:rsid w:val="00E820A4"/>
    <w:rsid w:val="00EB006A"/>
    <w:rsid w:val="00EB4772"/>
    <w:rsid w:val="00ED169E"/>
    <w:rsid w:val="00ED4235"/>
    <w:rsid w:val="00F04346"/>
    <w:rsid w:val="00F075DC"/>
    <w:rsid w:val="00F149E9"/>
    <w:rsid w:val="00F5134D"/>
    <w:rsid w:val="00F74202"/>
    <w:rsid w:val="00F7708E"/>
    <w:rsid w:val="00F87713"/>
    <w:rsid w:val="00FB4360"/>
    <w:rsid w:val="00FC3B1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927429"/>
  <w15:chartTrackingRefBased/>
  <w15:docId w15:val="{63443110-10B7-484B-A6A1-C183205CA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13AF8"/>
    <w:pPr>
      <w:spacing w:before="480" w:after="240"/>
    </w:pPr>
  </w:style>
  <w:style w:type="paragraph" w:customStyle="1" w:styleId="NormalBold">
    <w:name w:val="NormalBold"/>
    <w:basedOn w:val="Normal"/>
    <w:rsid w:val="00513AF8"/>
    <w:rPr>
      <w:b/>
    </w:rPr>
  </w:style>
  <w:style w:type="paragraph" w:customStyle="1" w:styleId="NormalHanging12a">
    <w:name w:val="NormalHanging12a"/>
    <w:basedOn w:val="Normal"/>
    <w:rsid w:val="00513AF8"/>
    <w:pPr>
      <w:spacing w:after="240"/>
      <w:ind w:left="567" w:hanging="567"/>
    </w:pPr>
  </w:style>
  <w:style w:type="character" w:styleId="Hyperlink">
    <w:name w:val="Hyperlink"/>
    <w:basedOn w:val="DefaultParagraphFont"/>
    <w:uiPriority w:val="99"/>
    <w:unhideWhenUsed/>
    <w:rsid w:val="00513AF8"/>
    <w:rPr>
      <w:color w:val="0563C1" w:themeColor="hyperlink"/>
      <w:u w:val="single"/>
    </w:rPr>
  </w:style>
  <w:style w:type="paragraph" w:styleId="Revision">
    <w:name w:val="Revision"/>
    <w:hidden/>
    <w:uiPriority w:val="99"/>
    <w:semiHidden/>
    <w:rsid w:val="008867B0"/>
    <w:rPr>
      <w:sz w:val="24"/>
      <w:lang w:val="lv-LV"/>
    </w:rPr>
  </w:style>
  <w:style w:type="character" w:styleId="FollowedHyperlink">
    <w:name w:val="FollowedHyperlink"/>
    <w:basedOn w:val="DefaultParagraphFont"/>
    <w:rsid w:val="00DC34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374/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C/2023/905/oj" TargetMode="External"/><Relationship Id="rId7" Type="http://schemas.openxmlformats.org/officeDocument/2006/relationships/hyperlink" Target="http://data.europa.eu/eli/C/2023/551/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C/2023/549/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C/2023/1092/oj" TargetMode="External"/><Relationship Id="rId11" Type="http://schemas.openxmlformats.org/officeDocument/2006/relationships/hyperlink" Target="http://data.europa.eu/eli/reg_impl/2023/814/oj" TargetMode="External"/><Relationship Id="rId5" Type="http://schemas.openxmlformats.org/officeDocument/2006/relationships/hyperlink" Target="http://data.europa.eu/eli/C/2023/552/oj" TargetMode="External"/><Relationship Id="rId15" Type="http://schemas.openxmlformats.org/officeDocument/2006/relationships/hyperlink" Target="http://data.europa.eu/eli/reg/2019/452/oj" TargetMode="External"/><Relationship Id="rId10" Type="http://schemas.openxmlformats.org/officeDocument/2006/relationships/hyperlink" Target="http://data.europa.eu/eli/C/2025/3466/oj" TargetMode="External"/><Relationship Id="rId4" Type="http://schemas.openxmlformats.org/officeDocument/2006/relationships/hyperlink" Target="http://data.europa.eu/eli/C/2025/4646/oj" TargetMode="External"/><Relationship Id="rId9" Type="http://schemas.openxmlformats.org/officeDocument/2006/relationships/hyperlink" Target="http://data.europa.eu/eli/C/2024/4360/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3550</Words>
  <Characters>24085</Characters>
  <Application>Microsoft Office Word</Application>
  <DocSecurity>0</DocSecurity>
  <Lines>422</Lines>
  <Paragraphs>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PINTANE Daiga</cp:lastModifiedBy>
  <cp:revision>2</cp:revision>
  <cp:lastPrinted>2004-11-19T15:42:00Z</cp:lastPrinted>
  <dcterms:created xsi:type="dcterms:W3CDTF">2026-06-04T09:51:00Z</dcterms:created>
  <dcterms:modified xsi:type="dcterms:W3CDTF">2026-06-04T09:51:00Z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B10-0190/2026</vt:lpwstr>
  </property>
  <property fmtid="{D5CDD505-2E9C-101B-9397-08002B2CF9AE}" pid="4" name="&lt;Type&gt;">
    <vt:lpwstr>RR</vt:lpwstr>
  </property>
</Properties>
</file>