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203" w14:paraId="5A987D01" w14:textId="77777777" w:rsidTr="0010095E">
        <w:trPr>
          <w:trHeight w:hRule="exact" w:val="1418"/>
        </w:trPr>
        <w:tc>
          <w:tcPr>
            <w:tcW w:w="6804" w:type="dxa"/>
            <w:shd w:val="clear" w:color="auto" w:fill="auto"/>
            <w:vAlign w:val="center"/>
          </w:tcPr>
          <w:p w14:paraId="7375CB7B" w14:textId="77777777" w:rsidR="00751A4A" w:rsidRPr="00202203" w:rsidRDefault="000217E7" w:rsidP="0010095E">
            <w:pPr>
              <w:pStyle w:val="EPName"/>
            </w:pPr>
            <w:r w:rsidRPr="00202203">
              <w:t>Europees Parlement</w:t>
            </w:r>
          </w:p>
          <w:p w14:paraId="090C2F3D" w14:textId="77777777" w:rsidR="00751A4A" w:rsidRPr="00202203" w:rsidRDefault="005F1B17" w:rsidP="005F1B17">
            <w:pPr>
              <w:pStyle w:val="EPTerm"/>
              <w:rPr>
                <w:rStyle w:val="HideTWBExt"/>
                <w:noProof w:val="0"/>
                <w:vanish w:val="0"/>
                <w:color w:val="auto"/>
              </w:rPr>
            </w:pPr>
            <w:r w:rsidRPr="00202203">
              <w:t>2024</w:t>
            </w:r>
            <w:r w:rsidR="00817416" w:rsidRPr="00202203">
              <w:t>-202</w:t>
            </w:r>
            <w:r w:rsidRPr="00202203">
              <w:t>9</w:t>
            </w:r>
          </w:p>
        </w:tc>
        <w:tc>
          <w:tcPr>
            <w:tcW w:w="2268" w:type="dxa"/>
            <w:shd w:val="clear" w:color="auto" w:fill="auto"/>
          </w:tcPr>
          <w:p w14:paraId="337CECE3" w14:textId="77777777" w:rsidR="00751A4A" w:rsidRPr="00202203" w:rsidRDefault="00187494" w:rsidP="0010095E">
            <w:pPr>
              <w:pStyle w:val="EPLogo"/>
            </w:pPr>
            <w:r w:rsidRPr="00202203">
              <w:rPr>
                <w:noProof/>
                <w:lang w:eastAsia="ja-JP"/>
              </w:rPr>
              <w:drawing>
                <wp:inline distT="0" distB="0" distL="0" distR="0" wp14:anchorId="0C673765" wp14:editId="6EC4DA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08693" w14:textId="77777777" w:rsidR="00D058B8" w:rsidRPr="00202203" w:rsidRDefault="00D058B8" w:rsidP="004C5D52">
      <w:pPr>
        <w:pStyle w:val="LineTop"/>
      </w:pPr>
    </w:p>
    <w:p w14:paraId="5A378EDE" w14:textId="77777777" w:rsidR="00680577" w:rsidRPr="00202203" w:rsidRDefault="000217E7" w:rsidP="00680577">
      <w:pPr>
        <w:pStyle w:val="EPBodyTA1"/>
      </w:pPr>
      <w:r w:rsidRPr="00202203">
        <w:t>AANGENOMEN TEKSTEN</w:t>
      </w:r>
    </w:p>
    <w:p w14:paraId="2070AFD8" w14:textId="77777777" w:rsidR="00D058B8" w:rsidRPr="00202203" w:rsidRDefault="00D058B8" w:rsidP="00D058B8">
      <w:pPr>
        <w:pStyle w:val="LineBottom"/>
      </w:pPr>
    </w:p>
    <w:p w14:paraId="1E16B91A" w14:textId="75AE7D87" w:rsidR="000217E7" w:rsidRPr="00202203" w:rsidRDefault="000217E7" w:rsidP="000217E7">
      <w:pPr>
        <w:pStyle w:val="ATHeading1"/>
      </w:pPr>
      <w:bookmarkStart w:id="0" w:name="TANumber"/>
      <w:r w:rsidRPr="00202203">
        <w:t>P10_TA(2026)0</w:t>
      </w:r>
      <w:bookmarkEnd w:id="0"/>
      <w:r w:rsidR="00F2054D">
        <w:t>160</w:t>
      </w:r>
    </w:p>
    <w:p w14:paraId="68C7E6CC" w14:textId="77777777" w:rsidR="000217E7" w:rsidRPr="00202203" w:rsidRDefault="000217E7" w:rsidP="000217E7">
      <w:pPr>
        <w:pStyle w:val="ATHeading2"/>
      </w:pPr>
      <w:bookmarkStart w:id="1" w:name="title"/>
      <w:r w:rsidRPr="00202203">
        <w:t>Handhaving van de digitalemarktenverordening</w:t>
      </w:r>
      <w:bookmarkEnd w:id="1"/>
    </w:p>
    <w:p w14:paraId="57EDFD78" w14:textId="77777777" w:rsidR="000217E7" w:rsidRPr="00202203" w:rsidRDefault="000217E7" w:rsidP="000217E7">
      <w:pPr>
        <w:rPr>
          <w:i/>
          <w:vanish/>
        </w:rPr>
      </w:pPr>
      <w:r w:rsidRPr="00202203">
        <w:rPr>
          <w:i/>
        </w:rPr>
        <w:fldChar w:fldCharType="begin"/>
      </w:r>
      <w:r w:rsidRPr="00202203">
        <w:rPr>
          <w:i/>
        </w:rPr>
        <w:instrText xml:space="preserve"> TC"(</w:instrText>
      </w:r>
      <w:bookmarkStart w:id="2" w:name="DocNumber"/>
      <w:r w:rsidRPr="00202203">
        <w:rPr>
          <w:i/>
        </w:rPr>
        <w:instrText>B10-0190/2026</w:instrText>
      </w:r>
      <w:bookmarkEnd w:id="2"/>
      <w:r w:rsidRPr="00202203">
        <w:rPr>
          <w:i/>
        </w:rPr>
        <w:instrText xml:space="preserve">)"\l3 \n&gt; \* MERGEFORMAT </w:instrText>
      </w:r>
      <w:r w:rsidRPr="00202203">
        <w:rPr>
          <w:i/>
        </w:rPr>
        <w:fldChar w:fldCharType="end"/>
      </w:r>
    </w:p>
    <w:p w14:paraId="6021CADF" w14:textId="77777777" w:rsidR="000217E7" w:rsidRPr="00202203" w:rsidRDefault="000217E7" w:rsidP="000217E7">
      <w:pPr>
        <w:rPr>
          <w:vanish/>
        </w:rPr>
      </w:pPr>
      <w:bookmarkStart w:id="3" w:name="PE"/>
      <w:r w:rsidRPr="00202203">
        <w:rPr>
          <w:vanish/>
        </w:rPr>
        <w:t>PE785.295</w:t>
      </w:r>
      <w:bookmarkEnd w:id="3"/>
    </w:p>
    <w:p w14:paraId="0B70A488" w14:textId="0A1E9274" w:rsidR="000217E7" w:rsidRPr="00202203" w:rsidRDefault="000217E7" w:rsidP="000217E7">
      <w:pPr>
        <w:pStyle w:val="ATHeading3"/>
      </w:pPr>
      <w:bookmarkStart w:id="4" w:name="Sujet"/>
      <w:r w:rsidRPr="00202203">
        <w:t xml:space="preserve">Resolutie van het Europees Parlement van </w:t>
      </w:r>
      <w:r w:rsidR="00A11C99">
        <w:t>30</w:t>
      </w:r>
      <w:r w:rsidR="00A11C99" w:rsidRPr="00202203">
        <w:t xml:space="preserve"> </w:t>
      </w:r>
      <w:r w:rsidRPr="00202203">
        <w:t>april 2026 over de handhaving van de digitalemarktenverordening</w:t>
      </w:r>
      <w:bookmarkEnd w:id="4"/>
      <w:r w:rsidRPr="00202203">
        <w:t xml:space="preserve"> </w:t>
      </w:r>
      <w:bookmarkStart w:id="5" w:name="References"/>
      <w:r w:rsidRPr="00202203">
        <w:t>(2026/2596(RSP))</w:t>
      </w:r>
      <w:bookmarkEnd w:id="5"/>
    </w:p>
    <w:p w14:paraId="6EE3F5B4" w14:textId="77777777" w:rsidR="00AA5C91" w:rsidRPr="00202203" w:rsidRDefault="00AA5C91" w:rsidP="00AA5C91">
      <w:pPr>
        <w:pStyle w:val="EPComma"/>
      </w:pPr>
      <w:bookmarkStart w:id="6" w:name="TextBodyBegin"/>
      <w:bookmarkEnd w:id="6"/>
      <w:r w:rsidRPr="00202203">
        <w:rPr>
          <w:i/>
          <w:iCs/>
        </w:rPr>
        <w:t>Het Europees Parlement</w:t>
      </w:r>
      <w:r w:rsidRPr="00202203">
        <w:t>,</w:t>
      </w:r>
    </w:p>
    <w:p w14:paraId="3A55FC51" w14:textId="77777777" w:rsidR="00AA5C91" w:rsidRPr="00202203" w:rsidRDefault="00AA5C91" w:rsidP="00AA5C91">
      <w:pPr>
        <w:pStyle w:val="NormalHanging12a"/>
      </w:pPr>
      <w:r w:rsidRPr="00202203">
        <w:t>–</w:t>
      </w:r>
      <w:r w:rsidRPr="00202203">
        <w:tab/>
        <w:t>gezien Verordening (EU) 2022/1925 van het Europees Parlement en de Raad van 14 september 2022 over betwistbare en eerlijke markten in de digitale sector, en tot wijziging van Richtlijnen (EU) 2019/1937 en (EU) 2020/1828 (digitalemarktenverordening)</w:t>
      </w:r>
      <w:r w:rsidRPr="00202203">
        <w:rPr>
          <w:rStyle w:val="FootnoteReference"/>
        </w:rPr>
        <w:footnoteReference w:id="1"/>
      </w:r>
      <w:r w:rsidRPr="00202203">
        <w:t>, en met name artikel 53,</w:t>
      </w:r>
    </w:p>
    <w:p w14:paraId="0FBD8812" w14:textId="3BA99DE8" w:rsidR="00AA5C91" w:rsidRPr="00202203" w:rsidRDefault="00AA5C91" w:rsidP="00AA5C91">
      <w:pPr>
        <w:pStyle w:val="NormalHanging12a"/>
      </w:pPr>
      <w:r w:rsidRPr="00202203">
        <w:t>–</w:t>
      </w:r>
      <w:r w:rsidRPr="00202203">
        <w:tab/>
        <w:t xml:space="preserve">gezien de vraag aan de Commissie over de handhaving van de </w:t>
      </w:r>
      <w:proofErr w:type="spellStart"/>
      <w:r w:rsidRPr="00202203">
        <w:t>digitalemarktenverordening</w:t>
      </w:r>
      <w:proofErr w:type="spellEnd"/>
      <w:r w:rsidRPr="00202203">
        <w:t xml:space="preserve"> (O-</w:t>
      </w:r>
      <w:r w:rsidR="00A11C99" w:rsidRPr="00A11C99">
        <w:t>000016/2026</w:t>
      </w:r>
      <w:r w:rsidRPr="00202203">
        <w:t>– B10</w:t>
      </w:r>
      <w:r w:rsidRPr="00202203">
        <w:noBreakHyphen/>
      </w:r>
      <w:r w:rsidR="00A11C99" w:rsidRPr="00A11C99">
        <w:t>0010</w:t>
      </w:r>
      <w:r w:rsidRPr="00202203">
        <w:t>/2026),</w:t>
      </w:r>
    </w:p>
    <w:p w14:paraId="7519C971" w14:textId="77777777" w:rsidR="00AA5C91" w:rsidRPr="00202203" w:rsidRDefault="00AA5C91" w:rsidP="00AA5C91">
      <w:pPr>
        <w:pStyle w:val="NormalHanging12a"/>
        <w:rPr>
          <w:rFonts w:eastAsia="Aptos"/>
          <w:kern w:val="2"/>
          <w:szCs w:val="24"/>
          <w14:ligatures w14:val="standardContextual"/>
        </w:rPr>
      </w:pPr>
      <w:r w:rsidRPr="00202203">
        <w:t>–</w:t>
      </w:r>
      <w:r w:rsidRPr="00202203">
        <w:tab/>
        <w:t>gezien de besluiten van de Commissie van 6 september 2023, vastgesteld overeenkomstig artikel 3 van Verordening (EU) 2022/1925, waarbij Alphabet</w:t>
      </w:r>
      <w:r w:rsidRPr="00202203">
        <w:rPr>
          <w:rFonts w:eastAsia="MS Mincho"/>
          <w:vertAlign w:val="superscript"/>
          <w:lang w:eastAsia="en-US"/>
        </w:rPr>
        <w:footnoteReference w:id="2"/>
      </w:r>
      <w:r w:rsidRPr="00202203">
        <w:t>, Amazon</w:t>
      </w:r>
      <w:r w:rsidRPr="00202203">
        <w:rPr>
          <w:rFonts w:eastAsia="MS Mincho"/>
          <w:vertAlign w:val="superscript"/>
          <w:lang w:eastAsia="en-US"/>
        </w:rPr>
        <w:footnoteReference w:id="3"/>
      </w:r>
      <w:r w:rsidRPr="00202203">
        <w:t>, Apple</w:t>
      </w:r>
      <w:r w:rsidRPr="00202203">
        <w:rPr>
          <w:rFonts w:eastAsia="MS Mincho"/>
          <w:vertAlign w:val="superscript"/>
          <w:lang w:eastAsia="en-US"/>
        </w:rPr>
        <w:footnoteReference w:id="4"/>
      </w:r>
      <w:r w:rsidRPr="00202203">
        <w:t>, ByteDance</w:t>
      </w:r>
      <w:r w:rsidRPr="00202203">
        <w:rPr>
          <w:rFonts w:eastAsia="MS Mincho"/>
          <w:vertAlign w:val="superscript"/>
          <w:lang w:eastAsia="en-US"/>
        </w:rPr>
        <w:footnoteReference w:id="5"/>
      </w:r>
      <w:r w:rsidRPr="00202203">
        <w:t>, Meta</w:t>
      </w:r>
      <w:r w:rsidRPr="00202203">
        <w:rPr>
          <w:rFonts w:eastAsia="MS Mincho"/>
          <w:vertAlign w:val="superscript"/>
          <w:lang w:eastAsia="en-US"/>
        </w:rPr>
        <w:footnoteReference w:id="6"/>
      </w:r>
      <w:r w:rsidRPr="00202203">
        <w:t xml:space="preserve"> en Microsoft</w:t>
      </w:r>
      <w:r w:rsidRPr="00202203">
        <w:rPr>
          <w:rFonts w:eastAsia="MS Mincho"/>
          <w:vertAlign w:val="superscript"/>
          <w:lang w:eastAsia="en-US"/>
        </w:rPr>
        <w:footnoteReference w:id="7"/>
      </w:r>
      <w:r w:rsidRPr="00202203">
        <w:t xml:space="preserve"> worden aangewezen als poortwachters met betrekking tot een aantal kernplatformdiensten,</w:t>
      </w:r>
    </w:p>
    <w:p w14:paraId="7951E903" w14:textId="77777777" w:rsidR="00AA5C91" w:rsidRPr="00202203" w:rsidRDefault="00AA5C91" w:rsidP="00AA5C91">
      <w:pPr>
        <w:pStyle w:val="NormalHanging12a"/>
        <w:rPr>
          <w:rFonts w:eastAsia="Aptos"/>
          <w:kern w:val="2"/>
          <w:szCs w:val="24"/>
          <w14:ligatures w14:val="standardContextual"/>
        </w:rPr>
      </w:pPr>
      <w:r w:rsidRPr="00202203">
        <w:t>–</w:t>
      </w:r>
      <w:r w:rsidRPr="00202203">
        <w:tab/>
        <w:t>gezien het besluit van de Commissie van 29 april 2024</w:t>
      </w:r>
      <w:r w:rsidRPr="00202203">
        <w:rPr>
          <w:rFonts w:eastAsia="MS Mincho"/>
          <w:szCs w:val="24"/>
          <w:vertAlign w:val="superscript"/>
          <w:lang w:eastAsia="en-US"/>
        </w:rPr>
        <w:footnoteReference w:id="8"/>
      </w:r>
      <w:r w:rsidRPr="00202203">
        <w:t>, vastgesteld overeenkomstig artikel 3 van Verordening (EU) 2022/1925, waarbij het besturingssysteem iPadOS van Apple wordt aangewezen als kernplatformdienst,</w:t>
      </w:r>
    </w:p>
    <w:p w14:paraId="566506C2" w14:textId="77777777" w:rsidR="00AA5C91" w:rsidRPr="00202203" w:rsidRDefault="00AA5C91" w:rsidP="00AA5C91">
      <w:pPr>
        <w:pStyle w:val="NormalHanging12a"/>
        <w:rPr>
          <w:rFonts w:eastAsia="Aptos"/>
          <w:kern w:val="2"/>
          <w:szCs w:val="24"/>
          <w14:ligatures w14:val="standardContextual"/>
        </w:rPr>
      </w:pPr>
      <w:r w:rsidRPr="00202203">
        <w:t>–</w:t>
      </w:r>
      <w:r w:rsidRPr="00202203">
        <w:tab/>
        <w:t>gezien het besluit van de Commissie van 13 mei 2024</w:t>
      </w:r>
      <w:r w:rsidRPr="00202203">
        <w:rPr>
          <w:rFonts w:eastAsia="MS Mincho"/>
          <w:szCs w:val="24"/>
          <w:vertAlign w:val="superscript"/>
          <w:lang w:eastAsia="en-US"/>
        </w:rPr>
        <w:footnoteReference w:id="9"/>
      </w:r>
      <w:r w:rsidRPr="00202203">
        <w:t>, vastgesteld overeenkomstig artikel 3 van Verordening (EU) 2022/1925, waarbij Booking.com wordt aangewezen als poortwachter met betrekking tot haar onlinetussenhandelsdienst,</w:t>
      </w:r>
    </w:p>
    <w:p w14:paraId="7CC12540" w14:textId="77777777" w:rsidR="00AA5C91" w:rsidRPr="00202203" w:rsidRDefault="00AA5C91" w:rsidP="00AA5C91">
      <w:pPr>
        <w:pStyle w:val="NormalHanging12a"/>
        <w:rPr>
          <w:rFonts w:eastAsia="Aptos"/>
          <w:kern w:val="2"/>
          <w:szCs w:val="24"/>
          <w14:ligatures w14:val="standardContextual"/>
        </w:rPr>
      </w:pPr>
      <w:r w:rsidRPr="00202203">
        <w:lastRenderedPageBreak/>
        <w:t>–</w:t>
      </w:r>
      <w:r w:rsidRPr="00202203">
        <w:tab/>
        <w:t>gezien het besluit van de Commissie van 23 april 2025</w:t>
      </w:r>
      <w:r w:rsidRPr="00202203">
        <w:rPr>
          <w:rFonts w:eastAsia="MS Mincho"/>
          <w:szCs w:val="24"/>
          <w:vertAlign w:val="superscript"/>
          <w:lang w:eastAsia="en-US"/>
        </w:rPr>
        <w:footnoteReference w:id="10"/>
      </w:r>
      <w:r w:rsidRPr="00202203">
        <w:t>, vastgesteld overeenkomstig artikel 29, lid 1, punt a), artikel 30, lid 1, punt a), en artikel 31, lid 1, punt h), van Verordening (EU) 2022/1925, waarbij de aanwijzing van Facebook Marketplace van Meta als kernplatformdienst wordt ingetrokken,</w:t>
      </w:r>
    </w:p>
    <w:p w14:paraId="18BF1438" w14:textId="77777777" w:rsidR="00AA5C91" w:rsidRPr="00202203" w:rsidRDefault="00AA5C91" w:rsidP="00AA5C91">
      <w:pPr>
        <w:pStyle w:val="NormalHanging12a"/>
        <w:rPr>
          <w:rFonts w:eastAsia="Aptos"/>
          <w:kern w:val="2"/>
          <w:szCs w:val="24"/>
          <w14:ligatures w14:val="standardContextual"/>
        </w:rPr>
      </w:pPr>
      <w:r w:rsidRPr="00202203">
        <w:t>–</w:t>
      </w:r>
      <w:r w:rsidRPr="00202203">
        <w:tab/>
        <w:t>gezien Uitvoeringsverordening (EU) 2023/814 van de Commissie van 14 april 2023 betreffende gedetailleerde regelingen voor bepaalde procedures van de Commissie op grond van Verordening (EU) 2022/1925 van het Europees Parlement en de Raad</w:t>
      </w:r>
      <w:r w:rsidRPr="00202203">
        <w:rPr>
          <w:rFonts w:eastAsia="MS Mincho"/>
          <w:szCs w:val="24"/>
          <w:vertAlign w:val="superscript"/>
          <w:lang w:eastAsia="en-US"/>
        </w:rPr>
        <w:footnoteReference w:id="11"/>
      </w:r>
      <w:r w:rsidRPr="00202203">
        <w:t>,</w:t>
      </w:r>
    </w:p>
    <w:p w14:paraId="00CAC4CA" w14:textId="77777777" w:rsidR="00AA5C91" w:rsidRPr="00202203" w:rsidRDefault="00AA5C91" w:rsidP="00AA5C91">
      <w:pPr>
        <w:pStyle w:val="NormalHanging12a"/>
      </w:pPr>
      <w:r w:rsidRPr="00202203">
        <w:t>–</w:t>
      </w:r>
      <w:r w:rsidRPr="00202203">
        <w:tab/>
        <w:t>gezien artikel 142, lid 5, en artikel 136, lid 2, van zijn Reglement,</w:t>
      </w:r>
    </w:p>
    <w:p w14:paraId="7DEC35D9" w14:textId="77777777" w:rsidR="00AA5C91" w:rsidRPr="00202203" w:rsidRDefault="00AA5C91" w:rsidP="00AA5C91">
      <w:pPr>
        <w:pStyle w:val="NormalHanging12a"/>
      </w:pPr>
      <w:r w:rsidRPr="00202203">
        <w:t>A.</w:t>
      </w:r>
      <w:r w:rsidRPr="00202203">
        <w:tab/>
        <w:t>overwegende dat de digitalemarktenverordening vooraf een geharmoniseerd regelgevingskader vaststelt om te zorgen voor eerlijke, open en betwistbare digitale markten in de hele EU, oneerlijke poortwachterpraktijken te voorkomen, de integriteit en goede werking van de interne markt te waarborgen, een effectieve en niet-discriminerende toepassing van verplichtingen op alle aangewezen poortwachters te garanderen, toegangsdrempels weg te nemen en grensoverschrijdende digitale diensten, innovatie, keuzevrijheid voor de consument en eerlijke concurrentie in de hele EU te bevorderen;</w:t>
      </w:r>
    </w:p>
    <w:p w14:paraId="69DAB613" w14:textId="77777777" w:rsidR="00AA5C91" w:rsidRPr="00202203" w:rsidRDefault="00AA5C91" w:rsidP="00AA5C91">
      <w:pPr>
        <w:pStyle w:val="NormalHanging12a"/>
      </w:pPr>
      <w:r w:rsidRPr="00202203">
        <w:t>B.</w:t>
      </w:r>
      <w:r w:rsidRPr="00202203">
        <w:tab/>
        <w:t>overwegende dat de digitalemarktenverordening tot doel heeft om echte voordelen voor digitale markten op te leveren, door ervoor te zorgen dat zakelijke gebruikers en eindgebruikers hun rechten op grond van de verordening daadwerkelijk kunnen uitoefenen en dat poortwachterpraktijken niet langer structurele toegangsdrempels creëren en belemmeringen vormen voor het vermogen te groeien of te innoveren op de interne markt, en om “lock-in” van consumenten te voorkomen, waardoor zij worden ontmoedigd om op een andere dienst over te stappen;</w:t>
      </w:r>
    </w:p>
    <w:p w14:paraId="0687E008" w14:textId="77777777" w:rsidR="00AA5C91" w:rsidRPr="00202203" w:rsidRDefault="00AA5C91" w:rsidP="00AA5C91">
      <w:pPr>
        <w:pStyle w:val="NormalHanging12a"/>
      </w:pPr>
      <w:r w:rsidRPr="00202203">
        <w:t>C.</w:t>
      </w:r>
      <w:r w:rsidRPr="00202203">
        <w:tab/>
        <w:t>overwegende dat het Parlement democratisch toezicht houdt op de uitvoering en handhaving van de digitalemarktenverordening, met name via zijn Commissie interne markt en consumentenbescherming (IMCO);</w:t>
      </w:r>
    </w:p>
    <w:p w14:paraId="25AA4051" w14:textId="77777777" w:rsidR="00AA5C91" w:rsidRPr="00202203" w:rsidRDefault="00AA5C91" w:rsidP="00AA5C91">
      <w:pPr>
        <w:pStyle w:val="NormalHanging12a"/>
      </w:pPr>
      <w:r w:rsidRPr="00202203">
        <w:t>D.</w:t>
      </w:r>
      <w:r w:rsidRPr="00202203">
        <w:tab/>
        <w:t>overwegende dat de snelle uitvoering van de digitalemarktenverordening bevestigt dat deze verordening een belangrijk instrument is om de openheid en eerlijkheid van de markt, de mededinging en de keuzevrijheid van de gebruiker in de EU te verbeteren, en onderstreept dat alle bedrijven die in de EU actief zijn, ongeacht hun omvang of herkomst, de EU-wetgeving volledig moeten eerbiedigen en naleven;</w:t>
      </w:r>
    </w:p>
    <w:p w14:paraId="0F7219C1" w14:textId="77777777" w:rsidR="00AA5C91" w:rsidRPr="00202203" w:rsidRDefault="00AA5C91" w:rsidP="00AA5C91">
      <w:pPr>
        <w:pStyle w:val="NormalHanging12a"/>
      </w:pPr>
      <w:r w:rsidRPr="00202203">
        <w:t>E.</w:t>
      </w:r>
      <w:r w:rsidRPr="00202203">
        <w:tab/>
        <w:t>overwegende dat de uitvoering van de digitalemarktenverordening zich nog in een vroeg stadium bevindt en uitdagingen met zich meebrengt op het gebied van tijdige en doeltreffende handhaving, toezichtcapaciteit en de praktische doeltreffendheid van bepaalde complianceoplossingen, met name gezien de complexiteit van de onderliggende technologieën, het ontwerp van de gebruikersinterface en de keuzearchitectuur;</w:t>
      </w:r>
    </w:p>
    <w:p w14:paraId="2752A8AD" w14:textId="77777777" w:rsidR="00AA5C91" w:rsidRPr="00202203" w:rsidRDefault="00AA5C91" w:rsidP="00AA5C91">
      <w:pPr>
        <w:pStyle w:val="NormalHanging12a"/>
      </w:pPr>
      <w:r w:rsidRPr="00202203">
        <w:t>F.</w:t>
      </w:r>
      <w:r w:rsidRPr="00202203">
        <w:tab/>
        <w:t xml:space="preserve">overwegende dat kleinere ondernemingen, waaronder start-ups en innovatieve scale-ups, nog steeds te maken hebben met belemmeringen en oneerlijke obstakels op digitale markten, waaronder discriminerende praktijken en door poortwachters opgelegde beperkingen, die de innovatie kunnen belemmeren, de concurrentie kunnen beperken en </w:t>
      </w:r>
      <w:r w:rsidRPr="00202203">
        <w:lastRenderedPageBreak/>
        <w:t>de groeimogelijkheden en uiteindelijk ook de keuzevrijheid voor de consument kunnen beperken;</w:t>
      </w:r>
    </w:p>
    <w:p w14:paraId="291DCB18" w14:textId="77777777" w:rsidR="00AA5C91" w:rsidRPr="00202203" w:rsidRDefault="00AA5C91" w:rsidP="00AA5C91">
      <w:pPr>
        <w:pStyle w:val="NormalHanging12a"/>
      </w:pPr>
      <w:r w:rsidRPr="00202203">
        <w:t>G.</w:t>
      </w:r>
      <w:r w:rsidRPr="00202203">
        <w:tab/>
        <w:t>overwegende dat informatieasymmetrieën tussen poortwachters en regelgevers, evenals beperkte transparantie met betrekking tot compliancemaatregelen, effectief toezicht, verantwoording en vertrouwen in de handhaving van de digitalemarktenverordening dreigen te ondermijnen;</w:t>
      </w:r>
    </w:p>
    <w:p w14:paraId="77050DD0" w14:textId="77777777" w:rsidR="00AA5C91" w:rsidRPr="00202203" w:rsidRDefault="00AA5C91" w:rsidP="00AA5C91">
      <w:pPr>
        <w:pStyle w:val="NormalHanging12a"/>
      </w:pPr>
      <w:r w:rsidRPr="00202203">
        <w:t>H.</w:t>
      </w:r>
      <w:r w:rsidRPr="00202203">
        <w:tab/>
        <w:t>overwegende dat interoperabiliteit, toegang tot gegevens, gegevensportabiliteit en het voorkomen van een voorkeursbehandeling van eigen producten of diensten kernelementen van de digitalemarktenverordening vormen en een duurzame en strikte handhaving vereisen, ook wanneer concurrentienadelen voortvloeien uit standaardinstellingen, technische integratie of ecosysteemeffecten;</w:t>
      </w:r>
    </w:p>
    <w:p w14:paraId="17EFEA50" w14:textId="77777777" w:rsidR="00AA5C91" w:rsidRPr="00202203" w:rsidRDefault="00AA5C91" w:rsidP="00AA5C91">
      <w:pPr>
        <w:pStyle w:val="NormalHanging12a"/>
      </w:pPr>
      <w:r w:rsidRPr="00202203">
        <w:t>I.</w:t>
      </w:r>
      <w:r w:rsidRPr="00202203">
        <w:tab/>
        <w:t>overwegende dat verschillende verplichtingen uit hoofde van de digitalemarktenverordening berusten op actieve keuzes van de gebruiker, waaronder niet-instemming, het verwijderen van voorgeïnstalleerde toepassingen, het wijzigen van standaardinstellingen en het overdragen van gegevens, waardoor bewustwording van de gebruiker en interfaceontwerp centraal staan in de doeltreffendheid van de verordening;</w:t>
      </w:r>
    </w:p>
    <w:p w14:paraId="69FCBB61" w14:textId="77777777" w:rsidR="00AA5C91" w:rsidRPr="00202203" w:rsidRDefault="00AA5C91" w:rsidP="00AA5C91">
      <w:pPr>
        <w:pStyle w:val="NormalHanging12a"/>
      </w:pPr>
      <w:r w:rsidRPr="00202203">
        <w:t>J.</w:t>
      </w:r>
      <w:r w:rsidRPr="00202203">
        <w:tab/>
        <w:t>overwegende dat er sinds de inwerkingtreding van de digitalemarktenverordening concrete en zichtbare resultaten zijn geboekt bij de totstandbrenging van eerlijke, open en concurrerende digitale markten, waarbij consumenten nu verbeterde en meer neutrale keuzeschermen te zien krijgen wanneer zij een keuze moeten maken voor een standaardbrowser en standaardtoepassingen, ook tijdens het instellen van apparaten en via systeeminstellingen, en waarbij zij diensten van derden als standaard kunnen instellen in categorieën die voorheen beperkt waren tot voorgeïnstalleerde diensten;</w:t>
      </w:r>
    </w:p>
    <w:p w14:paraId="1FAD5A8C" w14:textId="77777777" w:rsidR="00AA5C91" w:rsidRPr="00202203" w:rsidRDefault="00AA5C91" w:rsidP="00AA5C91">
      <w:pPr>
        <w:pStyle w:val="NormalHanging12a"/>
      </w:pPr>
      <w:r w:rsidRPr="00202203">
        <w:t>K.</w:t>
      </w:r>
      <w:r w:rsidRPr="00202203">
        <w:tab/>
        <w:t>overwegende dat de toegenomen interoperabiliteitseisen ook de keuzevrijheid voor de consument vergroten doordat een breder scala aan verbonden en draagbare apparaten en diensten kan functioneren met kernplatformdiensten, waardoor de afhankelijkheid van voorgeïnstalleerde ecosystemen wordt verminderd en wordt bijgedragen aan een grotere betwistbaarheid en autonomie van de consument;</w:t>
      </w:r>
    </w:p>
    <w:p w14:paraId="58776C53" w14:textId="77777777" w:rsidR="00AA5C91" w:rsidRPr="00202203" w:rsidRDefault="00AA5C91" w:rsidP="00AA5C91">
      <w:pPr>
        <w:pStyle w:val="NormalHanging12a"/>
      </w:pPr>
      <w:r w:rsidRPr="00202203">
        <w:t>L.</w:t>
      </w:r>
      <w:r w:rsidRPr="00202203">
        <w:tab/>
        <w:t>overwegende dat het succes van de digitalemarktenverordening niet alleen moet worden beoordeeld op basis van formele naleving, maar ook op basis van de vraag of de doelstellingen ervan in de praktijk worden bereikt en door eindgebruikers, zakelijke gebruikers en het bredere publiek als legitiem worden ervaren;</w:t>
      </w:r>
    </w:p>
    <w:p w14:paraId="78838038" w14:textId="77777777" w:rsidR="00AA5C91" w:rsidRPr="00202203" w:rsidRDefault="00AA5C91" w:rsidP="00AA5C91">
      <w:pPr>
        <w:pStyle w:val="NormalHanging12a"/>
      </w:pPr>
      <w:r w:rsidRPr="00202203">
        <w:t>M.</w:t>
      </w:r>
      <w:r w:rsidRPr="00202203">
        <w:tab/>
        <w:t>overwegende dat de digitalemarktenverordening voorziet in een reeks handhavingsinstrumenten, waaronder regelgevingsdialoog, marktonderzoeken en procedures wegens niet-naleving, om inbreuken op te sporen en aan te pakken en boetes op te leggen; overwegende dat doeltreffende en evenredige boetes essentieel zijn om voor afschrikking te zorgen en de doeltreffendheid van de digitalemarktenverordening te waarborgen; overwegende dat technologische ontwikkelingen, waaronder AI-functies en cloudgebaseerde diensten, leiden tot nieuwe uitdagingen op het gebied van betwistbaarheid en eerlijkheid die het hoofd moeten worden geboden met een tijdige, uniforme en consistente toepassing van de bepalingen van de digitalemarktenverordening;</w:t>
      </w:r>
    </w:p>
    <w:p w14:paraId="67DADCE7" w14:textId="77777777" w:rsidR="00AA5C91" w:rsidRPr="00202203" w:rsidRDefault="00AA5C91" w:rsidP="00AA5C91">
      <w:pPr>
        <w:pStyle w:val="NormalHanging12a"/>
      </w:pPr>
      <w:r w:rsidRPr="00202203">
        <w:t>N.</w:t>
      </w:r>
      <w:r w:rsidRPr="00202203">
        <w:tab/>
        <w:t xml:space="preserve">overwegende dat de snelle ontwikkeling van generatieve AI-systemen en AI-gestuurde virtuele assistenten de concurrentiedynamiek, marktstructuren, waardeketens en toegang </w:t>
      </w:r>
      <w:r w:rsidRPr="00202203">
        <w:lastRenderedPageBreak/>
        <w:t>van gebruikers tot digitale diensten in de hele EU ingrijpend verandert, hetgeen gevolgen kan hebben voor de betwistbaarheid en eerlijkheid op digitale markten;</w:t>
      </w:r>
    </w:p>
    <w:p w14:paraId="52596DCC" w14:textId="77777777" w:rsidR="00AA5C91" w:rsidRPr="00202203" w:rsidRDefault="00AA5C91" w:rsidP="00AA5C91">
      <w:pPr>
        <w:pStyle w:val="NormalHanging12a"/>
      </w:pPr>
      <w:r w:rsidRPr="00202203">
        <w:t>O.</w:t>
      </w:r>
      <w:r w:rsidRPr="00202203">
        <w:tab/>
        <w:t>overwegende dat de digitalemarktenverordening verschillende bepalingen bevat die relevant zijn om te voorkomen dat poortwachters het vermogen van opkomende AI-ontwikkelaars om te concurreren en te innoveren beperken, waaronder verplichtingen met betrekking tot een eerlijke en niet-discriminerende rangschikking, transparantie in advertentiediensten en toegang tot gegevens;</w:t>
      </w:r>
    </w:p>
    <w:p w14:paraId="4BD609D1" w14:textId="77777777" w:rsidR="00AA5C91" w:rsidRPr="00202203" w:rsidRDefault="00AA5C91" w:rsidP="00AA5C91">
      <w:pPr>
        <w:pStyle w:val="NormalHanging12a"/>
      </w:pPr>
      <w:r w:rsidRPr="00202203">
        <w:t>P.</w:t>
      </w:r>
      <w:r w:rsidRPr="00202203">
        <w:tab/>
        <w:t>overwegende dat cloudcomputingdiensten in sommige gevallen steeds meer een kritieke laag van digitale ecosystemen vormen, onder andere voor de ontwikkeling, inzet en schaalvergroting van AI-toepassingen; overwegende dat hoge concentratieniveaus, overstapkosten, interoperabiliteitsbeperkingen en afhankelijkheidsrisico’s in bepaalde cloudmarktsegmenten soortgelijke zorgen kunnen oproepen als die welke door de digitalemarktenverordening aan de orde worden gesteld; overwegende dat in november 2025 een onderzoek is geopend om na te gaan of Amazon en Microsoft moeten worden aangewezen als poortwachters voor hun cloudcomputingdiensten, Amazon Web Services en Microsoft Azure, en overwegende dat een ander onderzoek is geopend om na te gaan of de huidige verplichtingen uit hoofde van de digitalemarktenverordening praktijken die het concurrentievermogen beperken of oneerlijk zijn in de cloudsector, doeltreffend kunnen aanpakken; overwegende dat er uit hoofde van de verordening tot nu toe nog geen aanbieders van cloudcomputingdiensten zijn aangewezen als poortwachters;</w:t>
      </w:r>
    </w:p>
    <w:p w14:paraId="6D43878A" w14:textId="77777777" w:rsidR="00AA5C91" w:rsidRPr="00202203" w:rsidRDefault="00AA5C91" w:rsidP="00AA5C91">
      <w:pPr>
        <w:pStyle w:val="NormalHanging12a"/>
      </w:pPr>
      <w:r w:rsidRPr="00202203">
        <w:t>Q.</w:t>
      </w:r>
      <w:r w:rsidRPr="00202203">
        <w:tab/>
        <w:t>overwegende dat de toegang tot grootschalige rekenkracht, geavanceerde AI-modellen en gegevens- en cloudinfrastructuur kan leiden tot nieuwe structurele afhankelijkheden en tot lock-ineffecten in ecosystemen die de betwistbaarheid kunnen beperken als ze niet goed worden aangepakt binnen het regelgevingskader van de EU;</w:t>
      </w:r>
    </w:p>
    <w:p w14:paraId="52B3B98F" w14:textId="77777777" w:rsidR="00AA5C91" w:rsidRPr="00202203" w:rsidRDefault="00AA5C91" w:rsidP="00AA5C91">
      <w:pPr>
        <w:pStyle w:val="NormalHanging12a"/>
      </w:pPr>
      <w:r w:rsidRPr="00202203">
        <w:t>R.</w:t>
      </w:r>
      <w:r w:rsidRPr="00202203">
        <w:tab/>
        <w:t>overwegende dat voldoende institutionele capaciteit, technische deskundigheid en middelen binnen de Commissie onontbeerlijk zijn om een effectieve, onafhankelijke en tijdige handhaving van de digitalemarktenverordening te waarborgen en de geloofwaardigheid en afschrikkende werking ervan in stand te houden;</w:t>
      </w:r>
    </w:p>
    <w:p w14:paraId="53E289AD" w14:textId="77777777" w:rsidR="00AA5C91" w:rsidRPr="00202203" w:rsidRDefault="00AA5C91" w:rsidP="00AA5C91">
      <w:pPr>
        <w:pStyle w:val="NormalHanging12a"/>
      </w:pPr>
      <w:r w:rsidRPr="00202203">
        <w:t>S.</w:t>
      </w:r>
      <w:r w:rsidRPr="00202203">
        <w:tab/>
        <w:t>overwegende dat de Commissie uit hoofde van de digitalemarktenverordening een periodieke evaluatie van de verordening moet uitvoeren, die de gelegenheid biedt om de doeltreffendheid van de handhaving en de voordelen ervan voor de consument te beoordelen, uitdagingen bij de uitvoering te identificeren en ervoor te zorgen dat de digitalemarktenverordening geschikt blijft voor het beoogde doel in het licht van technologische en marktontwikkelingen en evoluerende vormen van AI-gestuurde ecosystemen;</w:t>
      </w:r>
    </w:p>
    <w:p w14:paraId="34C88CD0" w14:textId="77777777" w:rsidR="00AA5C91" w:rsidRPr="00202203" w:rsidRDefault="00AA5C91" w:rsidP="00AA5C91">
      <w:pPr>
        <w:pStyle w:val="NormalHanging12a"/>
      </w:pPr>
      <w:r w:rsidRPr="00202203">
        <w:t>1.</w:t>
      </w:r>
      <w:r w:rsidRPr="00202203">
        <w:tab/>
        <w:t>bevestigt nogmaals dat een doeltreffende, tijdige en consistente handhaving van de digitalemarktenverordening, evenals de politieke steun van de Commissie, essentieel is om de werking van de interne markt te vrijwaren en te zorgen voor concrete voordelen voor consumenten, zakelijke gebruikers en innovatoren in de hele EU;</w:t>
      </w:r>
    </w:p>
    <w:p w14:paraId="0CCECEAC" w14:textId="77777777" w:rsidR="00AA5C91" w:rsidRPr="00202203" w:rsidRDefault="00AA5C91" w:rsidP="00AA5C91">
      <w:pPr>
        <w:pStyle w:val="NormalHanging12a"/>
      </w:pPr>
      <w:r w:rsidRPr="00202203">
        <w:t>2.</w:t>
      </w:r>
      <w:r w:rsidRPr="00202203">
        <w:tab/>
        <w:t xml:space="preserve">geeft uiting aan zijn bezorgdheid over de politieke druk van derde landen die er bij de EU op aandringen de digitalemarktenverordening te herzien of af te zwakken, en onderstreept dat een dergelijke inmenging van buitenaf de soevereiniteit van de EU en haar autonomie om haar eigen regels vast te stellen en te handhaven, niet in gevaar mag brengen; benadrukt dat de verplichtingen van de digitalemarktenverordening gelijkelijk </w:t>
      </w:r>
      <w:r w:rsidRPr="00202203">
        <w:lastRenderedPageBreak/>
        <w:t>van toepassing zijn op alle aangewezen poortwachters die diensten verlenen in de EU, ongeacht hun plaats van vestiging of nationaliteit;</w:t>
      </w:r>
    </w:p>
    <w:p w14:paraId="74DB5E6B" w14:textId="77777777" w:rsidR="00AA5C91" w:rsidRPr="00202203" w:rsidRDefault="00AA5C91" w:rsidP="00AA5C91">
      <w:pPr>
        <w:pStyle w:val="NormalHanging12a"/>
      </w:pPr>
      <w:r w:rsidRPr="00202203">
        <w:t>3.</w:t>
      </w:r>
      <w:r w:rsidRPr="00202203">
        <w:tab/>
        <w:t>verzoekt de Commissie ten volle en proactief gebruik te maken van alle handhavingsinstrumenten waarin de digitalemarktenverordening voorziet, met inbegrip van inbreukprocedures wegens niet-naleving, inspecties, voorlopige maatregelen, boetes en dwangsommen, teneinde ontduiking te voorkomen en effectieve naleving te waarborgen, en marktonderzoeken uit te voeren;</w:t>
      </w:r>
    </w:p>
    <w:p w14:paraId="1EC22915" w14:textId="77777777" w:rsidR="00AA5C91" w:rsidRPr="00202203" w:rsidRDefault="00AA5C91" w:rsidP="00AA5C91">
      <w:pPr>
        <w:pStyle w:val="NormalHanging12a"/>
      </w:pPr>
      <w:r w:rsidRPr="00202203">
        <w:t>4.</w:t>
      </w:r>
      <w:r w:rsidRPr="00202203">
        <w:tab/>
        <w:t>benadrukt dat de Commissie weliswaar de exclusieve bevoegdheid behoudt voor de handhaving van de digitalemarktenverordening, maar dat voor een effectieve, tijdige en consistente toepassing van de verordening in de hele EU een gestructureerde en nauwe samenwerking met de nationale mededingingsautoriteiten en andere relevante nationale overheidsinstanties vereist is; onderstreept dat deze autoriteiten binnen het bij de digitalemarktenverordening ingestelde kader een essentiële ondersteunende rol spelen, onder meer door bijstand te verlenen bij onderzoeken en inspecties, bij te dragen aan het markttoezicht en de uitwisseling van informatie te vergemakkelijken, waardoor de effectieve en uniforme handhaving van de digitalemarktenverordening wordt versterkt en eerlijke en betwistbare digitale markten in de hele EU worden gewaarborgd;</w:t>
      </w:r>
    </w:p>
    <w:p w14:paraId="19AEC7FF" w14:textId="77777777" w:rsidR="00AA5C91" w:rsidRPr="00202203" w:rsidRDefault="00AA5C91" w:rsidP="00AA5C91">
      <w:pPr>
        <w:pStyle w:val="NormalHanging12a"/>
      </w:pPr>
      <w:r w:rsidRPr="00202203">
        <w:t>5.</w:t>
      </w:r>
      <w:r w:rsidRPr="00202203">
        <w:tab/>
        <w:t>benadrukt dat het waarborgen van de openheid van de markt, onder meer door middel van de doeltreffende toepassing van de digitalemarktenverordening, een essentieel element is voor het succes van de AI-toepassingsstrategie die de invoering van AI en innovatie in heel Europa moet stimuleren, aangezien effectieve betwistbaarheid op digitale markten een voorwaarde is voor een open en eerlijk Europees AI-ecosysteem;</w:t>
      </w:r>
    </w:p>
    <w:p w14:paraId="613B5268" w14:textId="77777777" w:rsidR="00AA5C91" w:rsidRPr="00202203" w:rsidRDefault="00AA5C91" w:rsidP="00AA5C91">
      <w:pPr>
        <w:pStyle w:val="NormalHanging12a"/>
      </w:pPr>
      <w:r w:rsidRPr="00202203">
        <w:t>6.</w:t>
      </w:r>
      <w:r w:rsidRPr="00202203">
        <w:tab/>
        <w:t>verzoekt de Commissie om inbreukprocedures wegens niet-naleving onverwijld te voltooien en een tijdige handhaving te waarborgen in het kader van de digitalemarktenverordening, met name door zowel bindende als indicatieve termijnen te eerbiedigen, en het Parlement naar behoren op de hoogte te houden van de voortgang van de handhaving; benadrukt dat er meer transparantie over de procedurele stappen en tijdschema’s nodig is om het Parlement, en in het bijzonder de Werkgroep digitalemarktenverordening van de commissie IMCO, in staat te stellen zijn controlebevoegdheden uit te oefenen; verzoekt de Commissie het Parlement proactief en regelmatig te informeren over de stand van zaken met betrekking tot de handhaving van de digitalemarktenverordening, met inbegrip van ontwikkelingen in de regelgevingsdialoog, de activiteiten en agenda van de groep op hoog niveau, relevante studies waartoe de Commissie opdracht heeft gegeven, en alle andere informatie die het Parlement nodig heeft om zijn toezichtsfunctie uit te oefenen;</w:t>
      </w:r>
    </w:p>
    <w:p w14:paraId="3BD558A4" w14:textId="77777777" w:rsidR="00AA5C91" w:rsidRPr="00202203" w:rsidRDefault="00AA5C91" w:rsidP="00AA5C91">
      <w:pPr>
        <w:pStyle w:val="NormalHanging12a"/>
      </w:pPr>
      <w:r w:rsidRPr="00202203">
        <w:t>7.</w:t>
      </w:r>
      <w:r w:rsidRPr="00202203">
        <w:tab/>
        <w:t>verzoekt de Commissie ten volle gebruik te maken van de groep op hoog niveau; benadrukt het belang van effectieve coördinatie tussen regelgevende instanties in het licht van het grote aantal nieuwe regels en regelgevers die actief zijn op digitale markten;</w:t>
      </w:r>
    </w:p>
    <w:p w14:paraId="02B664E6" w14:textId="77777777" w:rsidR="00AA5C91" w:rsidRPr="00202203" w:rsidRDefault="00AA5C91" w:rsidP="00AA5C91">
      <w:pPr>
        <w:pStyle w:val="NormalHanging12a"/>
      </w:pPr>
      <w:r w:rsidRPr="00202203">
        <w:t>8.</w:t>
      </w:r>
      <w:r w:rsidRPr="00202203">
        <w:tab/>
        <w:t>benadrukt dat de naleving van de digitalemarktenverordening moet worden beoordeeld op basis van de praktische en reële gevolgen ervan voor de openheid van de markt, mededinging, innovatie en keuzevrijheid van de gebruiker, zodat rechtszekerheid, voorspelbaarheid en gelijke behandeling worden gewaarborgd;</w:t>
      </w:r>
    </w:p>
    <w:p w14:paraId="2A496C73" w14:textId="77777777" w:rsidR="00AA5C91" w:rsidRPr="00202203" w:rsidRDefault="00AA5C91" w:rsidP="00AA5C91">
      <w:pPr>
        <w:pStyle w:val="NormalHanging12a"/>
      </w:pPr>
      <w:r w:rsidRPr="00202203">
        <w:t>9.</w:t>
      </w:r>
      <w:r w:rsidRPr="00202203">
        <w:tab/>
        <w:t xml:space="preserve">verzoekt de Commissie informatieasymmetrieën aan te pakken door de mechanismen te versterken die zakelijke gebruikers en eindgebruikers in staat stellen hun rechten in het </w:t>
      </w:r>
      <w:r w:rsidRPr="00202203">
        <w:lastRenderedPageBreak/>
        <w:t>kader van de digitalemarktenverordening effectief uit te oefenen, met inbegrip van rechten in verband met keuzevrijheid, toegang tot gegevens, interoperabiliteit, non-discriminatie en vrijwaring van represailles, door middel van toegankelijke en veilige meldings- en klachtenkanalen, waarborgen tegen represailles en een betere bewustmaking van de rechten en rechtsmiddelen waarin de digitalemarktenverordening voorziet, in het besef dat de doeltreffendheid van de digitalemarktenverordening afhangt van assertieve eindgebruikers;</w:t>
      </w:r>
    </w:p>
    <w:p w14:paraId="5DD247A7" w14:textId="77777777" w:rsidR="00AA5C91" w:rsidRPr="00202203" w:rsidRDefault="00AA5C91" w:rsidP="00AA5C91">
      <w:pPr>
        <w:pStyle w:val="NormalHanging12a"/>
      </w:pPr>
      <w:r w:rsidRPr="00202203">
        <w:t>10.</w:t>
      </w:r>
      <w:r w:rsidRPr="00202203">
        <w:tab/>
        <w:t>dringt er bij de Commissie op aan om prioriteit te geven aan de strikte handhaving van de verplichtingen op het gebied van interoperabiliteit, toegang tot gegevens, gegevensportabiliteit, “anti-steering” en voorkeursbehandelingen van eigen producten of diensten, ook wanneer concurrentienadelen voortvloeien uit standaardinstellingen, technische integratie of het ontwerp van platformecosystemen; roept de Commissie ertoe op om bij het vaststellen van handhavingsprioriteiten terdege rekening te houden met relevante marktontwikkelingen en met de interactie tussen toepasselijke EU-instrumenten, waaronder de dataverordening</w:t>
      </w:r>
      <w:r w:rsidRPr="00202203">
        <w:rPr>
          <w:rStyle w:val="FootnoteReference"/>
        </w:rPr>
        <w:footnoteReference w:id="12"/>
      </w:r>
      <w:r w:rsidRPr="00202203">
        <w:t>; merkt op dat de effectieve uitvoering en handhaving van de digitalemarktenverordening in bepaalde gevallen kan worden beïnvloed door de interacties van de poortwachters met concurrenten en zakelijke partners, met name in situaties waarin bezorgdheid is geuit over de eerlijkheid van zakelijke praktijken;</w:t>
      </w:r>
    </w:p>
    <w:p w14:paraId="6713B446" w14:textId="77777777" w:rsidR="00AA5C91" w:rsidRPr="00202203" w:rsidRDefault="00AA5C91" w:rsidP="00AA5C91">
      <w:pPr>
        <w:pStyle w:val="NormalHanging12a"/>
      </w:pPr>
      <w:r w:rsidRPr="00202203">
        <w:t>11.</w:t>
      </w:r>
      <w:r w:rsidRPr="00202203">
        <w:tab/>
        <w:t>verzoekt de Commissie te blijven werken aan het mogelijk maken van interoperabiliteit van berichtendiensten met kleinere berichtenapps van derden op verzoek, zodat gebruikers tekst, bestanden en spraak-/video-oproepen kunnen uitwisselen tussen platforms met behoud van eind-tot-eindversleuteling;</w:t>
      </w:r>
    </w:p>
    <w:p w14:paraId="79F7BCC4" w14:textId="77777777" w:rsidR="00AA5C91" w:rsidRPr="00202203" w:rsidRDefault="00AA5C91" w:rsidP="00AA5C91">
      <w:pPr>
        <w:pStyle w:val="NormalHanging12a"/>
      </w:pPr>
      <w:r w:rsidRPr="00202203">
        <w:t>12.</w:t>
      </w:r>
      <w:r w:rsidRPr="00202203">
        <w:tab/>
        <w:t xml:space="preserve">uit zijn ernstige bezorgdheid over de aanhoudende praktijken van Google op het gebied van voorkeursbehandelingen van eigen producten of diensten in zijn zoek-, winkel-, reis- en videodiensten, die de mededinging blijven verstoren en de keuzevrijheid van de consument beperken; merkt op dat advertenties met productoverzichten prominent bovenaan de zoekresultaten blijven staan, waardoor een patroon van dominantie en een gebrek aan transparantie wordt bestendigd dat de intentie van de digitalemarktenverordening ondermijnt; herinnert eraan dat de voorlopige bevindingen op grond van artikel 6, lid 5, van de digitalemarktenverordening erop wijzen dat Google visuele voordelen en een voorkeurspositie gebruikt om haar eigen diensten, waaronder Google Shopping, Vluchten en Hotels, te bevoordelen, waardoor de eerlijke toegang voor concurrenten wordt beperkt en haar marktmacht wordt versterkt; herinnert eraan dat recente procedures voor nationale rechtbanken hebben bevestigd dat de praktijken op het gebied van voorkeursbehandelingen van eigen producten of diensten van Google in zoekdiensten schadelijk waren voor concurrerende vergelijkingsplatforms, zoals blijkt uit het vonnis van 2025 in de zaak </w:t>
      </w:r>
      <w:r w:rsidRPr="00202203">
        <w:rPr>
          <w:i/>
        </w:rPr>
        <w:t>Idealo/Google</w:t>
      </w:r>
      <w:r w:rsidRPr="00202203">
        <w:t xml:space="preserve"> voor de regionale rechtbank van Berlijn; benadrukt dat pogingen van poortwachters om niet-naleving van de digitalemarktenverordening in stand te houden of te verlengen, hen bijgevolg kunnen blootstellen aan aanzienlijke financiële aansprakelijkheid via vervolgvorderingen tot schadevergoeding;</w:t>
      </w:r>
    </w:p>
    <w:p w14:paraId="30119527" w14:textId="77777777" w:rsidR="00AA5C91" w:rsidRPr="00202203" w:rsidRDefault="00AA5C91" w:rsidP="00AA5C91">
      <w:pPr>
        <w:pStyle w:val="NormalHanging12a"/>
      </w:pPr>
      <w:r w:rsidRPr="00202203">
        <w:lastRenderedPageBreak/>
        <w:t>13.</w:t>
      </w:r>
      <w:r w:rsidRPr="00202203">
        <w:tab/>
        <w:t>benadrukt dat door de integratie door Google van AI in zijn zoek- en ontdekkingsprocessen het bedrijf in toenemende mate het hele traject van de consument kan controleren, van zoekopdracht en aanbevelingen tot intentie tot aankoop, waardoor concurrerende diensten verder aan de kant worden geschoven en consumenten minder onafhankelijke keuzes kunnen maken; benadrukt dat deze dynamiek onafhankelijke handelaars dreigt te veranderen in louter afhandelingskanalen voor Google, hetgeen een zoveelste poging is in een reeks van eerdere pogingen om de handel te domineren die al eerder werden ingeperkt, en dat zonder duidelijke waarborgen onder de digitalemarktenverordening deze praktijken verder verankerd kunnen geraken;</w:t>
      </w:r>
    </w:p>
    <w:p w14:paraId="2D93CD04" w14:textId="77777777" w:rsidR="00AA5C91" w:rsidRDefault="00AA5C91" w:rsidP="00AA5C91">
      <w:pPr>
        <w:pStyle w:val="NormalHanging12a"/>
      </w:pPr>
      <w:r w:rsidRPr="00202203">
        <w:t>14.</w:t>
      </w:r>
      <w:r w:rsidRPr="00202203">
        <w:tab/>
        <w:t xml:space="preserve">neemt kennis van de opkomst van alternatieve marktplaatsapps op iOS in de interne markt, maar uit zijn bezorgdheid over het feit dat hun praktische levensvatbaarheid en schaalbaarheid beperkt blijven als gevolg van het ontwerp van het gebruikerstraject en beperkende economische en contractuele voorwaarden; benadrukt dat poortwachters hun kosten zodanig herstructureren dat ontwikkelaars slechter af zijn dan in de status quo van voor de digitalemarktenverordening; dringt er bij de Commissie op aan om te beoordelen of de toegangsvoorwaarden van Apple eerlijk en niet-discriminerend zijn, zoals vereist op grond van artikel 6, lid 12, van de </w:t>
      </w:r>
      <w:proofErr w:type="spellStart"/>
      <w:r w:rsidRPr="00202203">
        <w:t>digitalemarktenverordening</w:t>
      </w:r>
      <w:proofErr w:type="spellEnd"/>
      <w:r w:rsidRPr="00202203">
        <w:t>;</w:t>
      </w:r>
    </w:p>
    <w:p w14:paraId="4AAE71BE" w14:textId="70F766EB" w:rsidR="009E362E" w:rsidRPr="00202203" w:rsidRDefault="00984325" w:rsidP="00AA5C91">
      <w:pPr>
        <w:pStyle w:val="NormalHanging12a"/>
      </w:pPr>
      <w:r>
        <w:t>15.</w:t>
      </w:r>
      <w:r w:rsidR="009E362E">
        <w:tab/>
      </w:r>
      <w:r w:rsidR="009E362E" w:rsidRPr="009E362E">
        <w:t xml:space="preserve">stelt vast dat bepaalde poortwachters, zoals Google die dit onlangs aangekondigde, veiligheid en cyberbeveiliging als reden aanvoeren om registratie- en identificatievereisten op te leggen aan ontwikkelaars van applicaties, waardoor de daadwerkelijke toegang tot alternatieve distributiekanalen voor applicaties wordt beperkt op een wijze die mogelijk in strijd is met artikel 6, lid 4, van de </w:t>
      </w:r>
      <w:proofErr w:type="spellStart"/>
      <w:r w:rsidR="009E362E" w:rsidRPr="009E362E">
        <w:t>digitalemarktenverordening</w:t>
      </w:r>
      <w:proofErr w:type="spellEnd"/>
      <w:r w:rsidR="009E362E" w:rsidRPr="009E362E">
        <w:t xml:space="preserve">; verzoekt de Commissie daarom te onderzoeken of de aangevoerde </w:t>
      </w:r>
      <w:proofErr w:type="spellStart"/>
      <w:r w:rsidR="009E362E" w:rsidRPr="009E362E">
        <w:t>veiligheidsgerelateerde</w:t>
      </w:r>
      <w:proofErr w:type="spellEnd"/>
      <w:r w:rsidR="009E362E" w:rsidRPr="009E362E">
        <w:t xml:space="preserve"> maatregelen strikt noodzakelijk en evenredig zijn, en erop toe te zien dat zij niet worden gebruikt als voorwendsel om af te wijken van de doelstelling van de </w:t>
      </w:r>
      <w:proofErr w:type="spellStart"/>
      <w:r w:rsidR="009E362E" w:rsidRPr="009E362E">
        <w:t>digitalemarktenverordening</w:t>
      </w:r>
      <w:proofErr w:type="spellEnd"/>
      <w:r w:rsidR="009E362E" w:rsidRPr="009E362E">
        <w:t>, die erin bestaat derden daadwerkelijke toegang tot software te verlenen, eerlijke, redelijke en niet-discriminerende toegangsvoorwaarden te waarborgen en er tegelijkertijd voor te zorgen dat ontwikkelaars gebruikers naar alternatieve distributiekanalen kunnen leiden</w:t>
      </w:r>
      <w:r w:rsidR="009E362E">
        <w:t>;</w:t>
      </w:r>
    </w:p>
    <w:p w14:paraId="1A2CCFBF" w14:textId="751BA492" w:rsidR="00AA5C91" w:rsidRPr="00202203" w:rsidRDefault="00984325" w:rsidP="00AA5C91">
      <w:pPr>
        <w:pStyle w:val="NormalHanging12a"/>
      </w:pPr>
      <w:r>
        <w:t>16</w:t>
      </w:r>
      <w:r w:rsidR="00AA5C91" w:rsidRPr="00202203">
        <w:t>.</w:t>
      </w:r>
      <w:r w:rsidR="00AA5C91" w:rsidRPr="00202203">
        <w:tab/>
        <w:t xml:space="preserve">herinnert eraan dat zakelijke gebruikers uit hoofde van artikel 5, lid 4, van de digitalemarktenverordening eindgebruikers kosteloos moeten kunnen informeren over alternatieve aanbiedingen en hen naar deze aanbiedingen moeten kunnen leiden en contracten moeten kunnen sluiten; merkt op dat in overweging 40 van de digitalemarktenverordening de mogelijkheid van een vergoeding voor het faciliteren van de initiële verwerving van een eindgebruiker wordt erkend, maar wordt benadrukt dat een dergelijke vergoeding strikt beperkt moet blijven tot de initiële verwerving, evenredig en passend moet zijn en de sturing in de praktijk niet mag ondermijnen; dringt er bij de Commissie op aan ervoor te zorgen dat de herziene voorwaarden van Apple grondig worden getoetst aan de vereiste van de digitalemarktenverordening voor eventuele kosten in verband met het sturen en dat pogingen tot omzeiling nauwkeurig worden onderzocht en zo nodig worden bestraft zonder de uitkomst af te wachten van de lopende gerechtelijke procedure in de VS in de zaak </w:t>
      </w:r>
      <w:r w:rsidR="00AA5C91" w:rsidRPr="00202203">
        <w:rPr>
          <w:i/>
        </w:rPr>
        <w:t>Epic Games</w:t>
      </w:r>
      <w:r w:rsidR="00AA5C91" w:rsidRPr="00202203">
        <w:t>/</w:t>
      </w:r>
      <w:r w:rsidR="00AA5C91" w:rsidRPr="00202203">
        <w:rPr>
          <w:i/>
        </w:rPr>
        <w:t>Apple</w:t>
      </w:r>
      <w:r w:rsidR="00AA5C91" w:rsidRPr="00202203">
        <w:t>; benadrukt dat de handhaving van de EU-wetgeving onafhankelijk van rechtszaken in derde landen moet plaatsvinden;</w:t>
      </w:r>
    </w:p>
    <w:p w14:paraId="442A9C31" w14:textId="40856655" w:rsidR="00AA5C91" w:rsidRPr="00202203" w:rsidRDefault="00984325" w:rsidP="00AA5C91">
      <w:pPr>
        <w:pStyle w:val="NormalHanging12a"/>
      </w:pPr>
      <w:r>
        <w:t>17</w:t>
      </w:r>
      <w:r w:rsidR="00AA5C91" w:rsidRPr="00202203">
        <w:t>.</w:t>
      </w:r>
      <w:r w:rsidR="00AA5C91" w:rsidRPr="00202203">
        <w:tab/>
        <w:t xml:space="preserve">geeft uiting aan zijn bezorgdheid over TikTok, dat wordt geëxploiteerd door ByteDance, en de toestemmingsschermen op zijn platform, die zwaar leunen op gedragstechnieken om toestemming van gebruikers te verkrijgen; merkt op dat dergelijke praktijken de beginselen van geïnformeerde en vrije toestemming kunnen </w:t>
      </w:r>
      <w:r w:rsidR="00AA5C91" w:rsidRPr="00202203">
        <w:lastRenderedPageBreak/>
        <w:t>ondermijnen en een inbreuk kunnen vormen op artikel 5, lid 2, van de digitalemarktenverordening; benadrukt dat toestemmingsmechanismen transparant, gebruiksvriendelijk en echt vrijwillig moeten zijn, zonder manipulatief ontwerp of psychologische druk; roept de Commissie ertoe op de toestemmingspraktijken van TikTok nauwlettend in de gaten te houden en ervoor te zorgen dat alle niet-conforme mechanismen onmiddellijk worden gecorrigeerd om de autonomie en digitale rechten van gebruikers te handhaven;</w:t>
      </w:r>
    </w:p>
    <w:p w14:paraId="31B6DA6B" w14:textId="58B396EE" w:rsidR="00AA5C91" w:rsidRPr="00202203" w:rsidRDefault="00984325" w:rsidP="00AA5C91">
      <w:pPr>
        <w:pStyle w:val="NormalHanging12a"/>
      </w:pPr>
      <w:r>
        <w:t>18</w:t>
      </w:r>
      <w:r w:rsidR="00AA5C91" w:rsidRPr="00202203">
        <w:t>.</w:t>
      </w:r>
      <w:r w:rsidR="00AA5C91" w:rsidRPr="00202203">
        <w:tab/>
        <w:t>wijst op het belang van de daadwerkelijke naleving door Microsoft van artikel 6, lid 3, van de digitalemarktenverordening, met name wat betreft de verplichting om eindgebruikers toe te staan en technisch in staat te stellen de standaardinstellingen van haar Windows pc-besturingssysteem gemakkelijk te wijzigen en zonder onnodige wrijving toegang te krijgen tot concurrerende diensten; merkt op dat de integratie van Bing als de standaardleverancier van onlinezoekresultaten in de taakbalk van Windows en de moeilijkheid om over te stappen gebruikers onrechtmatig in de richting van de eigen diensten van Microsoft kunnen sturen en de daadwerkelijke keuzevrijheid van de gebruiker kunnen beperken; herinnert eraan dat Microsoft compliancemaatregelen heeft voorgelegd aan de Commissie, maar is bezorgd over de praktische gevolgen daarvan, waaronder mogelijke belemmeringen voor effectieve interoperabiliteit binnen het Windows-ecosysteem; herinnert eraan dat de Commissie deze maatregelen nauwlettend moet blijven evalueren om een daadwerkelijke keuzevrijheid voor de gebruiker en een eerlijke en betwistbare omgeving voor derde aanbieders in de praktijk te waarborgen, met name waar de beperkte of trage inschakeling van applicatieprogramma-interfaces (API’s) voor diensten die niet van Microsoft zijn derde ontwikkelaars ervan kan weerhouden een vergelijkbare gelijkwaardige ervaring aan eindgebruikers te bieden;</w:t>
      </w:r>
    </w:p>
    <w:p w14:paraId="4EE613CF" w14:textId="7CB2104F" w:rsidR="00AA5C91" w:rsidRPr="00202203" w:rsidRDefault="00984325" w:rsidP="00AA5C91">
      <w:pPr>
        <w:pStyle w:val="NormalHanging12a"/>
      </w:pPr>
      <w:r>
        <w:t>19</w:t>
      </w:r>
      <w:r w:rsidR="00AA5C91" w:rsidRPr="00202203">
        <w:t>.</w:t>
      </w:r>
      <w:r w:rsidR="00AA5C91" w:rsidRPr="00202203">
        <w:tab/>
        <w:t>neemt met bezorgdheid kennis van berichten van diverse belanghebbenden in de reissector over aanhoudend hoge commissiepercentages en het voortdurende gebruik van praktijken door Booking.com die gelijk lijken te staan aan verboden pariteitsclausules, waaronder prestatieprogramma’s voor hotels op basis van ondoorzichtige criteria en aanhoudende problemen om af te zien van de systemen van gesponsorde betaling van Booking.com; herinnert eraan dat nationale mededingingsautoriteiten, waaronder in Frankrijk en Spanje, Booking.com sancties hebben opgelegd in verband met pariteitsclausules; verzoekt de Commissie de huidige mate van betwistbaarheid in de onlinereissector te beoordelen sinds Booking.com als poortwachter is aangewezen en dienovereenkomstig doortastende maatregelen te nemen;</w:t>
      </w:r>
    </w:p>
    <w:p w14:paraId="6B92DD57" w14:textId="56289D76" w:rsidR="00AA5C91" w:rsidRPr="00202203" w:rsidRDefault="00984325" w:rsidP="00AA5C91">
      <w:pPr>
        <w:pStyle w:val="NormalHanging12a"/>
      </w:pPr>
      <w:r>
        <w:t>20</w:t>
      </w:r>
      <w:r w:rsidR="00AA5C91" w:rsidRPr="00202203">
        <w:t>.</w:t>
      </w:r>
      <w:r w:rsidR="00AA5C91" w:rsidRPr="00202203">
        <w:tab/>
        <w:t>neemt nota van de uitrol door Meta van haar nieuwe derde optie “betalen of toestemming geven” om gepersonaliseerde advertenties te beperken, die in juli 2025 is gelanceerd na de boete die de Commissie in april 2025 heeft opgelegd; verzoekt de Commissie ervoor te zorgen dat Meta de gebruikers nu werkelijk een neutrale keuze biedt, dat de toegang van derden tot de diensten van Meta eerlijk en ongehinderd verloopt en dat elke omzeiling van de eisen van de digitalemarktenverordening streng wordt onderzocht en, indien nodig, bestraft;</w:t>
      </w:r>
    </w:p>
    <w:p w14:paraId="7C423715" w14:textId="6F2D8DF5" w:rsidR="00AA5C91" w:rsidRPr="00202203" w:rsidRDefault="00984325" w:rsidP="00AA5C91">
      <w:pPr>
        <w:pStyle w:val="NormalHanging12a"/>
      </w:pPr>
      <w:r>
        <w:t>21</w:t>
      </w:r>
      <w:r w:rsidR="00AA5C91" w:rsidRPr="00202203">
        <w:t>.</w:t>
      </w:r>
      <w:r w:rsidR="00AA5C91" w:rsidRPr="00202203">
        <w:tab/>
        <w:t xml:space="preserve">maakt zich zorgen over praktijken op smart tv’s die een kopie zijn van de mededingingsondermijnende praktijken die Android eerder toepaste op smartphones; onderstreept dat de toegang tot audiovisuele mediadiensten op smart tv’s niet mag worden gecontroleerd door een klein aantal grote technologiebedrijven en dat een open, eerlijke en betwistbare markt essentieel is voor een pluralistisch en divers medialandschap; benadrukt met betrekking tot besturingssystemen voor smart tv’s dat </w:t>
      </w:r>
      <w:r w:rsidR="00AA5C91" w:rsidRPr="00202203">
        <w:lastRenderedPageBreak/>
        <w:t>grote aanbieders van dergelijke besturingssystemen de toegang tot veelzijdige markten voor kijkers, reclame en gegevens controleren; merkt op dat soortgelijke controle door poortwachters over toegangspunten voor gebruikers kan ontstaan in andere verbonden omgevingen waar besturingssystemen of virtuele assistenten de toegang verlenen tot diensten, inclusief infotainmentsystemen in voertuigen; verzoekt de Commissie nauwlettend toezicht te houden op dit marktsegment en waar nodig passende maatregelen te nemen;</w:t>
      </w:r>
    </w:p>
    <w:p w14:paraId="134810CD" w14:textId="41ABE4E4" w:rsidR="00AA5C91" w:rsidRPr="00202203" w:rsidRDefault="00984325" w:rsidP="00AA5C91">
      <w:pPr>
        <w:pStyle w:val="NormalHanging12a"/>
      </w:pPr>
      <w:r>
        <w:t>22</w:t>
      </w:r>
      <w:r w:rsidR="00AA5C91" w:rsidRPr="00202203">
        <w:t>.</w:t>
      </w:r>
      <w:r w:rsidR="00AA5C91" w:rsidRPr="00202203">
        <w:tab/>
      </w:r>
      <w:proofErr w:type="gramStart"/>
      <w:r w:rsidR="00AA5C91" w:rsidRPr="00202203">
        <w:t>onderstreept</w:t>
      </w:r>
      <w:proofErr w:type="gramEnd"/>
      <w:r w:rsidR="00AA5C91" w:rsidRPr="00202203">
        <w:t xml:space="preserve"> de belangrijke rol van eindgebruikers bij het bereiken van de doelstellingen van de digitalemarktenverordening en benadrukt dat het belangrijk is ervoor te zorgen dat gebruikersinterfaces, toestemmingsmechanismen en keuzearchitecturen neutraal, gebruiksvriendelijk, begrijpelijk en niet-manipulatief zijn, zodat gebruikers hun rechten effectief en zonder onnodige wrijving kunnen uitoefenen;</w:t>
      </w:r>
    </w:p>
    <w:p w14:paraId="4EB938CD" w14:textId="7A78E673" w:rsidR="00AA5C91" w:rsidRPr="00202203" w:rsidRDefault="00984325" w:rsidP="00AA5C91">
      <w:pPr>
        <w:pStyle w:val="NormalHanging12a"/>
      </w:pPr>
      <w:r>
        <w:t>23</w:t>
      </w:r>
      <w:r w:rsidR="00AA5C91" w:rsidRPr="00202203">
        <w:t>.</w:t>
      </w:r>
      <w:r w:rsidR="00AA5C91" w:rsidRPr="00202203">
        <w:tab/>
        <w:t>verzoekt de Commissie te waarborgen dat de digitalemarktenverordening op consistente en toekomstbestendige wijze wordt toegepast op technologische ontwikkelingen door tijdig aandacht te besteden aan AI-gestuurde diensten en cloudgebaseerde infrastructuur, teneinde nieuwe vormen van lock-in en praktijken die de markttoegang beperken of controleren te voorkomen, onder meer praktijken waarbij poortwachters hun controle over gegevens, rekenkracht of geïntegreerde diensten aanwenden om opkomende AI-ontwikkelaars en innovatieve nieuwkomers op de markt te benadelen;</w:t>
      </w:r>
    </w:p>
    <w:p w14:paraId="32C4F062" w14:textId="0B2DD200" w:rsidR="00AA5C91" w:rsidRPr="00202203" w:rsidRDefault="00984325" w:rsidP="00AA5C91">
      <w:pPr>
        <w:pStyle w:val="NormalHanging12a"/>
      </w:pPr>
      <w:r>
        <w:t>24</w:t>
      </w:r>
      <w:r w:rsidR="00AA5C91" w:rsidRPr="00202203">
        <w:t>.</w:t>
      </w:r>
      <w:r w:rsidR="00AA5C91" w:rsidRPr="00202203">
        <w:tab/>
        <w:t>verzoekt de Commissie te zorgen voor complementariteit, coherentie en rechtszekerheid tussen de digitalemarktenverordening, de dataverordening en de verordening artificiële intelligentie</w:t>
      </w:r>
      <w:r w:rsidR="00AA5C91" w:rsidRPr="00202203">
        <w:rPr>
          <w:rStyle w:val="FootnoteReference"/>
        </w:rPr>
        <w:footnoteReference w:id="13"/>
      </w:r>
      <w:r w:rsidR="00AA5C91" w:rsidRPr="00202203">
        <w:t>, onder meer door gecoördineerde begeleiding en uitvoering;</w:t>
      </w:r>
    </w:p>
    <w:p w14:paraId="4846A642" w14:textId="77DE062A" w:rsidR="00AA5C91" w:rsidRPr="00202203" w:rsidRDefault="00984325" w:rsidP="00AA5C91">
      <w:pPr>
        <w:pStyle w:val="NormalHanging12a"/>
      </w:pPr>
      <w:r>
        <w:t>25</w:t>
      </w:r>
      <w:r w:rsidR="00AA5C91" w:rsidRPr="00202203">
        <w:t>.</w:t>
      </w:r>
      <w:r w:rsidR="00AA5C91" w:rsidRPr="00202203">
        <w:tab/>
        <w:t>is ingenomen met de eerste besluiten van de Commissie inzake niet-naleving in het kader van de digitalemarktenverordening als een belangrijke stap in de richting van effectieve handhaving, maar betreurt dat deze besluiten een beperkt toepassingsgebied hebben en nog niet alle problematische poortwachterpraktijken aanpakken die door zakelijke gebruikers en andere belanghebbenden in kaart zijn gebracht; betreurt voorts dat de opgelegde boetes relatief bescheiden zijn in vergelijking met de omvang van de inbreuken en de economische macht van de aangewezen poortwachters, waardoor het risico bestaat dat ze onvoldoende afschrikkend werken en niet in overeenstemming zijn met de ambitie van de verordening; beklemtoont dat het algemene handhavingskader ervoor moet zorgen dat de verwachte kosten van niet-naleving, met inbegrip van boetes en dwangsommen, van meet af aan systematisch hoger liggen dan de kosten van naleving, zodat strategisch uitstel wordt voorkomen en voor een echte afschrikking wordt gezorgd;</w:t>
      </w:r>
    </w:p>
    <w:p w14:paraId="596516D4" w14:textId="1B9F73FE" w:rsidR="00AA5C91" w:rsidRPr="00202203" w:rsidRDefault="00984325" w:rsidP="00AA5C91">
      <w:pPr>
        <w:pStyle w:val="NormalHanging12a"/>
      </w:pPr>
      <w:r>
        <w:t>26</w:t>
      </w:r>
      <w:r w:rsidR="00AA5C91" w:rsidRPr="00202203">
        <w:t>.</w:t>
      </w:r>
      <w:r w:rsidR="00AA5C91" w:rsidRPr="00202203">
        <w:tab/>
        <w:t xml:space="preserve">verzoekt de Commissie, in het licht van het toenemend strategisch belang van cloudcomputingdiensten en de rol daarvan in digitale en AI-ecosystemen, nauwgezet te beoordelen of aanbieders van dergelijke diensten voldoen aan de criteria voor hun aanwijzing als poortwachter in het kader van de digitalemarktenverordening, onder meer door gebruik te maken van marktonderzoeken; roept de Commissie ertoe op om </w:t>
      </w:r>
      <w:r w:rsidR="00AA5C91" w:rsidRPr="00202203">
        <w:lastRenderedPageBreak/>
        <w:t>bij het uitvoeren van marktonderzoeken en het beoordelen van mogelijke aanwijzingen op het gebied van cloudcomputing, de criteria van de digitalemarktenverordening op een consistente, transparante en empirische manier toe te passen op alle aanbieders wanneer dit wordt gerechtvaardigd door marktindicatoren, om concurrentieverstoring te voorkomen en innovatie te vrijwaren; is ingenomen met de recente marktonderzoeken van de Commissie naar aanbieders van clouddiensten, zoals Amazon Web Services en Microsoft Azure;</w:t>
      </w:r>
    </w:p>
    <w:p w14:paraId="1629AF97" w14:textId="4F319F21" w:rsidR="00AA5C91" w:rsidRPr="00202203" w:rsidRDefault="00984325" w:rsidP="00AA5C91">
      <w:pPr>
        <w:pStyle w:val="NormalHanging12a"/>
      </w:pPr>
      <w:r>
        <w:t>27</w:t>
      </w:r>
      <w:r w:rsidR="00AA5C91" w:rsidRPr="00202203">
        <w:t>.</w:t>
      </w:r>
      <w:r w:rsidR="00AA5C91" w:rsidRPr="00202203">
        <w:tab/>
        <w:t>benadrukt dat AI-gestuurde zoek- en assistenthulpmiddelen, wanneer deze worden aangeboden als of binnen aangewezen kernplatformdiensten, zoals AI-overzichten en Gemini (Google), Siri (Apple), Meta AI in WhatsApp, Rufus (Amazon) of Copilot (Microsoft), steeds meer nieuwe toegangspoorten worden tot informatie, handel en digitale diensten; verzoekt de Commissie tijdig te onderzoeken of en hoe dergelijke functionaliteiten door poortwachters worden gebruikt op manieren die de betwistbaarheid en eerlijkheid kunnen ondermijnen, onder meer door standaardinstellingen, voorselectie, of discriminerende presentatie of selectie van resultaten;</w:t>
      </w:r>
    </w:p>
    <w:p w14:paraId="5841EEE6" w14:textId="3DB2963F" w:rsidR="00AA5C91" w:rsidRPr="00202203" w:rsidRDefault="00984325" w:rsidP="00AA5C91">
      <w:pPr>
        <w:pStyle w:val="NormalHanging12a"/>
      </w:pPr>
      <w:r>
        <w:t>28</w:t>
      </w:r>
      <w:r w:rsidR="00AA5C91" w:rsidRPr="00202203">
        <w:t>.</w:t>
      </w:r>
      <w:r w:rsidR="00AA5C91" w:rsidRPr="00202203">
        <w:tab/>
        <w:t>benadrukt dat de geïntegreerde digitale ecosystemen van bepaalde poortwachters, bestaande uit meerdere kernplatformdiensten en aanverwante diensten, hun een structureel concurrentievoordeel kunnen bieden bij de ontwikkeling, training en uitrol van AI-systemen, met name wanneer toegang tot grootschalige gegevensstromen voor meerdere diensten, gebruikersinterfaces, distributiekanalen of aanvullende diensten via ecosystemen kan worden benut; onderstreept derhalve de noodzaak van strikte handhaving van artikel 6, lid 10, van de digitalemarktenverordening, teneinde effectieve rechten op gegevenstoegang voor zakelijke gebruikers te waarborgen en te voorkomen dat gegevensvoordelen voor het hele ecosysteem worden aangewend op manieren die de betwistbaarheid en eerlijkheid ondermijnen, ook wanneer AI-functies worden geïntegreerd in kernplatformdiensten of nieuwe toegangspoorten kunnen worden tot informatie, handel en digitale diensten;</w:t>
      </w:r>
    </w:p>
    <w:p w14:paraId="7476CC7C" w14:textId="073ABFE3" w:rsidR="00AA5C91" w:rsidRPr="00202203" w:rsidRDefault="00984325" w:rsidP="00AA5C91">
      <w:pPr>
        <w:pStyle w:val="NormalHanging12a"/>
      </w:pPr>
      <w:r>
        <w:t>29</w:t>
      </w:r>
      <w:r w:rsidR="00AA5C91" w:rsidRPr="00202203">
        <w:t>.</w:t>
      </w:r>
      <w:r w:rsidR="00AA5C91" w:rsidRPr="00202203">
        <w:tab/>
        <w:t>verzoekt de Commissie te zorgen voor voldoende personele en financiële middelen voor de handhaving van de digitalemarktenverordening, in overeenstemming met het toepassingsgebied, de complexiteit en het strategische belang van de verordening, en dringt aan op een aanzienlijke versterking van het personeelsbestand;</w:t>
      </w:r>
    </w:p>
    <w:p w14:paraId="0C8FB693" w14:textId="73E02880" w:rsidR="00AA5C91" w:rsidRDefault="00984325" w:rsidP="00AA5C91">
      <w:pPr>
        <w:pStyle w:val="NormalHanging12a"/>
      </w:pPr>
      <w:r>
        <w:t>30</w:t>
      </w:r>
      <w:r w:rsidR="00AA5C91" w:rsidRPr="00202203">
        <w:t>.</w:t>
      </w:r>
      <w:r w:rsidR="00AA5C91" w:rsidRPr="00202203">
        <w:tab/>
        <w:t>verwacht dat de komende herziening van de digitalemarktenverordening transparant zal zijn en stevig zal zijn gebaseerd op ervaringen met handhaving en bewijsmateriaal van de toepassing ervan, met inbegrip van een beoordeling van de resultaten in de praktijk voor gebruikers en markten, alsmede van de praktische gevolgen van de uitvoering voor consumenten, met name wat betreft toegang tot innovatie, bruikbaarheid, privacy en veiligheid, waarbij terdege rekening wordt gehouden met technologische ontwikkelingen en de noodzaak ervoor te zorgen dat het kader toekomstbestendig blijft; verzoekt de Commissie met name rekening te houden met de feedback van kmo’s tijdens het herzieningsproces;</w:t>
      </w:r>
    </w:p>
    <w:p w14:paraId="005BCCE5" w14:textId="797EA9D0" w:rsidR="00AA5C91" w:rsidRDefault="00F2054D" w:rsidP="00AA5C91">
      <w:pPr>
        <w:pStyle w:val="NormalHanging12a"/>
      </w:pPr>
      <w:r>
        <w:t>31</w:t>
      </w:r>
      <w:r w:rsidR="00AA5C91" w:rsidRPr="00202203">
        <w:t>.</w:t>
      </w:r>
      <w:r w:rsidR="00AA5C91" w:rsidRPr="00202203">
        <w:tab/>
        <w:t xml:space="preserve">benadrukt dat de herziening gericht moet zijn op het versterken van de doeltreffendheid en de handhaafbaarheid van het bestaande kader en tegelijkertijd een antwoord moet bieden op de uitdagingen van snel evoluerende technologieën en ecosystemen door ten volle gebruik te maken van de bevoegdheden die beschikbaar zijn in het huidige kader, onder meer door verduidelijkingen en richtsnoeren waar nodig, en dat moet worden vermeden de kerndoelstellingen, het toepassingsgebied of de architectuur van de </w:t>
      </w:r>
      <w:r w:rsidR="00AA5C91" w:rsidRPr="00202203">
        <w:lastRenderedPageBreak/>
        <w:t>digitalemarktenverordening te heropenen, tenzij dit duidelijk gerechtvaardigd is door aangetoonde lacunes inzake handhaving of significante marktontwikkelingen;</w:t>
      </w:r>
    </w:p>
    <w:p w14:paraId="01332A85" w14:textId="0B457F63" w:rsidR="005F41C7" w:rsidRPr="00202203" w:rsidRDefault="00F2054D" w:rsidP="00AA5C91">
      <w:pPr>
        <w:pStyle w:val="NormalHanging12a"/>
      </w:pPr>
      <w:r>
        <w:t>32.</w:t>
      </w:r>
      <w:r w:rsidR="005F41C7">
        <w:tab/>
      </w:r>
      <w:r w:rsidR="005F41C7" w:rsidRPr="00984325">
        <w:t xml:space="preserve">benadrukt dat voor een doeltreffende handhaving van de </w:t>
      </w:r>
      <w:proofErr w:type="spellStart"/>
      <w:r w:rsidR="005F41C7" w:rsidRPr="00984325">
        <w:t>digitalemarktenverordening</w:t>
      </w:r>
      <w:proofErr w:type="spellEnd"/>
      <w:r w:rsidR="005F41C7" w:rsidRPr="00984325">
        <w:t xml:space="preserve"> ter aanvulling gebruik moet worden gemaakt van het algemene mededingingsbeleid en alle andere </w:t>
      </w:r>
      <w:proofErr w:type="spellStart"/>
      <w:r w:rsidR="005F41C7" w:rsidRPr="00984325">
        <w:t>handelsbeschermings</w:t>
      </w:r>
      <w:proofErr w:type="spellEnd"/>
      <w:r w:rsidR="005F41C7" w:rsidRPr="00984325">
        <w:t xml:space="preserve">- en markttoezichtinstrumenten van de EU, aangezien systeemrisico’s voor billijkheid en economische veiligheid ook kunnen voortvloeien uit transacties die buiten het toepassingsgebied van de </w:t>
      </w:r>
      <w:proofErr w:type="spellStart"/>
      <w:r w:rsidR="005F41C7" w:rsidRPr="00984325">
        <w:t>digitalemarktenverordening</w:t>
      </w:r>
      <w:proofErr w:type="spellEnd"/>
      <w:r w:rsidR="005F41C7" w:rsidRPr="00984325">
        <w:t xml:space="preserve"> vallen; neemt in dit verband met bezorgdheid kennis van de overname van </w:t>
      </w:r>
      <w:proofErr w:type="spellStart"/>
      <w:r w:rsidR="005F41C7" w:rsidRPr="00984325">
        <w:t>Ceconomy</w:t>
      </w:r>
      <w:proofErr w:type="spellEnd"/>
      <w:r w:rsidR="005F41C7" w:rsidRPr="00984325">
        <w:t xml:space="preserve"> AG door JD.com, waardoor de zeggenschap over een groot Europees detailhandels- en distributienetwerk zou worden overgedragen aan een entiteit buiten de EU, waardoor het risico ontstaat van toegang tot gevoelige consumentengegevens door staten buiten de EU en van verstoringen in verband met door de staat gedekte financiële steun; verzoekt de Commissie de verordening buitenlandse subsidie</w:t>
      </w:r>
      <w:r w:rsidR="005F41C7">
        <w:rPr>
          <w:rStyle w:val="FootnoteReference"/>
        </w:rPr>
        <w:footnoteReference w:id="14"/>
      </w:r>
      <w:r w:rsidR="005F41C7" w:rsidRPr="00984325">
        <w:t xml:space="preserve"> strikt toe te passen en alle buitenlandse subsidies die ten grondslag liggen aan deze transactie en toekomstige subsidies te onderzoeken; verzoekt de Commissie de risico’s voor Europese consumentengegevens in het kader van de verordening betreffende de screening van buitenlandse directe investeringen</w:t>
      </w:r>
      <w:r w:rsidR="005F41C7">
        <w:rPr>
          <w:rStyle w:val="FootnoteReference"/>
        </w:rPr>
        <w:footnoteReference w:id="15"/>
      </w:r>
      <w:r w:rsidR="005F41C7" w:rsidRPr="00984325">
        <w:t xml:space="preserve"> te beoordelen en te zorgen voor doeltreffende gegevenslokalisatie in overeenstemming met de gegevenssoevereiniteit van de EU en het handhavingskader van de </w:t>
      </w:r>
      <w:proofErr w:type="spellStart"/>
      <w:r w:rsidR="005F41C7" w:rsidRPr="00984325">
        <w:t>digitalemarktenverordening</w:t>
      </w:r>
      <w:proofErr w:type="spellEnd"/>
      <w:r w:rsidR="005F41C7" w:rsidRPr="00984325">
        <w:t>;</w:t>
      </w:r>
    </w:p>
    <w:p w14:paraId="5CD0161A" w14:textId="04349EF5" w:rsidR="00202203" w:rsidRPr="00202203" w:rsidRDefault="005F41C7" w:rsidP="00202203">
      <w:pPr>
        <w:pStyle w:val="NormalHanging12a"/>
      </w:pPr>
      <w:r>
        <w:t>33</w:t>
      </w:r>
      <w:r w:rsidR="00AA5C91" w:rsidRPr="00202203">
        <w:t>.</w:t>
      </w:r>
      <w:r w:rsidR="00AA5C91" w:rsidRPr="00202203">
        <w:tab/>
        <w:t>verzoekt zijn Voorzitter deze resolutie te doen toekomen aan de Commissie.</w:t>
      </w:r>
    </w:p>
    <w:sectPr w:rsidR="00202203" w:rsidRPr="00202203" w:rsidSect="002022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171D2" w14:textId="77777777" w:rsidR="000217E7" w:rsidRPr="00202203" w:rsidRDefault="000217E7">
      <w:r w:rsidRPr="00202203">
        <w:separator/>
      </w:r>
    </w:p>
  </w:endnote>
  <w:endnote w:type="continuationSeparator" w:id="0">
    <w:p w14:paraId="68F2786F" w14:textId="77777777" w:rsidR="000217E7" w:rsidRPr="00202203" w:rsidRDefault="000217E7">
      <w:r w:rsidRPr="002022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4C6D" w14:textId="77777777" w:rsidR="000217E7" w:rsidRPr="00202203" w:rsidRDefault="000217E7">
      <w:r w:rsidRPr="00202203">
        <w:separator/>
      </w:r>
    </w:p>
  </w:footnote>
  <w:footnote w:type="continuationSeparator" w:id="0">
    <w:p w14:paraId="5FB8BDC6" w14:textId="77777777" w:rsidR="000217E7" w:rsidRPr="00202203" w:rsidRDefault="000217E7">
      <w:r w:rsidRPr="00202203">
        <w:continuationSeparator/>
      </w:r>
    </w:p>
  </w:footnote>
  <w:footnote w:id="1">
    <w:p w14:paraId="57292DF0" w14:textId="6B9095C1" w:rsidR="00AA5C91" w:rsidRPr="00202203" w:rsidRDefault="00AA5C91" w:rsidP="00202203">
      <w:pPr>
        <w:pStyle w:val="FootnoteText"/>
        <w:ind w:left="567" w:hanging="567"/>
        <w:rPr>
          <w:sz w:val="24"/>
          <w:lang w:val="nl-NL"/>
        </w:rPr>
      </w:pPr>
      <w:r w:rsidRPr="00202203">
        <w:rPr>
          <w:rStyle w:val="FootnoteReference"/>
          <w:sz w:val="24"/>
          <w:lang w:val="nl-NL"/>
        </w:rPr>
        <w:footnoteRef/>
      </w:r>
      <w:r w:rsidR="00202203" w:rsidRPr="00202203">
        <w:rPr>
          <w:sz w:val="24"/>
          <w:lang w:val="nl-NL"/>
        </w:rPr>
        <w:t xml:space="preserve"> </w:t>
      </w:r>
      <w:r w:rsidR="00202203" w:rsidRPr="00202203">
        <w:rPr>
          <w:sz w:val="24"/>
          <w:lang w:val="nl-NL"/>
        </w:rPr>
        <w:tab/>
      </w:r>
      <w:r w:rsidRPr="00202203">
        <w:rPr>
          <w:sz w:val="24"/>
          <w:lang w:val="nl-NL"/>
        </w:rPr>
        <w:t>PB L 265 van 12.10.2022, blz. 1, ELI: </w:t>
      </w:r>
      <w:hyperlink r:id="rId1" w:tooltip="Geeft toegang tot dit document via de ELI URI." w:history="1">
        <w:r w:rsidRPr="00202203">
          <w:rPr>
            <w:rStyle w:val="Hyperlink"/>
            <w:sz w:val="24"/>
            <w:lang w:val="nl-NL"/>
          </w:rPr>
          <w:t>http://data.europa.eu/eli/reg/2022/1925/oj</w:t>
        </w:r>
      </w:hyperlink>
      <w:r w:rsidRPr="00202203">
        <w:rPr>
          <w:sz w:val="24"/>
          <w:lang w:val="nl-NL"/>
        </w:rPr>
        <w:t>.</w:t>
      </w:r>
    </w:p>
  </w:footnote>
  <w:footnote w:id="2">
    <w:p w14:paraId="61D43185" w14:textId="0FF5CD58"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C/2023/549, 27.10.2023, ELI: </w:t>
      </w:r>
      <w:hyperlink r:id="rId2" w:tgtFrame="_blank" w:tooltip="Geeft toegang tot dit document via de ELI URI." w:history="1">
        <w:r w:rsidRPr="00F2054D">
          <w:rPr>
            <w:rStyle w:val="Hyperlink"/>
            <w:sz w:val="24"/>
            <w:lang w:val="da-DK"/>
          </w:rPr>
          <w:t>http://data.europa.eu/eli/C/2023/549/oj</w:t>
        </w:r>
      </w:hyperlink>
      <w:r w:rsidRPr="00F2054D">
        <w:rPr>
          <w:sz w:val="24"/>
          <w:lang w:val="da-DK"/>
        </w:rPr>
        <w:t>.</w:t>
      </w:r>
    </w:p>
  </w:footnote>
  <w:footnote w:id="3">
    <w:p w14:paraId="247C9349" w14:textId="4200CB62"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C/2023/905, 15.11.2023, ELI: </w:t>
      </w:r>
      <w:hyperlink r:id="rId3" w:tgtFrame="_blank" w:tooltip="Geeft toegang tot dit document via de ELI URI." w:history="1">
        <w:r w:rsidRPr="00F2054D">
          <w:rPr>
            <w:rStyle w:val="Hyperlink"/>
            <w:sz w:val="24"/>
            <w:lang w:val="da-DK"/>
          </w:rPr>
          <w:t>http://data.europa.eu/eli/C/2023/905/oj</w:t>
        </w:r>
      </w:hyperlink>
      <w:r w:rsidRPr="00F2054D">
        <w:rPr>
          <w:sz w:val="24"/>
          <w:lang w:val="da-DK"/>
        </w:rPr>
        <w:t>.</w:t>
      </w:r>
    </w:p>
  </w:footnote>
  <w:footnote w:id="4">
    <w:p w14:paraId="5A2B146F" w14:textId="68014813"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C/2025/4646, 14.8.2025, ELI: </w:t>
      </w:r>
      <w:hyperlink r:id="rId4" w:tgtFrame="_blank" w:tooltip="Geeft toegang tot dit document via de ELI URI." w:history="1">
        <w:r w:rsidRPr="00F2054D">
          <w:rPr>
            <w:rStyle w:val="Hyperlink"/>
            <w:sz w:val="24"/>
            <w:lang w:val="da-DK"/>
          </w:rPr>
          <w:t>http://data.europa.eu/eli/C/2025/4646/oj</w:t>
        </w:r>
      </w:hyperlink>
      <w:r w:rsidRPr="00F2054D">
        <w:rPr>
          <w:sz w:val="24"/>
          <w:lang w:val="da-DK"/>
        </w:rPr>
        <w:t>.</w:t>
      </w:r>
    </w:p>
  </w:footnote>
  <w:footnote w:id="5">
    <w:p w14:paraId="41BBDA04" w14:textId="1A0A7ED3"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C/2023/552, 27.10.2023, ELI: </w:t>
      </w:r>
      <w:hyperlink r:id="rId5" w:tgtFrame="_blank" w:tooltip="Geeft toegang tot dit document via de ELI URI." w:history="1">
        <w:r w:rsidRPr="00F2054D">
          <w:rPr>
            <w:rStyle w:val="Hyperlink"/>
            <w:sz w:val="24"/>
            <w:lang w:val="da-DK"/>
          </w:rPr>
          <w:t>http://data.europa.eu/eli/C/2023/552/oj</w:t>
        </w:r>
      </w:hyperlink>
      <w:r w:rsidRPr="00F2054D">
        <w:rPr>
          <w:sz w:val="24"/>
          <w:lang w:val="da-DK"/>
        </w:rPr>
        <w:t>.</w:t>
      </w:r>
    </w:p>
  </w:footnote>
  <w:footnote w:id="6">
    <w:p w14:paraId="5EA79050" w14:textId="429A5026"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C/2023/1092, 23.11.2023, ELI: </w:t>
      </w:r>
      <w:hyperlink r:id="rId6" w:tgtFrame="_blank" w:tooltip="Geeft toegang tot dit document via de ELI URI." w:history="1">
        <w:r w:rsidRPr="00F2054D">
          <w:rPr>
            <w:rStyle w:val="Hyperlink"/>
            <w:sz w:val="24"/>
            <w:lang w:val="da-DK"/>
          </w:rPr>
          <w:t>http://data.europa.eu/eli/C/2023/1092/oj</w:t>
        </w:r>
      </w:hyperlink>
      <w:r w:rsidRPr="00F2054D">
        <w:rPr>
          <w:sz w:val="24"/>
          <w:lang w:val="da-DK"/>
        </w:rPr>
        <w:t xml:space="preserve">. </w:t>
      </w:r>
    </w:p>
  </w:footnote>
  <w:footnote w:id="7">
    <w:p w14:paraId="5D582421" w14:textId="1C325E4B"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C/2023/551, 27.10.2023, ELI: </w:t>
      </w:r>
      <w:hyperlink r:id="rId7" w:tgtFrame="_blank" w:tooltip="Geeft toegang tot dit document via de ELI URI." w:history="1">
        <w:r w:rsidRPr="00F2054D">
          <w:rPr>
            <w:rStyle w:val="Hyperlink"/>
            <w:sz w:val="24"/>
            <w:lang w:val="da-DK"/>
          </w:rPr>
          <w:t>http://data.europa.eu/eli/C/2023/551/oj</w:t>
        </w:r>
      </w:hyperlink>
      <w:r w:rsidRPr="00F2054D">
        <w:rPr>
          <w:sz w:val="24"/>
          <w:lang w:val="da-DK"/>
        </w:rPr>
        <w:t xml:space="preserve">. </w:t>
      </w:r>
    </w:p>
  </w:footnote>
  <w:footnote w:id="8">
    <w:p w14:paraId="196EE261" w14:textId="7815CA3A"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C/2024/4374, 4.7.2024, ELI: </w:t>
      </w:r>
      <w:hyperlink r:id="rId8" w:tgtFrame="_blank" w:tooltip="Geeft toegang tot dit document via de ELI URI." w:history="1">
        <w:r w:rsidRPr="00F2054D">
          <w:rPr>
            <w:rStyle w:val="Hyperlink"/>
            <w:sz w:val="24"/>
            <w:lang w:val="da-DK"/>
          </w:rPr>
          <w:t>http://data.europa.eu/eli/C/2024/4374/oj</w:t>
        </w:r>
      </w:hyperlink>
      <w:r w:rsidRPr="00F2054D">
        <w:rPr>
          <w:sz w:val="24"/>
          <w:lang w:val="da-DK"/>
        </w:rPr>
        <w:t xml:space="preserve">. </w:t>
      </w:r>
    </w:p>
  </w:footnote>
  <w:footnote w:id="9">
    <w:p w14:paraId="4DEF554A" w14:textId="3CC7756B"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C/2024/4360, 4.7.2024, ELI: </w:t>
      </w:r>
      <w:hyperlink r:id="rId9" w:tgtFrame="_blank" w:tooltip="Geeft toegang tot dit document via de ELI URI." w:history="1">
        <w:r w:rsidRPr="00F2054D">
          <w:rPr>
            <w:rStyle w:val="Hyperlink"/>
            <w:sz w:val="24"/>
            <w:lang w:val="da-DK"/>
          </w:rPr>
          <w:t>http://data.europa.eu/eli/C/2024/4360/oj</w:t>
        </w:r>
      </w:hyperlink>
      <w:r w:rsidRPr="00F2054D">
        <w:rPr>
          <w:sz w:val="24"/>
          <w:lang w:val="da-DK"/>
        </w:rPr>
        <w:t>.</w:t>
      </w:r>
    </w:p>
  </w:footnote>
  <w:footnote w:id="10">
    <w:p w14:paraId="71A7DE9B" w14:textId="04927EC2" w:rsidR="00AA5C91" w:rsidRPr="00F2054D" w:rsidRDefault="00AA5C91" w:rsidP="00202203">
      <w:pPr>
        <w:pStyle w:val="FootnoteText"/>
        <w:ind w:left="567" w:hanging="567"/>
        <w:rPr>
          <w:sz w:val="24"/>
          <w:lang w:val="da-DK"/>
        </w:rPr>
      </w:pPr>
      <w:r w:rsidRPr="00202203">
        <w:rPr>
          <w:rStyle w:val="FootnoteReference"/>
          <w:sz w:val="24"/>
          <w:lang w:val="nl-NL"/>
        </w:rPr>
        <w:footnoteRef/>
      </w:r>
      <w:r w:rsidR="00202203" w:rsidRPr="00F2054D">
        <w:rPr>
          <w:sz w:val="24"/>
          <w:lang w:val="da-DK"/>
        </w:rPr>
        <w:t xml:space="preserve"> </w:t>
      </w:r>
      <w:r w:rsidR="00202203" w:rsidRPr="00F2054D">
        <w:rPr>
          <w:sz w:val="24"/>
          <w:lang w:val="da-DK"/>
        </w:rPr>
        <w:tab/>
      </w:r>
      <w:r w:rsidRPr="00F2054D">
        <w:rPr>
          <w:sz w:val="24"/>
          <w:lang w:val="da-DK"/>
        </w:rPr>
        <w:t>PB C, C/2025/3466, 27.6.2025, ELI: </w:t>
      </w:r>
      <w:hyperlink r:id="rId10" w:tgtFrame="_blank" w:tooltip="Geeft toegang tot dit document via de ELI URI." w:history="1">
        <w:r w:rsidRPr="00F2054D">
          <w:rPr>
            <w:rStyle w:val="Hyperlink"/>
            <w:sz w:val="24"/>
            <w:lang w:val="da-DK"/>
          </w:rPr>
          <w:t>http://data.europa.eu/eli/C/2025/3466/oj</w:t>
        </w:r>
      </w:hyperlink>
      <w:r w:rsidRPr="00F2054D">
        <w:rPr>
          <w:sz w:val="24"/>
          <w:lang w:val="da-DK"/>
        </w:rPr>
        <w:t xml:space="preserve">. </w:t>
      </w:r>
    </w:p>
  </w:footnote>
  <w:footnote w:id="11">
    <w:p w14:paraId="5013E1A2" w14:textId="6ABE374C" w:rsidR="00AA5C91" w:rsidRPr="00202203" w:rsidRDefault="00AA5C91" w:rsidP="00202203">
      <w:pPr>
        <w:pStyle w:val="FootnoteText"/>
        <w:ind w:left="567" w:hanging="567"/>
        <w:rPr>
          <w:sz w:val="24"/>
          <w:lang w:val="nl-NL"/>
        </w:rPr>
      </w:pPr>
      <w:r w:rsidRPr="00202203">
        <w:rPr>
          <w:rStyle w:val="FootnoteReference"/>
          <w:sz w:val="24"/>
          <w:lang w:val="nl-NL"/>
        </w:rPr>
        <w:footnoteRef/>
      </w:r>
      <w:r w:rsidR="00202203" w:rsidRPr="00202203">
        <w:rPr>
          <w:sz w:val="24"/>
          <w:lang w:val="nl-NL"/>
        </w:rPr>
        <w:t xml:space="preserve"> </w:t>
      </w:r>
      <w:r w:rsidR="00202203" w:rsidRPr="00202203">
        <w:rPr>
          <w:sz w:val="24"/>
          <w:lang w:val="nl-NL"/>
        </w:rPr>
        <w:tab/>
      </w:r>
      <w:r w:rsidRPr="00202203">
        <w:rPr>
          <w:sz w:val="24"/>
          <w:lang w:val="nl-NL"/>
        </w:rPr>
        <w:t>PB L 102 van 17.4.2023, blz. 6, ELI: </w:t>
      </w:r>
      <w:hyperlink r:id="rId11" w:tooltip="Geeft toegang tot dit document via de ELI URI." w:history="1">
        <w:r w:rsidRPr="00202203">
          <w:rPr>
            <w:rStyle w:val="Hyperlink"/>
            <w:sz w:val="24"/>
            <w:lang w:val="nl-NL"/>
          </w:rPr>
          <w:t>http://data.europa.eu/eli/reg_impl/2023/814/oj</w:t>
        </w:r>
      </w:hyperlink>
      <w:r w:rsidRPr="00202203">
        <w:rPr>
          <w:sz w:val="24"/>
          <w:lang w:val="nl-NL"/>
        </w:rPr>
        <w:t xml:space="preserve">. </w:t>
      </w:r>
    </w:p>
  </w:footnote>
  <w:footnote w:id="12">
    <w:p w14:paraId="25C3F179" w14:textId="545E6BE6" w:rsidR="00AA5C91" w:rsidRPr="00202203" w:rsidRDefault="00AA5C91" w:rsidP="00202203">
      <w:pPr>
        <w:pStyle w:val="FootnoteText"/>
        <w:ind w:left="567" w:hanging="567"/>
        <w:rPr>
          <w:sz w:val="24"/>
          <w:lang w:val="nl-NL"/>
        </w:rPr>
      </w:pPr>
      <w:r w:rsidRPr="00202203">
        <w:rPr>
          <w:rStyle w:val="FootnoteReference"/>
          <w:sz w:val="24"/>
          <w:lang w:val="nl-NL"/>
        </w:rPr>
        <w:footnoteRef/>
      </w:r>
      <w:r w:rsidR="00202203" w:rsidRPr="00202203">
        <w:rPr>
          <w:sz w:val="24"/>
          <w:lang w:val="nl-NL"/>
        </w:rPr>
        <w:t xml:space="preserve"> </w:t>
      </w:r>
      <w:r w:rsidR="00202203" w:rsidRPr="00202203">
        <w:rPr>
          <w:sz w:val="24"/>
          <w:lang w:val="nl-NL"/>
        </w:rPr>
        <w:tab/>
      </w:r>
      <w:r w:rsidRPr="00202203">
        <w:rPr>
          <w:sz w:val="24"/>
          <w:lang w:val="nl-NL"/>
        </w:rPr>
        <w:t xml:space="preserve">Verordening (EU) 2023/2854 van het Europees Parlement en de Raad van 13 december 2023 betreffende geharmoniseerde regels </w:t>
      </w:r>
      <w:proofErr w:type="gramStart"/>
      <w:r w:rsidRPr="00202203">
        <w:rPr>
          <w:sz w:val="24"/>
          <w:lang w:val="nl-NL"/>
        </w:rPr>
        <w:t>inzake</w:t>
      </w:r>
      <w:proofErr w:type="gramEnd"/>
      <w:r w:rsidRPr="00202203">
        <w:rPr>
          <w:sz w:val="24"/>
          <w:lang w:val="nl-NL"/>
        </w:rPr>
        <w:t xml:space="preserve"> eerlijke toegang tot en eerlijk gebruik van data en tot wijziging van Verordening (EU) 2017/2394 en Richtlijn (EU) 2020/1828 (dataverordening) (PB L, 2023/2854, 22.12.2023, ELI: </w:t>
      </w:r>
      <w:hyperlink r:id="rId12" w:history="1">
        <w:r w:rsidRPr="00202203">
          <w:rPr>
            <w:rStyle w:val="Hyperlink"/>
            <w:sz w:val="24"/>
            <w:lang w:val="nl-NL"/>
          </w:rPr>
          <w:t>http://data.europa.eu/eli/reg/2023/2854/oj</w:t>
        </w:r>
      </w:hyperlink>
      <w:r w:rsidRPr="00202203">
        <w:rPr>
          <w:sz w:val="24"/>
          <w:lang w:val="nl-NL"/>
        </w:rPr>
        <w:t>).</w:t>
      </w:r>
    </w:p>
  </w:footnote>
  <w:footnote w:id="13">
    <w:p w14:paraId="69137ED4" w14:textId="4976443C" w:rsidR="00AA5C91" w:rsidRPr="00202203" w:rsidRDefault="00AA5C91" w:rsidP="00202203">
      <w:pPr>
        <w:pStyle w:val="FootnoteText"/>
        <w:ind w:left="567" w:hanging="567"/>
        <w:rPr>
          <w:sz w:val="24"/>
          <w:lang w:val="nl-NL"/>
        </w:rPr>
      </w:pPr>
      <w:r w:rsidRPr="00202203">
        <w:rPr>
          <w:rStyle w:val="FootnoteReference"/>
          <w:sz w:val="24"/>
          <w:lang w:val="nl-NL"/>
        </w:rPr>
        <w:footnoteRef/>
      </w:r>
      <w:r w:rsidR="00202203" w:rsidRPr="00202203">
        <w:rPr>
          <w:sz w:val="24"/>
          <w:lang w:val="nl-NL"/>
        </w:rPr>
        <w:t xml:space="preserve"> </w:t>
      </w:r>
      <w:r w:rsidR="00202203" w:rsidRPr="00202203">
        <w:rPr>
          <w:sz w:val="24"/>
          <w:lang w:val="nl-NL"/>
        </w:rPr>
        <w:tab/>
      </w:r>
      <w:r w:rsidRPr="00202203">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3" w:history="1">
        <w:r w:rsidRPr="00202203">
          <w:rPr>
            <w:rStyle w:val="Hyperlink"/>
            <w:sz w:val="24"/>
            <w:lang w:val="nl-NL"/>
          </w:rPr>
          <w:t>http://data.europa.eu/eli/reg/2024/1689/oj</w:t>
        </w:r>
      </w:hyperlink>
      <w:r w:rsidRPr="00202203">
        <w:rPr>
          <w:sz w:val="24"/>
          <w:lang w:val="nl-NL"/>
        </w:rPr>
        <w:t>).</w:t>
      </w:r>
    </w:p>
  </w:footnote>
  <w:footnote w:id="14">
    <w:p w14:paraId="14979027" w14:textId="4F7840B6" w:rsidR="005F41C7" w:rsidRPr="00F2054D" w:rsidRDefault="005F41C7" w:rsidP="005F41C7">
      <w:pPr>
        <w:pStyle w:val="FootnoteText"/>
        <w:rPr>
          <w:lang w:val="nl-NL"/>
        </w:rPr>
      </w:pPr>
      <w:r>
        <w:rPr>
          <w:rStyle w:val="FootnoteReference"/>
        </w:rPr>
        <w:footnoteRef/>
      </w:r>
      <w:r w:rsidRPr="00F2054D">
        <w:rPr>
          <w:lang w:val="nl-NL"/>
        </w:rPr>
        <w:t xml:space="preserve"> </w:t>
      </w:r>
      <w:r>
        <w:rPr>
          <w:lang w:val="nl-NL"/>
        </w:rPr>
        <w:tab/>
      </w:r>
      <w:r w:rsidRPr="00984325">
        <w:rPr>
          <w:lang w:val="nl-NL"/>
        </w:rPr>
        <w:t xml:space="preserve">Verordening (EU) 2022/2560 van het Europees Parlement en de Raad van 14 december 2022 betreffende buitenlandse subsidies die de interne markt verstoren (PB L 330 van 23.12.2022, blz. 1, ELI: </w:t>
      </w:r>
      <w:hyperlink r:id="rId14" w:history="1">
        <w:r w:rsidRPr="006479B5">
          <w:rPr>
            <w:rStyle w:val="Hyperlink"/>
            <w:lang w:val="nl-NL"/>
          </w:rPr>
          <w:t>http://data.europa.eu/eli/reg/2022/2560/oj</w:t>
        </w:r>
      </w:hyperlink>
      <w:r w:rsidRPr="00984325">
        <w:rPr>
          <w:lang w:val="nl-NL"/>
        </w:rPr>
        <w:t>).</w:t>
      </w:r>
    </w:p>
  </w:footnote>
  <w:footnote w:id="15">
    <w:p w14:paraId="1581D92D" w14:textId="58DB9CB8" w:rsidR="005F41C7" w:rsidRPr="00F2054D" w:rsidRDefault="005F41C7" w:rsidP="005F41C7">
      <w:pPr>
        <w:pStyle w:val="FootnoteText"/>
        <w:rPr>
          <w:lang w:val="nl-NL"/>
        </w:rPr>
      </w:pPr>
      <w:r>
        <w:rPr>
          <w:rStyle w:val="FootnoteReference"/>
        </w:rPr>
        <w:footnoteRef/>
      </w:r>
      <w:r w:rsidRPr="00F2054D">
        <w:rPr>
          <w:lang w:val="nl-NL"/>
        </w:rPr>
        <w:t xml:space="preserve"> </w:t>
      </w:r>
      <w:r>
        <w:rPr>
          <w:lang w:val="nl-NL"/>
        </w:rPr>
        <w:tab/>
      </w:r>
      <w:r w:rsidRPr="00984325">
        <w:rPr>
          <w:lang w:val="nl-NL"/>
        </w:rPr>
        <w:t xml:space="preserve">Verordening (EU) 2019/452 van het Europees Parlement en de Raad van 19 maart 2019 tot vaststelling van een kader voor de screening van buitenlandse directe investeringen in de Unie (PB L 79 I van 21.3.2019, blz. </w:t>
      </w:r>
      <w:r w:rsidRPr="00984325">
        <w:rPr>
          <w:lang w:val="nl-NL"/>
        </w:rPr>
        <w:t xml:space="preserve">1, ELI: </w:t>
      </w:r>
      <w:hyperlink r:id="rId15" w:history="1">
        <w:r w:rsidRPr="006479B5">
          <w:rPr>
            <w:rStyle w:val="Hyperlink"/>
            <w:lang w:val="nl-NL"/>
          </w:rPr>
          <w:t>http://data.europa.eu/eli/reg/2019/452/oj</w:t>
        </w:r>
      </w:hyperlink>
      <w:r w:rsidRPr="00984325">
        <w:rPr>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3308127">
    <w:abstractNumId w:val="9"/>
  </w:num>
  <w:num w:numId="2" w16cid:durableId="786243240">
    <w:abstractNumId w:val="9"/>
  </w:num>
  <w:num w:numId="3" w16cid:durableId="202210597">
    <w:abstractNumId w:val="7"/>
  </w:num>
  <w:num w:numId="4" w16cid:durableId="554585720">
    <w:abstractNumId w:val="7"/>
  </w:num>
  <w:num w:numId="5" w16cid:durableId="1536237554">
    <w:abstractNumId w:val="6"/>
  </w:num>
  <w:num w:numId="6" w16cid:durableId="563224655">
    <w:abstractNumId w:val="6"/>
  </w:num>
  <w:num w:numId="7" w16cid:durableId="1039546986">
    <w:abstractNumId w:val="5"/>
  </w:num>
  <w:num w:numId="8" w16cid:durableId="1720937441">
    <w:abstractNumId w:val="5"/>
  </w:num>
  <w:num w:numId="9" w16cid:durableId="409691575">
    <w:abstractNumId w:val="4"/>
  </w:num>
  <w:num w:numId="10" w16cid:durableId="1679845021">
    <w:abstractNumId w:val="4"/>
  </w:num>
  <w:num w:numId="11" w16cid:durableId="1863930749">
    <w:abstractNumId w:val="8"/>
  </w:num>
  <w:num w:numId="12" w16cid:durableId="373116912">
    <w:abstractNumId w:val="8"/>
  </w:num>
  <w:num w:numId="13" w16cid:durableId="738360547">
    <w:abstractNumId w:val="3"/>
  </w:num>
  <w:num w:numId="14" w16cid:durableId="254021138">
    <w:abstractNumId w:val="3"/>
  </w:num>
  <w:num w:numId="15" w16cid:durableId="1476339038">
    <w:abstractNumId w:val="2"/>
  </w:num>
  <w:num w:numId="16" w16cid:durableId="133565759">
    <w:abstractNumId w:val="2"/>
  </w:num>
  <w:num w:numId="17" w16cid:durableId="113405176">
    <w:abstractNumId w:val="1"/>
  </w:num>
  <w:num w:numId="18" w16cid:durableId="570118863">
    <w:abstractNumId w:val="1"/>
  </w:num>
  <w:num w:numId="19" w16cid:durableId="898904218">
    <w:abstractNumId w:val="0"/>
  </w:num>
  <w:num w:numId="20" w16cid:durableId="707531980">
    <w:abstractNumId w:val="0"/>
  </w:num>
  <w:num w:numId="21" w16cid:durableId="694817744">
    <w:abstractNumId w:val="9"/>
  </w:num>
  <w:num w:numId="22" w16cid:durableId="1898469248">
    <w:abstractNumId w:val="7"/>
  </w:num>
  <w:num w:numId="23" w16cid:durableId="1398238688">
    <w:abstractNumId w:val="6"/>
  </w:num>
  <w:num w:numId="24" w16cid:durableId="1925801612">
    <w:abstractNumId w:val="5"/>
  </w:num>
  <w:num w:numId="25" w16cid:durableId="77289509">
    <w:abstractNumId w:val="4"/>
  </w:num>
  <w:num w:numId="26" w16cid:durableId="377750480">
    <w:abstractNumId w:val="8"/>
  </w:num>
  <w:num w:numId="27" w16cid:durableId="2107267151">
    <w:abstractNumId w:val="3"/>
  </w:num>
  <w:num w:numId="28" w16cid:durableId="1281952301">
    <w:abstractNumId w:val="2"/>
  </w:num>
  <w:num w:numId="29" w16cid:durableId="528035136">
    <w:abstractNumId w:val="1"/>
  </w:num>
  <w:num w:numId="30" w16cid:durableId="2029403401">
    <w:abstractNumId w:val="0"/>
  </w:num>
  <w:num w:numId="31" w16cid:durableId="2144731531">
    <w:abstractNumId w:val="9"/>
  </w:num>
  <w:num w:numId="32" w16cid:durableId="474106590">
    <w:abstractNumId w:val="7"/>
  </w:num>
  <w:num w:numId="33" w16cid:durableId="81609357">
    <w:abstractNumId w:val="6"/>
  </w:num>
  <w:num w:numId="34" w16cid:durableId="686638448">
    <w:abstractNumId w:val="5"/>
  </w:num>
  <w:num w:numId="35" w16cid:durableId="749082899">
    <w:abstractNumId w:val="4"/>
  </w:num>
  <w:num w:numId="36" w16cid:durableId="2116245231">
    <w:abstractNumId w:val="8"/>
  </w:num>
  <w:num w:numId="37" w16cid:durableId="1254166664">
    <w:abstractNumId w:val="3"/>
  </w:num>
  <w:num w:numId="38" w16cid:durableId="1360158312">
    <w:abstractNumId w:val="2"/>
  </w:num>
  <w:num w:numId="39" w16cid:durableId="1270159255">
    <w:abstractNumId w:val="1"/>
  </w:num>
  <w:num w:numId="40" w16cid:durableId="957028721">
    <w:abstractNumId w:val="0"/>
  </w:num>
  <w:num w:numId="41" w16cid:durableId="2088528372">
    <w:abstractNumId w:val="10"/>
  </w:num>
  <w:num w:numId="42" w16cid:durableId="2052730649">
    <w:abstractNumId w:val="10"/>
  </w:num>
  <w:num w:numId="43" w16cid:durableId="72286408">
    <w:abstractNumId w:val="10"/>
  </w:num>
  <w:num w:numId="44" w16cid:durableId="14868956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NL"/>
    <w:docVar w:name="dvnumam" w:val="0"/>
    <w:docVar w:name="dvpe" w:val="785.295"/>
    <w:docVar w:name="dvtitre" w:val="Resolutie van het Europees Parlement van xx april 2026 over de handhaving van de digitalemarktenverordening(2026/2596(RSP))"/>
  </w:docVars>
  <w:rsids>
    <w:rsidRoot w:val="000217E7"/>
    <w:rsid w:val="00002272"/>
    <w:rsid w:val="00011EBF"/>
    <w:rsid w:val="000217E7"/>
    <w:rsid w:val="00064002"/>
    <w:rsid w:val="000677B9"/>
    <w:rsid w:val="000831BA"/>
    <w:rsid w:val="000A42CC"/>
    <w:rsid w:val="000E7DD9"/>
    <w:rsid w:val="0010095E"/>
    <w:rsid w:val="00125B37"/>
    <w:rsid w:val="00187494"/>
    <w:rsid w:val="001F32AE"/>
    <w:rsid w:val="00202203"/>
    <w:rsid w:val="002560E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1C7"/>
    <w:rsid w:val="006037C0"/>
    <w:rsid w:val="006479B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297"/>
    <w:rsid w:val="008C2AC6"/>
    <w:rsid w:val="00930C23"/>
    <w:rsid w:val="0093193B"/>
    <w:rsid w:val="009509D8"/>
    <w:rsid w:val="00950B64"/>
    <w:rsid w:val="00981893"/>
    <w:rsid w:val="00984325"/>
    <w:rsid w:val="009E362E"/>
    <w:rsid w:val="00A11C99"/>
    <w:rsid w:val="00A1687D"/>
    <w:rsid w:val="00A43E52"/>
    <w:rsid w:val="00A4520D"/>
    <w:rsid w:val="00A4678D"/>
    <w:rsid w:val="00A778C7"/>
    <w:rsid w:val="00AA5C9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54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2C004"/>
  <w15:chartTrackingRefBased/>
  <w15:docId w15:val="{2E29187B-A737-47C3-AE77-C61B1328F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5C91"/>
    <w:pPr>
      <w:spacing w:before="480" w:after="240"/>
    </w:pPr>
  </w:style>
  <w:style w:type="paragraph" w:customStyle="1" w:styleId="NormalHanging12a">
    <w:name w:val="NormalHanging12a"/>
    <w:basedOn w:val="Normal"/>
    <w:rsid w:val="00AA5C91"/>
    <w:pPr>
      <w:spacing w:after="240"/>
      <w:ind w:left="567" w:hanging="567"/>
    </w:pPr>
  </w:style>
  <w:style w:type="character" w:styleId="Hyperlink">
    <w:name w:val="Hyperlink"/>
    <w:basedOn w:val="DefaultParagraphFont"/>
    <w:uiPriority w:val="99"/>
    <w:unhideWhenUsed/>
    <w:rsid w:val="00AA5C91"/>
    <w:rPr>
      <w:color w:val="0563C1" w:themeColor="hyperlink"/>
      <w:u w:val="single"/>
    </w:rPr>
  </w:style>
  <w:style w:type="paragraph" w:styleId="Revision">
    <w:name w:val="Revision"/>
    <w:hidden/>
    <w:uiPriority w:val="99"/>
    <w:semiHidden/>
    <w:rsid w:val="00A11C99"/>
    <w:rPr>
      <w:sz w:val="24"/>
      <w:lang w:val="nl-NL"/>
    </w:rPr>
  </w:style>
  <w:style w:type="character" w:styleId="UnresolvedMention">
    <w:name w:val="Unresolved Mention"/>
    <w:basedOn w:val="DefaultParagraphFont"/>
    <w:uiPriority w:val="99"/>
    <w:semiHidden/>
    <w:unhideWhenUsed/>
    <w:rsid w:val="00647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4541</Words>
  <Characters>29709</Characters>
  <Application>Microsoft Office Word</Application>
  <DocSecurity>0</DocSecurity>
  <Lines>247</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2026-04-30T12:31:00Z</dcterms:created>
  <dcterms:modified xsi:type="dcterms:W3CDTF">2026-04-30T12:31:00Z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B10-0190/2026</vt:lpwstr>
  </property>
  <property fmtid="{D5CDD505-2E9C-101B-9397-08002B2CF9AE}" pid="4" name="&lt;Type&gt;">
    <vt:lpwstr>RR</vt:lpwstr>
  </property>
</Properties>
</file>