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1CA7" w14:paraId="4B9121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913DDA" w14:textId="7226AC0A" w:rsidR="00751A4A" w:rsidRPr="00C01CA7" w:rsidRDefault="0097397D" w:rsidP="0010095E">
            <w:pPr>
              <w:pStyle w:val="EPName"/>
            </w:pPr>
            <w:r w:rsidRPr="00C01CA7">
              <w:t>Parlament Europejski</w:t>
            </w:r>
          </w:p>
          <w:p w14:paraId="5DFE85DF" w14:textId="77777777" w:rsidR="00751A4A" w:rsidRPr="00C01C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1CA7">
              <w:t>2024</w:t>
            </w:r>
            <w:r w:rsidR="00817416" w:rsidRPr="00C01CA7">
              <w:t>-202</w:t>
            </w:r>
            <w:r w:rsidRPr="00C01CA7">
              <w:t>9</w:t>
            </w:r>
          </w:p>
        </w:tc>
        <w:tc>
          <w:tcPr>
            <w:tcW w:w="2268" w:type="dxa"/>
            <w:shd w:val="clear" w:color="auto" w:fill="auto"/>
          </w:tcPr>
          <w:p w14:paraId="0862A644" w14:textId="77777777" w:rsidR="00751A4A" w:rsidRPr="00C01CA7" w:rsidRDefault="00187494" w:rsidP="0010095E">
            <w:pPr>
              <w:pStyle w:val="EPLogo"/>
            </w:pPr>
            <w:r w:rsidRPr="00C01CA7">
              <w:rPr>
                <w:noProof/>
                <w:lang w:eastAsia="ja-JP"/>
              </w:rPr>
              <w:drawing>
                <wp:inline distT="0" distB="0" distL="0" distR="0" wp14:anchorId="08AF21E5" wp14:editId="41B40D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0BD19" w14:textId="77777777" w:rsidR="00D058B8" w:rsidRPr="00C01CA7" w:rsidRDefault="00D058B8" w:rsidP="004C5D52">
      <w:pPr>
        <w:pStyle w:val="LineTop"/>
      </w:pPr>
    </w:p>
    <w:p w14:paraId="12231544" w14:textId="1511D02F" w:rsidR="00680577" w:rsidRPr="00C01CA7" w:rsidRDefault="0097397D" w:rsidP="00680577">
      <w:pPr>
        <w:pStyle w:val="EPBodyTA1"/>
      </w:pPr>
      <w:r w:rsidRPr="00C01CA7">
        <w:t>TEKSTY PRZYJĘTE</w:t>
      </w:r>
    </w:p>
    <w:p w14:paraId="66F3997B" w14:textId="77777777" w:rsidR="00D058B8" w:rsidRPr="00C01CA7" w:rsidRDefault="00D058B8" w:rsidP="00D058B8">
      <w:pPr>
        <w:pStyle w:val="LineBottom"/>
      </w:pPr>
    </w:p>
    <w:p w14:paraId="172EFB51" w14:textId="167E85B1" w:rsidR="0097397D" w:rsidRPr="00C01CA7" w:rsidRDefault="0097397D" w:rsidP="0097397D">
      <w:pPr>
        <w:pStyle w:val="ATHeading1"/>
      </w:pPr>
      <w:bookmarkStart w:id="0" w:name="TANumber"/>
      <w:r w:rsidRPr="00C01CA7">
        <w:t>P10_</w:t>
      </w:r>
      <w:proofErr w:type="gramStart"/>
      <w:r w:rsidRPr="00C01CA7">
        <w:t>TA(</w:t>
      </w:r>
      <w:proofErr w:type="gramEnd"/>
      <w:r w:rsidRPr="00C01CA7">
        <w:t>2026)0</w:t>
      </w:r>
      <w:r w:rsidR="00EB7B4F">
        <w:t>16</w:t>
      </w:r>
      <w:r w:rsidRPr="00C01CA7">
        <w:t>0</w:t>
      </w:r>
      <w:bookmarkEnd w:id="0"/>
    </w:p>
    <w:p w14:paraId="4529B0E1" w14:textId="62A7A131" w:rsidR="0097397D" w:rsidRPr="00890B01" w:rsidRDefault="00890B01" w:rsidP="0097397D">
      <w:pPr>
        <w:pStyle w:val="ATHeading2"/>
      </w:pPr>
      <w:r w:rsidRPr="00890B01">
        <w:rPr>
          <w:bCs/>
        </w:rPr>
        <w:t>Egzekwowanie aktu o rynkach cyfrowych</w:t>
      </w:r>
    </w:p>
    <w:p w14:paraId="3692A07C" w14:textId="77777777" w:rsidR="0097397D" w:rsidRPr="00C01CA7" w:rsidRDefault="0097397D" w:rsidP="0097397D">
      <w:pPr>
        <w:rPr>
          <w:i/>
          <w:vanish/>
        </w:rPr>
      </w:pPr>
      <w:r w:rsidRPr="00C01CA7">
        <w:rPr>
          <w:i/>
        </w:rPr>
        <w:fldChar w:fldCharType="begin"/>
      </w:r>
      <w:r w:rsidRPr="00C01CA7">
        <w:rPr>
          <w:i/>
        </w:rPr>
        <w:instrText xml:space="preserve"> TC"(</w:instrText>
      </w:r>
      <w:bookmarkStart w:id="1" w:name="DocNumber"/>
      <w:r w:rsidRPr="00C01CA7">
        <w:rPr>
          <w:i/>
        </w:rPr>
        <w:instrText>B10-0190/2026</w:instrText>
      </w:r>
      <w:bookmarkEnd w:id="1"/>
      <w:r w:rsidRPr="00C01CA7">
        <w:rPr>
          <w:i/>
        </w:rPr>
        <w:instrText xml:space="preserve">)"\l3 \n&gt; \* MERGEFORMAT </w:instrText>
      </w:r>
      <w:r w:rsidRPr="00C01CA7">
        <w:rPr>
          <w:i/>
        </w:rPr>
        <w:fldChar w:fldCharType="end"/>
      </w:r>
    </w:p>
    <w:p w14:paraId="30186B6A" w14:textId="77777777" w:rsidR="0097397D" w:rsidRPr="00C01CA7" w:rsidRDefault="0097397D" w:rsidP="0097397D">
      <w:pPr>
        <w:rPr>
          <w:vanish/>
        </w:rPr>
      </w:pPr>
      <w:bookmarkStart w:id="2" w:name="PE"/>
      <w:r w:rsidRPr="00C01CA7">
        <w:rPr>
          <w:vanish/>
        </w:rPr>
        <w:t>PE785.295</w:t>
      </w:r>
      <w:bookmarkEnd w:id="2"/>
    </w:p>
    <w:p w14:paraId="031F0EF6" w14:textId="178A5014" w:rsidR="0097397D" w:rsidRPr="00C01CA7" w:rsidRDefault="0097397D" w:rsidP="00890B01">
      <w:pPr>
        <w:pStyle w:val="ATHeading3"/>
      </w:pPr>
      <w:bookmarkStart w:id="3" w:name="Sujet"/>
      <w:r w:rsidRPr="00C01CA7">
        <w:t xml:space="preserve">Rezolucja Parlamentu Europejskiego z dnia </w:t>
      </w:r>
      <w:r w:rsidR="00890B01">
        <w:t>30 kwietnia</w:t>
      </w:r>
      <w:r w:rsidRPr="00C01CA7">
        <w:t xml:space="preserve"> 2026 r. w sprawie egzekwowania aktu o rynkach cyfrowych</w:t>
      </w:r>
      <w:bookmarkEnd w:id="3"/>
      <w:r w:rsidRPr="00C01CA7">
        <w:t xml:space="preserve"> </w:t>
      </w:r>
      <w:bookmarkStart w:id="4" w:name="References"/>
      <w:r w:rsidRPr="00C01CA7">
        <w:t>(2026/2596(RSP))</w:t>
      </w:r>
      <w:bookmarkEnd w:id="4"/>
    </w:p>
    <w:p w14:paraId="1F833EC2" w14:textId="77777777" w:rsidR="00DC4E55" w:rsidRPr="00C01CA7" w:rsidRDefault="00DC4E55" w:rsidP="00DC4E55">
      <w:pPr>
        <w:pStyle w:val="EPComma"/>
      </w:pPr>
      <w:bookmarkStart w:id="5" w:name="TextBodyBegin"/>
      <w:bookmarkEnd w:id="5"/>
      <w:r w:rsidRPr="00C01CA7">
        <w:rPr>
          <w:i/>
        </w:rPr>
        <w:t>Parlament Europejski</w:t>
      </w:r>
      <w:r w:rsidRPr="00C01CA7">
        <w:t>,</w:t>
      </w:r>
    </w:p>
    <w:p w14:paraId="090B64AF" w14:textId="77777777" w:rsidR="00DC4E55" w:rsidRPr="00C01CA7" w:rsidRDefault="00DC4E55" w:rsidP="00DC4E55">
      <w:pPr>
        <w:pStyle w:val="NormalHanging12a"/>
      </w:pPr>
      <w:r w:rsidRPr="00C01CA7">
        <w:t>–</w:t>
      </w:r>
      <w:r w:rsidRPr="00C01CA7">
        <w:tab/>
        <w:t xml:space="preserve">uwzględniając rozporządzenie Parlamentu Europejskiego i Rady (UE) 2022/1925 z 14 września 2022 r. w sprawie </w:t>
      </w:r>
      <w:proofErr w:type="spellStart"/>
      <w:r w:rsidRPr="00C01CA7">
        <w:t>kontestowalnych</w:t>
      </w:r>
      <w:proofErr w:type="spellEnd"/>
      <w:r w:rsidRPr="00C01CA7">
        <w:t xml:space="preserve"> i uczciwych rynków w sektorze cyfrowym oraz zmiany dyrektyw (UE) 2019/1937 i (UE) 2020/1828 (akt o rynkach cyfrowych)</w:t>
      </w:r>
      <w:r w:rsidRPr="00C01CA7">
        <w:rPr>
          <w:rStyle w:val="FootnoteReference"/>
        </w:rPr>
        <w:footnoteReference w:id="1"/>
      </w:r>
      <w:r w:rsidRPr="00C01CA7">
        <w:t>, w szczególności jego art. 53,</w:t>
      </w:r>
    </w:p>
    <w:p w14:paraId="152236A3" w14:textId="6FE9AE76" w:rsidR="00DC4E55" w:rsidRPr="00C01CA7" w:rsidRDefault="00DC4E55" w:rsidP="00DC4E55">
      <w:pPr>
        <w:pStyle w:val="NormalHanging12a"/>
      </w:pPr>
      <w:r w:rsidRPr="00C01CA7">
        <w:t>–</w:t>
      </w:r>
      <w:r w:rsidRPr="00C01CA7">
        <w:tab/>
        <w:t>uwzględniając pytanie do Komisji w sprawie egzekwowania aktu o rynkach cyfrowych (O-0000</w:t>
      </w:r>
      <w:r w:rsidR="00890B01">
        <w:t>16/2026</w:t>
      </w:r>
      <w:r w:rsidRPr="00C01CA7">
        <w:t xml:space="preserve"> – B10</w:t>
      </w:r>
      <w:r w:rsidRPr="00C01CA7">
        <w:noBreakHyphen/>
        <w:t>00</w:t>
      </w:r>
      <w:r w:rsidR="00890B01">
        <w:t>1</w:t>
      </w:r>
      <w:r w:rsidRPr="00C01CA7">
        <w:t>0/2026),</w:t>
      </w:r>
    </w:p>
    <w:p w14:paraId="5C96D35F" w14:textId="77777777" w:rsidR="00DC4E55" w:rsidRPr="00C01CA7" w:rsidRDefault="00DC4E55" w:rsidP="00DC4E55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C01CA7">
        <w:t>–</w:t>
      </w:r>
      <w:r w:rsidRPr="00C01CA7">
        <w:tab/>
        <w:t xml:space="preserve">uwzględniając decyzje Komisji z 6 września 2023 r. przyjęte na podstawie art. 3 rozporządzenia (UE) 2022/1925, w których wskazano przedsiębiorstwa </w:t>
      </w:r>
      <w:proofErr w:type="spellStart"/>
      <w:r w:rsidRPr="00C01CA7">
        <w:t>Alphabet</w:t>
      </w:r>
      <w:proofErr w:type="spellEnd"/>
      <w:r w:rsidRPr="00C01CA7">
        <w:rPr>
          <w:rFonts w:eastAsia="MS Mincho"/>
          <w:vertAlign w:val="superscript"/>
          <w:lang w:eastAsia="en-US"/>
        </w:rPr>
        <w:footnoteReference w:id="2"/>
      </w:r>
      <w:r w:rsidRPr="00C01CA7">
        <w:t>, Amazon</w:t>
      </w:r>
      <w:r w:rsidRPr="00C01CA7">
        <w:rPr>
          <w:rFonts w:eastAsia="MS Mincho"/>
          <w:vertAlign w:val="superscript"/>
          <w:lang w:eastAsia="en-US"/>
        </w:rPr>
        <w:footnoteReference w:id="3"/>
      </w:r>
      <w:r w:rsidRPr="00C01CA7">
        <w:t>, Apple</w:t>
      </w:r>
      <w:r w:rsidRPr="00C01CA7">
        <w:rPr>
          <w:rFonts w:eastAsia="MS Mincho"/>
          <w:vertAlign w:val="superscript"/>
          <w:lang w:eastAsia="en-US"/>
        </w:rPr>
        <w:footnoteReference w:id="4"/>
      </w:r>
      <w:r w:rsidRPr="00C01CA7">
        <w:t xml:space="preserve">, </w:t>
      </w:r>
      <w:proofErr w:type="spellStart"/>
      <w:r w:rsidRPr="00C01CA7">
        <w:t>ByteDance</w:t>
      </w:r>
      <w:proofErr w:type="spellEnd"/>
      <w:r w:rsidRPr="00C01CA7">
        <w:rPr>
          <w:rFonts w:eastAsia="MS Mincho"/>
          <w:vertAlign w:val="superscript"/>
          <w:lang w:eastAsia="en-US"/>
        </w:rPr>
        <w:footnoteReference w:id="5"/>
      </w:r>
      <w:r w:rsidRPr="00C01CA7">
        <w:t>, Meta</w:t>
      </w:r>
      <w:r w:rsidRPr="00C01CA7">
        <w:rPr>
          <w:rFonts w:eastAsia="MS Mincho"/>
          <w:vertAlign w:val="superscript"/>
          <w:lang w:eastAsia="en-US"/>
        </w:rPr>
        <w:footnoteReference w:id="6"/>
      </w:r>
      <w:r w:rsidRPr="00C01CA7">
        <w:t xml:space="preserve"> i Microsoft</w:t>
      </w:r>
      <w:r w:rsidRPr="00C01CA7">
        <w:rPr>
          <w:rFonts w:eastAsia="MS Mincho"/>
          <w:vertAlign w:val="superscript"/>
          <w:lang w:eastAsia="en-US"/>
        </w:rPr>
        <w:footnoteReference w:id="7"/>
      </w:r>
      <w:r w:rsidRPr="00C01CA7">
        <w:t xml:space="preserve"> jako strażników dostępu w odniesieniu do wielu podstawowych usług platformowych,</w:t>
      </w:r>
    </w:p>
    <w:p w14:paraId="2137BA48" w14:textId="77777777" w:rsidR="00DC4E55" w:rsidRPr="00C01CA7" w:rsidRDefault="00DC4E55" w:rsidP="00DC4E55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C01CA7">
        <w:t>–</w:t>
      </w:r>
      <w:r w:rsidRPr="00C01CA7">
        <w:tab/>
        <w:t>uwzględniając decyzję Komisji z dnia 29 kwietnia 2024 r.</w:t>
      </w:r>
      <w:r w:rsidRPr="00C01CA7">
        <w:rPr>
          <w:rFonts w:eastAsia="MS Mincho"/>
          <w:szCs w:val="24"/>
          <w:vertAlign w:val="superscript"/>
          <w:lang w:eastAsia="en-US"/>
        </w:rPr>
        <w:footnoteReference w:id="8"/>
      </w:r>
      <w:r w:rsidRPr="00C01CA7">
        <w:t xml:space="preserve">, przyjętą na podstawie art. 3 rozporządzenia (UE) 2022/1925, w której wskazano system operacyjny </w:t>
      </w:r>
      <w:proofErr w:type="spellStart"/>
      <w:r w:rsidRPr="00C01CA7">
        <w:t>iPadOS</w:t>
      </w:r>
      <w:proofErr w:type="spellEnd"/>
      <w:r w:rsidRPr="00C01CA7">
        <w:t xml:space="preserve"> przedsiębiorstwa Apple jako podstawową usługę platformową,</w:t>
      </w:r>
    </w:p>
    <w:p w14:paraId="71F21CAB" w14:textId="77777777" w:rsidR="00DC4E55" w:rsidRPr="00C01CA7" w:rsidRDefault="00DC4E55" w:rsidP="00DC4E55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C01CA7">
        <w:t>–</w:t>
      </w:r>
      <w:r w:rsidRPr="00C01CA7">
        <w:tab/>
        <w:t>uwzględniając decyzję Komisji z dnia 13 maja 2024 r.</w:t>
      </w:r>
      <w:r w:rsidRPr="00C01CA7">
        <w:rPr>
          <w:rFonts w:eastAsia="MS Mincho"/>
          <w:szCs w:val="24"/>
          <w:vertAlign w:val="superscript"/>
          <w:lang w:eastAsia="en-US"/>
        </w:rPr>
        <w:footnoteReference w:id="9"/>
      </w:r>
      <w:r w:rsidRPr="00C01CA7">
        <w:t>, przyjętą na podstawie art. 3 rozporządzenia (UE) 2022/1925, w której wskazano Booking.com jako strażnika dostępu w odniesieniu do świadczonych przez niego usług pośrednictwa internetowego,</w:t>
      </w:r>
    </w:p>
    <w:p w14:paraId="7042B505" w14:textId="77777777" w:rsidR="00DC4E55" w:rsidRPr="00C01CA7" w:rsidRDefault="00DC4E55" w:rsidP="00DC4E55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C01CA7">
        <w:lastRenderedPageBreak/>
        <w:t>–</w:t>
      </w:r>
      <w:r w:rsidRPr="00C01CA7">
        <w:tab/>
        <w:t>uwzględniając decyzję Komisji z 23 kwietnia 2025 r.</w:t>
      </w:r>
      <w:r w:rsidRPr="00C01CA7">
        <w:rPr>
          <w:rFonts w:eastAsia="MS Mincho"/>
          <w:szCs w:val="24"/>
          <w:vertAlign w:val="superscript"/>
          <w:lang w:eastAsia="en-US"/>
        </w:rPr>
        <w:footnoteReference w:id="10"/>
      </w:r>
      <w:r w:rsidRPr="00C01CA7">
        <w:t xml:space="preserve"> przyjętą na podstawie art. 29 ust. 1 lit. a), art. 30 ust. 1 lit. a) i art. 31 ust. 1 lit. h) rozporządzenia (UE) 2022/1925, w której cofnięto wskazanie platformy Facebook Marketplace przedsiębiorstwa Meta jako podstawowej usługi platformowej,</w:t>
      </w:r>
    </w:p>
    <w:p w14:paraId="4A27660B" w14:textId="77777777" w:rsidR="00DC4E55" w:rsidRPr="00C01CA7" w:rsidRDefault="00DC4E55" w:rsidP="00DC4E55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C01CA7">
        <w:t>–</w:t>
      </w:r>
      <w:r w:rsidRPr="00C01CA7">
        <w:tab/>
        <w:t>uwzględniając rozporządzenie wykonawcze Komisji (UE) 2023/814 z dnia 14 kwietnia 2023 r. w sprawie szczegółowych ustaleń dotyczących prowadzenia przez Komisję niektórych postępowań na podstawie rozporządzenia Parlamentu Europejskiego i Rady (UE) 2022/1925</w:t>
      </w:r>
      <w:r w:rsidRPr="00C01CA7">
        <w:rPr>
          <w:rFonts w:eastAsia="MS Mincho"/>
          <w:szCs w:val="24"/>
          <w:vertAlign w:val="superscript"/>
          <w:lang w:eastAsia="en-US"/>
        </w:rPr>
        <w:footnoteReference w:id="11"/>
      </w:r>
      <w:r w:rsidRPr="00C01CA7">
        <w:t>,</w:t>
      </w:r>
    </w:p>
    <w:p w14:paraId="01D28209" w14:textId="77777777" w:rsidR="00DC4E55" w:rsidRPr="00C01CA7" w:rsidRDefault="00DC4E55" w:rsidP="00DC4E55">
      <w:pPr>
        <w:pStyle w:val="NormalHanging12a"/>
      </w:pPr>
      <w:r w:rsidRPr="00C01CA7">
        <w:t>–</w:t>
      </w:r>
      <w:r w:rsidRPr="00C01CA7">
        <w:tab/>
        <w:t>uwzględniając art. 142 ust. 5 i art. 136 ust. 2 Regulaminu</w:t>
      </w:r>
    </w:p>
    <w:p w14:paraId="03D34999" w14:textId="77777777" w:rsidR="00DC4E55" w:rsidRPr="00C01CA7" w:rsidRDefault="00DC4E55" w:rsidP="00DC4E55">
      <w:pPr>
        <w:pStyle w:val="NormalHanging12a"/>
      </w:pPr>
      <w:r w:rsidRPr="00C01CA7">
        <w:t>A.</w:t>
      </w:r>
      <w:r w:rsidRPr="00C01CA7">
        <w:tab/>
        <w:t xml:space="preserve">mając na uwadze, że w akcie o rynkach cyfrowych ustanowiono zharmonizowane ramy regulacyjne ex </w:t>
      </w:r>
      <w:proofErr w:type="spellStart"/>
      <w:r w:rsidRPr="00C01CA7">
        <w:t>ante</w:t>
      </w:r>
      <w:proofErr w:type="spellEnd"/>
      <w:r w:rsidRPr="00C01CA7">
        <w:t xml:space="preserve">, aby zapewnić uczciwe, otwarte i </w:t>
      </w:r>
      <w:proofErr w:type="spellStart"/>
      <w:r w:rsidRPr="00C01CA7">
        <w:t>kontestowalne</w:t>
      </w:r>
      <w:proofErr w:type="spellEnd"/>
      <w:r w:rsidRPr="00C01CA7">
        <w:t xml:space="preserve"> rynki cyfrowe w całej UE, zapobiegać nieuczciwym praktykom strażników dostępu, chronić integralność i prawidłowe funkcjonowanie jednolitego rynku, zapewnić skuteczne i niedyskryminacyjne stosowanie obowiązków wobec wszystkich wskazanych strażników dostępu, usuwać bariery wejścia na rynek oraz promować transgraniczne usługi cyfrowe, innowacje, wybór dla konsumentów i uczciwą konkurencję w całej UE;</w:t>
      </w:r>
    </w:p>
    <w:p w14:paraId="5BBB1A25" w14:textId="77777777" w:rsidR="00DC4E55" w:rsidRPr="00C01CA7" w:rsidRDefault="00DC4E55" w:rsidP="00DC4E55">
      <w:pPr>
        <w:pStyle w:val="NormalHanging12a"/>
      </w:pPr>
      <w:r w:rsidRPr="00C01CA7">
        <w:t>B.</w:t>
      </w:r>
      <w:r w:rsidRPr="00C01CA7">
        <w:tab/>
        <w:t>mając na uwadze, że akt o rynkach cyfrowych ma przynieść realne korzyści rynkom cyfrowym oraz zagwarantować, że użytkownicy biznesowi i użytkownicy końcowi będą mogli skutecznie korzystać z praw przysługujących im na mocy rozporządzenia, a praktyki strażników dostępu nie będą już tworzyć barier strukturalnych utrudniających wejście na rynek lub ograniczających zdolności do rozwoju lub innowacji na jednolitym rynku, a także ma zapobiegać efektom uzależnienia konsumentów od jednego dostawcy, które zniechęcają ich do korzystania z innej usługi;</w:t>
      </w:r>
    </w:p>
    <w:p w14:paraId="33E6EAAE" w14:textId="77777777" w:rsidR="00DC4E55" w:rsidRPr="00C01CA7" w:rsidRDefault="00DC4E55" w:rsidP="00DC4E55">
      <w:pPr>
        <w:pStyle w:val="NormalHanging12a"/>
      </w:pPr>
      <w:r w:rsidRPr="00C01CA7">
        <w:t>C.</w:t>
      </w:r>
      <w:r w:rsidRPr="00C01CA7">
        <w:tab/>
        <w:t>mając na uwadze, że Parlament sprawuje demokratyczną kontrolę nad wdrażaniem i egzekwowaniem aktu o rynkach cyfrowych, w szczególności za pośrednictwem Komisji Rynku Wewnętrznego i Ochrony Konsumentów (IMCO);</w:t>
      </w:r>
    </w:p>
    <w:p w14:paraId="3CC5D952" w14:textId="77777777" w:rsidR="00DC4E55" w:rsidRPr="00C01CA7" w:rsidRDefault="00DC4E55" w:rsidP="00DC4E55">
      <w:pPr>
        <w:pStyle w:val="NormalHanging12a"/>
      </w:pPr>
      <w:r w:rsidRPr="00C01CA7">
        <w:t>D.</w:t>
      </w:r>
      <w:r w:rsidRPr="00C01CA7">
        <w:tab/>
        <w:t>mając na uwadze, że wczesny etap wdrażania aktu o rynkach cyfrowych potwierdza jego znaczenie jako jednego z kluczowych narzędzi poprawy otwartości i uczciwości rynku, konkurencji i wyboru dla użytkowników w UE, a także podkreślając, że wszystkie przedsiębiorstwa działające w UE, niezależnie od wielkości czy pochodzenia, muszą w pełni przestrzegać prawa UE i postępować zgodnie z nim;</w:t>
      </w:r>
    </w:p>
    <w:p w14:paraId="0D2EFCE7" w14:textId="77777777" w:rsidR="00DC4E55" w:rsidRPr="00C01CA7" w:rsidRDefault="00DC4E55" w:rsidP="00DC4E55">
      <w:pPr>
        <w:pStyle w:val="NormalHanging12a"/>
      </w:pPr>
      <w:r w:rsidRPr="00C01CA7">
        <w:t>E.</w:t>
      </w:r>
      <w:r w:rsidRPr="00C01CA7">
        <w:tab/>
        <w:t>mając na uwadze, że wdrażanie aktu o rynkach cyfrowych jest nadal na wczesnym etapie i stwarza wyzwania w zakresie terminowego i skutecznego egzekwowania przepisów, zdolności do prowadzenia monitorowania oraz praktycznej skuteczności niektórych rozwiązań w zakresie zgodności, zwłaszcza ze względu na złożoność podstawowych technologii, projektowanie interfejsów użytkownika i architekturę wyboru;</w:t>
      </w:r>
    </w:p>
    <w:p w14:paraId="5EA8E2C9" w14:textId="77777777" w:rsidR="00DC4E55" w:rsidRPr="00C01CA7" w:rsidRDefault="00DC4E55" w:rsidP="00DC4E55">
      <w:pPr>
        <w:pStyle w:val="NormalHanging12a"/>
      </w:pPr>
      <w:r w:rsidRPr="00C01CA7">
        <w:t>F.</w:t>
      </w:r>
      <w:r w:rsidRPr="00C01CA7">
        <w:tab/>
        <w:t>mając na uwadze, że mniejsze przedsiębiorstwa, w tym przedsiębiorstwa typu start-</w:t>
      </w:r>
      <w:proofErr w:type="spellStart"/>
      <w:r w:rsidRPr="00C01CA7">
        <w:t>up</w:t>
      </w:r>
      <w:proofErr w:type="spellEnd"/>
      <w:r w:rsidRPr="00C01CA7">
        <w:t xml:space="preserve"> i innowacyjne przedsiębiorstwa </w:t>
      </w:r>
      <w:proofErr w:type="spellStart"/>
      <w:r w:rsidRPr="00C01CA7">
        <w:t>scale-up</w:t>
      </w:r>
      <w:proofErr w:type="spellEnd"/>
      <w:r w:rsidRPr="00C01CA7">
        <w:t xml:space="preserve">, nadal napotykają bariery i nieuczciwe przeszkody na rynkach cyfrowych, w tym praktyki dyskryminacyjne i ograniczenia </w:t>
      </w:r>
      <w:r w:rsidRPr="00C01CA7">
        <w:lastRenderedPageBreak/>
        <w:t>nakładane przez strażników dostępu, które mogą hamować innowacje, tłumić konkurencję i zmniejszać możliwości wzrostu, co ostatecznie ogranicza wybór dla konsumentów;</w:t>
      </w:r>
    </w:p>
    <w:p w14:paraId="1011340E" w14:textId="77777777" w:rsidR="00DC4E55" w:rsidRPr="00C01CA7" w:rsidRDefault="00DC4E55" w:rsidP="00DC4E55">
      <w:pPr>
        <w:pStyle w:val="NormalHanging12a"/>
      </w:pPr>
      <w:r w:rsidRPr="00C01CA7">
        <w:t>G.</w:t>
      </w:r>
      <w:r w:rsidRPr="00C01CA7">
        <w:tab/>
        <w:t>mając na uwadze, że asymetria informacyjna między strażnikami dostępu a organami regulacyjnymi, a także ograniczona przejrzystość środków zapewniających zgodność z wymogami mogą osłabić skuteczny nadzór, rozliczalność i zaufanie do egzekwowania aktu o rynkach cyfrowych;</w:t>
      </w:r>
    </w:p>
    <w:p w14:paraId="7F06BA4D" w14:textId="77777777" w:rsidR="00DC4E55" w:rsidRPr="00C01CA7" w:rsidRDefault="00DC4E55" w:rsidP="00DC4E55">
      <w:pPr>
        <w:pStyle w:val="NormalHanging12a"/>
      </w:pPr>
      <w:r w:rsidRPr="00C01CA7">
        <w:t>H.</w:t>
      </w:r>
      <w:r w:rsidRPr="00C01CA7">
        <w:tab/>
        <w:t>mając na uwadze, że interoperacyjność, dostęp do danych, możliwość przenoszenia danych i uniemożliwianie przedsiębiorstwom faworyzowania własnych produktów lub usług są zasadniczymi elementami aktu o rynkach cyfrowych i wymagają ciągłego i rygorystycznego egzekwowania, w tym w przypadkach, gdy szkoda dla konkurencji wynika z ustawień domyślnych, integracji technicznej lub skutków dla ekosystemu;</w:t>
      </w:r>
    </w:p>
    <w:p w14:paraId="4026052C" w14:textId="77777777" w:rsidR="00DC4E55" w:rsidRPr="00C01CA7" w:rsidRDefault="00DC4E55" w:rsidP="00DC4E55">
      <w:pPr>
        <w:pStyle w:val="NormalHanging12a"/>
      </w:pPr>
      <w:r w:rsidRPr="00C01CA7">
        <w:t>I.</w:t>
      </w:r>
      <w:r w:rsidRPr="00C01CA7">
        <w:tab/>
        <w:t>mając na uwadze, że wiele obowiązków wynikających z aktu o rynkach cyfrowych opiera się na aktywnych wyborach użytkowników, takich jak odmowa zgody, usuwanie preinstalowanych aplikacji, zmiana ustawień domyślnych i przenoszenie danych, co sprawia, że świadomość użytkowników i projektowanie interfejsów mają kluczowe znaczenie dla skuteczności rozporządzenia;</w:t>
      </w:r>
    </w:p>
    <w:p w14:paraId="0DA143BA" w14:textId="77777777" w:rsidR="00DC4E55" w:rsidRPr="00C01CA7" w:rsidRDefault="00DC4E55" w:rsidP="00DC4E55">
      <w:pPr>
        <w:pStyle w:val="NormalHanging12a"/>
      </w:pPr>
      <w:r w:rsidRPr="00C01CA7">
        <w:t>J.</w:t>
      </w:r>
      <w:r w:rsidRPr="00C01CA7">
        <w:tab/>
        <w:t>mając na uwadze, że od czasu wejścia w życie aktu o rynkach cyfrowych zaobserwowano wymierne rezultaty w tworzeniu uczciwych, otwartych i konkurencyjnych rynków cyfrowych, ponieważ konsumentom oferuje się obecnie lepsze i bardziej neutralne ekrany wyboru przy wyborze domyślnych przeglądarek i aplikacji, również podczas konfiguracji urządzenia i za pośrednictwem ustawień systemowych, oraz ponieważ mogą oni domyślnie ustawić usługi stron trzecich w kategoriach, które wcześniej ograniczały się do usług preinstalowanych;</w:t>
      </w:r>
    </w:p>
    <w:p w14:paraId="7EAFE8C5" w14:textId="77777777" w:rsidR="00DC4E55" w:rsidRPr="00C01CA7" w:rsidRDefault="00DC4E55" w:rsidP="00DC4E55">
      <w:pPr>
        <w:pStyle w:val="NormalHanging12a"/>
      </w:pPr>
      <w:r w:rsidRPr="00C01CA7">
        <w:t>K.</w:t>
      </w:r>
      <w:r w:rsidRPr="00C01CA7">
        <w:tab/>
        <w:t xml:space="preserve">mając na uwadze, że zwiększone wymogi w zakresie interoperacyjności zwiększają również wybór dla konsumentów poprzez zapewnienie kompatybilności większej liczby połączonych i nasobnych urządzeń oraz usług z podstawowymi usługami platformy, co zmniejsza zależność od wstępnie zainstalowanych ekosystemów i przyczynia się do większej </w:t>
      </w:r>
      <w:proofErr w:type="spellStart"/>
      <w:r w:rsidRPr="00C01CA7">
        <w:t>kontestowalności</w:t>
      </w:r>
      <w:proofErr w:type="spellEnd"/>
      <w:r w:rsidRPr="00C01CA7">
        <w:t xml:space="preserve"> i autonomii konsumentów;</w:t>
      </w:r>
    </w:p>
    <w:p w14:paraId="3D81C23B" w14:textId="77777777" w:rsidR="00DC4E55" w:rsidRPr="00C01CA7" w:rsidRDefault="00DC4E55" w:rsidP="00DC4E55">
      <w:pPr>
        <w:pStyle w:val="NormalHanging12a"/>
      </w:pPr>
      <w:r w:rsidRPr="00C01CA7">
        <w:t>L.</w:t>
      </w:r>
      <w:r w:rsidRPr="00C01CA7">
        <w:tab/>
        <w:t>mając na uwadze, że sukces aktu o rynkach cyfrowych należy oceniać nie tylko pod kątem formalnej zgodności, lecz także pod kątem tego, czy jego cele są osiągane w praktyce i czy użytkownicy końcowi, użytkownicy biznesowi i ogół społeczeństwa uznają je za uzasadnione;</w:t>
      </w:r>
    </w:p>
    <w:p w14:paraId="3605243B" w14:textId="77777777" w:rsidR="00DC4E55" w:rsidRPr="00C01CA7" w:rsidRDefault="00DC4E55" w:rsidP="00DC4E55">
      <w:pPr>
        <w:pStyle w:val="NormalHanging12a"/>
      </w:pPr>
      <w:r w:rsidRPr="00C01CA7">
        <w:t>M.</w:t>
      </w:r>
      <w:r w:rsidRPr="00C01CA7">
        <w:tab/>
        <w:t xml:space="preserve">mając na uwadze, że akt o rynkach cyfrowych przewiduje szereg narzędzi egzekwowania prawa, w tym dialog regulacyjny, badania rynku i postępowania w sprawie niewypełniania obowiązków, które umożliwiają wykrywanie naruszeń, reagowanie na nie i nakładanie grzywien; mając na uwadze, że skuteczne i proporcjonalne grzywny mają zasadnicze znaczenie dla zapewnienia efektu odstraszającego i zagwarantowania skuteczności aktu o rynkach cyfrowych; mając na uwadze, że rozwój technologiczny, w tym funkcje oparte na sztucznej inteligencji i usługi w chmurze, stwarza nowe wyzwania dla </w:t>
      </w:r>
      <w:proofErr w:type="spellStart"/>
      <w:r w:rsidRPr="00C01CA7">
        <w:t>kontestowalności</w:t>
      </w:r>
      <w:proofErr w:type="spellEnd"/>
      <w:r w:rsidRPr="00C01CA7">
        <w:t xml:space="preserve"> i uczciwości, którym należy stawić czoła poprzez terminowe, jednolite i spójne stosowanie przepisów aktu o rynkach cyfrowych;</w:t>
      </w:r>
    </w:p>
    <w:p w14:paraId="7E4BBA41" w14:textId="77777777" w:rsidR="00DC4E55" w:rsidRPr="00C01CA7" w:rsidRDefault="00DC4E55" w:rsidP="00DC4E55">
      <w:pPr>
        <w:pStyle w:val="NormalHanging12a"/>
      </w:pPr>
      <w:r w:rsidRPr="00C01CA7">
        <w:lastRenderedPageBreak/>
        <w:t>N.</w:t>
      </w:r>
      <w:r w:rsidRPr="00C01CA7">
        <w:tab/>
        <w:t xml:space="preserve">mając na uwadze, że szybki rozwój systemów generatywnej sztucznej inteligencji i wirtualnych asystentów opartych na AI znacznie zmienia dynamikę konkurencji, struktury rynku, łańcuchy wartości i dostęp użytkowników do usług cyfrowych w całej UE, co może mieć wpływ na </w:t>
      </w:r>
      <w:proofErr w:type="spellStart"/>
      <w:r w:rsidRPr="00C01CA7">
        <w:t>kontestowalność</w:t>
      </w:r>
      <w:proofErr w:type="spellEnd"/>
      <w:r w:rsidRPr="00C01CA7">
        <w:t xml:space="preserve"> i uczciwość na rynkach cyfrowych;</w:t>
      </w:r>
    </w:p>
    <w:p w14:paraId="3A35531D" w14:textId="77777777" w:rsidR="00DC4E55" w:rsidRPr="00C01CA7" w:rsidRDefault="00DC4E55" w:rsidP="00DC4E55">
      <w:pPr>
        <w:pStyle w:val="NormalHanging12a"/>
      </w:pPr>
      <w:r w:rsidRPr="00C01CA7">
        <w:t>O.</w:t>
      </w:r>
      <w:r w:rsidRPr="00C01CA7">
        <w:tab/>
        <w:t>mając na uwadze, że akt o rynkach cyfrowych zawiera szereg przepisów, które są istotne dla uniemożliwiania strażnikom dostępu ograniczania zdolności nowych twórców AI do konkurowania i innowacji, w tym obowiązki dotyczące sprawiedliwego i niedyskryminacyjnego plasowania, przejrzystości usług reklamowych i dostępu do danych;</w:t>
      </w:r>
    </w:p>
    <w:p w14:paraId="2AC250FC" w14:textId="77777777" w:rsidR="00DC4E55" w:rsidRPr="00C01CA7" w:rsidRDefault="00DC4E55" w:rsidP="00DC4E55">
      <w:pPr>
        <w:pStyle w:val="NormalHanging12a"/>
      </w:pPr>
      <w:r w:rsidRPr="00C01CA7">
        <w:t>P.</w:t>
      </w:r>
      <w:r w:rsidRPr="00C01CA7">
        <w:tab/>
        <w:t xml:space="preserve">mając na uwadze, że usługi przetwarzania w chmurze są w niektórych przypadkach coraz bardziej krytyczną warstwą ekosystemów cyfrowych, w tym w odniesieniu do rozwoju, wdrażania i zwiększania skali zastosowań AI; mając na uwadze, że wysokie poziomy koncentracji, koszty zmiany dostawcy, ograniczenia interoperacyjności i ryzyko zależności w niektórych segmentach rynku usług w chmurze mogą budzić obawy podobne do tych, które uwzględniono w akcie o rynkach cyfrowych; mając na uwadze, że w listopadzie 2025 r. rozpoczęto badanie, aby ocenić, czy Amazon i Microsoft powinny zostać wskazane jako strażnicy dostępu w odniesieniu do ich usług przetwarzania w chmurze, tj. Amazon Web Services i Microsoft </w:t>
      </w:r>
      <w:proofErr w:type="spellStart"/>
      <w:r w:rsidRPr="00C01CA7">
        <w:t>Azure</w:t>
      </w:r>
      <w:proofErr w:type="spellEnd"/>
      <w:r w:rsidRPr="00C01CA7">
        <w:t>, oraz mając na uwadze, że rozpoczęto kolejne badanie, aby ocenić, czy obecne obowiązki wynikające z aktu o rynkach cyfrowych skutecznie przeciwdziałają praktykom, które ograniczają konkurencyjność lub stanowią nieuczciwe praktyki w sektorze przetwarzania w chmurze; mając na uwadze, że do tej pory żaden dostawca usług przetwarzania w chmurze nie został wskazany jako strażnik dostępu na podstawie rozporządzenia;</w:t>
      </w:r>
    </w:p>
    <w:p w14:paraId="7BA99807" w14:textId="77777777" w:rsidR="00DC4E55" w:rsidRPr="00C01CA7" w:rsidRDefault="00DC4E55" w:rsidP="00DC4E55">
      <w:pPr>
        <w:pStyle w:val="NormalHanging12a"/>
      </w:pPr>
      <w:r w:rsidRPr="00C01CA7">
        <w:t>Q.</w:t>
      </w:r>
      <w:r w:rsidRPr="00C01CA7">
        <w:tab/>
        <w:t xml:space="preserve">mając na uwadze, że dostęp do wielkoskalowej mocy obliczeniowej, zaawansowanych modeli AI oraz infrastruktury danych i chmury obliczeniowej może stworzyć nowe zależności strukturalne i efekty uzależnienia od ekosystemu, które mogą ograniczać </w:t>
      </w:r>
      <w:proofErr w:type="spellStart"/>
      <w:r w:rsidRPr="00C01CA7">
        <w:t>kontestowalność</w:t>
      </w:r>
      <w:proofErr w:type="spellEnd"/>
      <w:r w:rsidRPr="00C01CA7">
        <w:t>, jeżeli nie zostaną odpowiednio uwzględnione w ramach regulacyjnych UE;</w:t>
      </w:r>
    </w:p>
    <w:p w14:paraId="343A457F" w14:textId="77777777" w:rsidR="00DC4E55" w:rsidRPr="00C01CA7" w:rsidRDefault="00DC4E55" w:rsidP="00DC4E55">
      <w:pPr>
        <w:pStyle w:val="NormalHanging12a"/>
      </w:pPr>
      <w:r w:rsidRPr="00C01CA7">
        <w:t>R.</w:t>
      </w:r>
      <w:r w:rsidRPr="00C01CA7">
        <w:tab/>
        <w:t>mając na uwadze, że aby zapewnić skuteczne, niezależne i terminowe egzekwowanie aktu o rynkach cyfrowych oraz zachować jego wiarygodność i efekt odstraszający, Komisja musi dysponować niezbędnymi odpowiednimi zdolnościami instytucjonalnymi, wiedzą techniczną i zasobami;</w:t>
      </w:r>
    </w:p>
    <w:p w14:paraId="3A88E3D7" w14:textId="77777777" w:rsidR="00DC4E55" w:rsidRPr="00C01CA7" w:rsidRDefault="00DC4E55" w:rsidP="00DC4E55">
      <w:pPr>
        <w:pStyle w:val="NormalHanging12a"/>
      </w:pPr>
      <w:r w:rsidRPr="00C01CA7">
        <w:t>S.</w:t>
      </w:r>
      <w:r w:rsidRPr="00C01CA7">
        <w:tab/>
        <w:t>mając na uwadze, że zgodnie z aktem o rynkach cyfrowych Komisja jest zobowiązana do przeprowadzania okresowego przeglądu rozporządzenia, co daje możliwość oceny skuteczności egzekwowania przepisów i wynikających z niego korzyści dla konsumentów, określenia wyzwań związanych z wdrażaniem oraz zapewnienia, aby akt o rynkach cyfrowych pozostał adekwatny do zakładanych celów w świetle zmian technologicznych i rynkowych oraz zmieniających się form ekosystemów opartych na sztucznej inteligencji;</w:t>
      </w:r>
    </w:p>
    <w:p w14:paraId="30998C9E" w14:textId="77777777" w:rsidR="00DC4E55" w:rsidRPr="00C01CA7" w:rsidRDefault="00DC4E55" w:rsidP="00DC4E55">
      <w:pPr>
        <w:pStyle w:val="NormalHanging12a"/>
      </w:pPr>
      <w:r w:rsidRPr="00C01CA7">
        <w:t>1.</w:t>
      </w:r>
      <w:r w:rsidRPr="00C01CA7">
        <w:tab/>
        <w:t>potwierdza, że skuteczne, terminowe i spójne egzekwowanie aktu o rynkach cyfrowych, a także wsparcie polityczne ze strony Komisji mają zasadnicze znaczenie dla zapewnienia funkcjonowania jednolitego rynku i wymiernych korzyści dla konsumentów, użytkowników biznesowych i innowatorów w całej UE;</w:t>
      </w:r>
    </w:p>
    <w:p w14:paraId="0DB45741" w14:textId="77777777" w:rsidR="00DC4E55" w:rsidRPr="00C01CA7" w:rsidRDefault="00DC4E55" w:rsidP="00DC4E55">
      <w:pPr>
        <w:pStyle w:val="NormalHanging12a"/>
      </w:pPr>
      <w:r w:rsidRPr="00C01CA7">
        <w:t>2.</w:t>
      </w:r>
      <w:r w:rsidRPr="00C01CA7">
        <w:tab/>
        <w:t xml:space="preserve">jest zaniepokojony naciskami politycznymi ze strony państw trzecich, które wzywają </w:t>
      </w:r>
      <w:r w:rsidRPr="00C01CA7">
        <w:lastRenderedPageBreak/>
        <w:t>UE do ponownego rozważenia lub osłabienia aktu o rynkach cyfrowych, i podkreśla, że taka zewnętrzna ingerencja nie może podważać suwerenności UE ani jej autonomii w określaniu i egzekwowaniu własnych przepisów; podkreśla, że obowiązki określone w akcie o rynkach cyfrowych mają zastosowanie w równym stopniu do wszystkich wskazanych strażników dostępu świadczących usługi w UE, niezależnie od ich miejsca prowadzenia działalności lub narodowości;</w:t>
      </w:r>
    </w:p>
    <w:p w14:paraId="5A840186" w14:textId="77777777" w:rsidR="00DC4E55" w:rsidRPr="00C01CA7" w:rsidRDefault="00DC4E55" w:rsidP="00DC4E55">
      <w:pPr>
        <w:pStyle w:val="NormalHanging12a"/>
      </w:pPr>
      <w:r w:rsidRPr="00C01CA7">
        <w:t>3.</w:t>
      </w:r>
      <w:r w:rsidRPr="00C01CA7">
        <w:tab/>
        <w:t>wzywa Komisję do pełnego i proaktywnego wykorzystania wszystkich narzędzi egzekwowania przewidzianych w akcie o rynkach cyfrowych, badań rynku, w tym postępowań w sprawie niewypełniania obowiązków, kontroli, środków tymczasowych, grzywien i okresowych kar pieniężnych, aby zapobiec obchodzeniu przepisów i zapewnić ich skuteczne przestrzeganie;</w:t>
      </w:r>
    </w:p>
    <w:p w14:paraId="153B5244" w14:textId="77777777" w:rsidR="00DC4E55" w:rsidRPr="00C01CA7" w:rsidRDefault="00DC4E55" w:rsidP="00DC4E55">
      <w:pPr>
        <w:pStyle w:val="NormalHanging12a"/>
      </w:pPr>
      <w:r w:rsidRPr="00C01CA7">
        <w:t>4.</w:t>
      </w:r>
      <w:r w:rsidRPr="00C01CA7">
        <w:tab/>
        <w:t xml:space="preserve">podkreśla, że chociaż Komisja zachowuje wyłączne kompetencje w zakresie egzekwowania aktu o rynkach cyfrowych, skuteczne, terminowe i spójne stosowanie rozporządzenia w całej UE wymaga zorganizowanej i ścisłej współpracy z krajowymi organami ochrony konkurencji i innymi odpowiednimi krajowymi organami publicznymi; podkreśla, że w ramach określonych w akcie o rynkach cyfrowych organy te odgrywają zasadniczą rolę wspierającą, w tym poprzez wspieranie badań i inspekcji, przyczynianie się do monitorowania rynku i ułatwianie wymiany informacji, a tym samym poprzez wzmacnianie skutecznego i jednolitego egzekwowania aktu o rynkach cyfrowych oraz stanie na straży uczciwych i </w:t>
      </w:r>
      <w:proofErr w:type="spellStart"/>
      <w:r w:rsidRPr="00C01CA7">
        <w:t>kontestowalnych</w:t>
      </w:r>
      <w:proofErr w:type="spellEnd"/>
      <w:r w:rsidRPr="00C01CA7">
        <w:t xml:space="preserve"> rynków cyfrowych w całej UE;</w:t>
      </w:r>
    </w:p>
    <w:p w14:paraId="1FCFB35A" w14:textId="77777777" w:rsidR="00DC4E55" w:rsidRPr="00C01CA7" w:rsidRDefault="00DC4E55" w:rsidP="00DC4E55">
      <w:pPr>
        <w:pStyle w:val="NormalHanging12a"/>
      </w:pPr>
      <w:r w:rsidRPr="00C01CA7">
        <w:t>5.</w:t>
      </w:r>
      <w:r w:rsidRPr="00C01CA7">
        <w:tab/>
        <w:t xml:space="preserve">podkreśla, że zapewnienie otwartości rynku, w tym poprzez skuteczne stosowanie aktu o rynkach cyfrowych, jest zasadniczym elementem sukcesu strategii w sprawie stosowania AI, której celem jest wspieranie wdrażania AI i innowacji w całej Europie, ponieważ skuteczna </w:t>
      </w:r>
      <w:proofErr w:type="spellStart"/>
      <w:r w:rsidRPr="00C01CA7">
        <w:t>kontestowalność</w:t>
      </w:r>
      <w:proofErr w:type="spellEnd"/>
      <w:r w:rsidRPr="00C01CA7">
        <w:t xml:space="preserve"> na rynkach cyfrowych jest jednym z warunków wstępnych otwartego i sprawiedliwego europejskiego ekosystemu AI;</w:t>
      </w:r>
    </w:p>
    <w:p w14:paraId="7E204375" w14:textId="77777777" w:rsidR="00DC4E55" w:rsidRPr="00C01CA7" w:rsidRDefault="00DC4E55" w:rsidP="00DC4E55">
      <w:pPr>
        <w:pStyle w:val="NormalHanging12a"/>
      </w:pPr>
      <w:r w:rsidRPr="00C01CA7">
        <w:t>6.</w:t>
      </w:r>
      <w:r w:rsidRPr="00C01CA7">
        <w:tab/>
        <w:t>wzywa Komisję do zakończenia bez zbędnej zwłoki postępowań w sprawie niewypełniania obowiązków oraz do zapewnienia terminowego egzekwowania przepisów aktu o rynkach cyfrowych, w szczególności przez przestrzeganie zarówno wiążących, jak i orientacyjnych terminów, a także do należytego informowania Parlamentu o postępach w egzekwowaniu przepisów; podkreśla potrzebę większej przejrzystości etapów proceduralnych i terminów, aby umożliwić Parlamentowi, a w szczególności grupie roboczej IMCO ds. aktu o rynkach cyfrowych, wykonywanie jej uprawnień kontrolnych; wzywa Komisję do proaktywnego i regularnego informowania Parlamentu o stanie egzekwowania aktu o rynkach cyfrowych, w tym o rozwoju dialogu regulacyjnego, działaniach i programie grupy wysokiego szczebla, odpowiednich badaniach zleconych przez Komisję oraz wszelkich innych informacjach niezbędnych Parlamentowi do wykonywania jego roli kontrolnej;</w:t>
      </w:r>
    </w:p>
    <w:p w14:paraId="36C8CF73" w14:textId="77777777" w:rsidR="00DC4E55" w:rsidRPr="00C01CA7" w:rsidRDefault="00DC4E55" w:rsidP="00DC4E55">
      <w:pPr>
        <w:pStyle w:val="NormalHanging12a"/>
      </w:pPr>
      <w:r w:rsidRPr="00C01CA7">
        <w:t>7.</w:t>
      </w:r>
      <w:r w:rsidRPr="00C01CA7">
        <w:tab/>
        <w:t>wzywa Komisję do pełnego wykorzystania grupy wysokiego szczebla; podkreśla znaczenie skutecznej koordynacji między organami regulacyjnymi, biorąc pod uwagę dużą liczbę nowych przepisów i organów regulacyjnych działających na rynkach cyfrowych;</w:t>
      </w:r>
    </w:p>
    <w:p w14:paraId="50CB30A3" w14:textId="77777777" w:rsidR="00DC4E55" w:rsidRPr="00C01CA7" w:rsidRDefault="00DC4E55" w:rsidP="00DC4E55">
      <w:pPr>
        <w:pStyle w:val="NormalHanging12a"/>
      </w:pPr>
      <w:r w:rsidRPr="00C01CA7">
        <w:t>8.</w:t>
      </w:r>
      <w:r w:rsidRPr="00C01CA7">
        <w:tab/>
        <w:t xml:space="preserve">podkreśla, że zgodność z aktem o rynkach cyfrowych należy oceniać na podstawie jego praktycznych i rzeczywistych skutków dla otwarcia rynku, konkurencji, innowacji i wyboru dla użytkownika, zapewniając tym samym pewność prawa, przewidywalność i </w:t>
      </w:r>
      <w:r w:rsidRPr="00C01CA7">
        <w:lastRenderedPageBreak/>
        <w:t>równe traktowanie;</w:t>
      </w:r>
    </w:p>
    <w:p w14:paraId="1E15D075" w14:textId="77777777" w:rsidR="00DC4E55" w:rsidRPr="00C01CA7" w:rsidRDefault="00DC4E55" w:rsidP="00DC4E55">
      <w:pPr>
        <w:pStyle w:val="NormalHanging12a"/>
      </w:pPr>
      <w:r w:rsidRPr="00C01CA7">
        <w:t>9.</w:t>
      </w:r>
      <w:r w:rsidRPr="00C01CA7">
        <w:tab/>
        <w:t>wzywa Komisję do rozwiązania problemu asymetrii informacyjnej przez doskonalenie mechanizmów umożliwiających użytkownikom biznesowym i użytkownikom końcowym skuteczne korzystanie z praw przysługujących im na mocy aktu o rynkach cyfrowych, w tym praw dotyczących wyboru, dostępu do danych, interoperacyjności, niedyskryminacji i wolności od działań odwetowych, dzięki dostępnym i bezpiecznym kanałom zgłaszania i składania skarg, zabezpieczeniom przed działaniami odwetowymi oraz większej świadomości praw i środków zaradczych zapisanych w akcie o rynkach cyfrowych, przez uznanie, że skuteczność aktu o rynkach cyfrowych zależy od upodmiotowionych użytkowników końcowych;</w:t>
      </w:r>
    </w:p>
    <w:p w14:paraId="45EAD9EB" w14:textId="77777777" w:rsidR="00DC4E55" w:rsidRPr="00C01CA7" w:rsidRDefault="00DC4E55" w:rsidP="00DC4E55">
      <w:pPr>
        <w:pStyle w:val="NormalHanging12a"/>
      </w:pPr>
      <w:r w:rsidRPr="00C01CA7">
        <w:t>10.</w:t>
      </w:r>
      <w:r w:rsidRPr="00C01CA7">
        <w:tab/>
        <w:t>wzywa Komisję, by priorytetowo traktowała rygorystyczne egzekwowanie obowiązków dotyczących interoperacyjności, dostępu do danych, przenoszenia danych, przeciwdziałania sterowaniu i zakazu faworyzowania własnych produktów lub usług, w tym gdy ustawienia domyślne, integracje techniczne lub projektowanie ekosystemów platform powodują szkodę konkurencyjną; wzywa Komisję, by ustalając priorytety dotyczące egzekwowania prawa, należycie uwzględniała istotne zmiany na rynku i powiązania między mającymi zastosowanie instrumentami UE, w tym z aktem w sprawie danych</w:t>
      </w:r>
      <w:r w:rsidRPr="00C01CA7">
        <w:rPr>
          <w:rStyle w:val="FootnoteReference"/>
        </w:rPr>
        <w:footnoteReference w:id="12"/>
      </w:r>
      <w:r w:rsidRPr="00C01CA7">
        <w:t>; zauważa, że w niektórych przypadkach na skuteczne wdrożenie i egzekwowanie aktu o rynkach cyfrowych mogą wpływać interakcje strażników dostępu z konkurentami i partnerami biznesowymi, zwłaszcza gdy wyrażono obawy co do uczciwości praktyk biznesowych;</w:t>
      </w:r>
    </w:p>
    <w:p w14:paraId="5DB6D5CD" w14:textId="77777777" w:rsidR="00DC4E55" w:rsidRPr="00C01CA7" w:rsidRDefault="00DC4E55" w:rsidP="00DC4E55">
      <w:pPr>
        <w:pStyle w:val="NormalHanging12a"/>
      </w:pPr>
      <w:r w:rsidRPr="00C01CA7">
        <w:t>11.</w:t>
      </w:r>
      <w:r w:rsidRPr="00C01CA7">
        <w:tab/>
        <w:t>apeluje do Komisji o dalsze prace nad umożliwieniem interoperacyjności usług przesyłania (na żądanie) wiadomości z mniejszymi aplikacjami producentów będących stronami trzecimi, co umożliwi użytkownikom wymianę wiadomości tekstowych i plików oraz połączenia głosowe i połączenia wideo na różnych platformach, przy utrzymaniu pełnego szyfrowania transmisji;</w:t>
      </w:r>
    </w:p>
    <w:p w14:paraId="4A34F39C" w14:textId="77777777" w:rsidR="00DC4E55" w:rsidRPr="00C01CA7" w:rsidRDefault="00DC4E55" w:rsidP="00DC4E55">
      <w:pPr>
        <w:pStyle w:val="NormalHanging12a"/>
      </w:pPr>
      <w:r w:rsidRPr="00C01CA7">
        <w:t>12.</w:t>
      </w:r>
      <w:r w:rsidRPr="00C01CA7">
        <w:tab/>
        <w:t xml:space="preserve">wyraża głębokie zaniepokojenie tym, że Google nadal stosuje praktyki faworyzowania własnych produktów i usług dotyczących wyszukiwania, zakupów, podróży i wideo, co nadal zakłóca konkurencję i ogranicza wybór konsumentów; zauważa, że reklamy z listą produktów (Product Listing </w:t>
      </w:r>
      <w:proofErr w:type="spellStart"/>
      <w:r w:rsidRPr="00C01CA7">
        <w:t>Ads</w:t>
      </w:r>
      <w:proofErr w:type="spellEnd"/>
      <w:r w:rsidRPr="00C01CA7">
        <w:t xml:space="preserve">) nadal wyświetlają się w czołówce wyników wyszukiwania, co utrwala wzorzec dominacji i brak przejrzystości, a przez to podważa cel aktu o rynkach cyfrowych; przypomina, że wstępne ustalenia na podstawie art. 6 ust. 5 aktu o rynkach cyfrowych wskazują, iż Google wykorzystuje elementy wizualne i preferencyjne pozycjonowanie do faworyzowania własnych usług, w tym usług dotyczących zakupów, biletów lotniczych i hoteli, przez co ogranicza dostęp konkurentom i wzmacnia własną pozycję rynkową; przypomina, że niedawne postępowania przed sądami krajowymi potwierdziły, iż faworyzowanie własnych produktów lub usług przez Google w usługach wyszukiwania przynosi szkody konkurencyjnym platformom porównawczym, co ilustruje wyrok z 2025 r. w sprawie </w:t>
      </w:r>
      <w:proofErr w:type="spellStart"/>
      <w:r w:rsidRPr="00C01CA7">
        <w:rPr>
          <w:i/>
          <w:iCs/>
        </w:rPr>
        <w:t>Idealo</w:t>
      </w:r>
      <w:proofErr w:type="spellEnd"/>
      <w:r w:rsidRPr="00C01CA7">
        <w:rPr>
          <w:i/>
          <w:iCs/>
        </w:rPr>
        <w:t xml:space="preserve"> przeciwko Google</w:t>
      </w:r>
      <w:r w:rsidRPr="00C01CA7">
        <w:t xml:space="preserve"> przed sądem okręgowym w Berlinie; podkreśla, że podejmowane przez strażników dostępu próby utrzymania lub przedłużenia stanu </w:t>
      </w:r>
      <w:r w:rsidRPr="00C01CA7">
        <w:lastRenderedPageBreak/>
        <w:t>nieprzestrzegania aktu o rynkach cyfrowych mogą zatem narazić ich na znaczną odpowiedzialność finansową w wyniku kolejnych powództw o odszkodowanie;</w:t>
      </w:r>
    </w:p>
    <w:p w14:paraId="6C729537" w14:textId="77777777" w:rsidR="00DC4E55" w:rsidRPr="00C01CA7" w:rsidRDefault="00DC4E55" w:rsidP="00DC4E55">
      <w:pPr>
        <w:pStyle w:val="NormalHanging12a"/>
      </w:pPr>
      <w:r w:rsidRPr="00C01CA7">
        <w:t>13.</w:t>
      </w:r>
      <w:r w:rsidRPr="00C01CA7">
        <w:tab/>
        <w:t xml:space="preserve">podkreśla, że to, iż firma Google włączyła AI do usług wyszukiwania i modułu </w:t>
      </w:r>
      <w:proofErr w:type="spellStart"/>
      <w:r w:rsidRPr="00C01CA7">
        <w:t>Discover</w:t>
      </w:r>
      <w:proofErr w:type="spellEnd"/>
      <w:r w:rsidRPr="00C01CA7">
        <w:t>, w coraz większym stopniu pozwala jej kontrolować cały przebieg interakcji z konsumentem – od wyszukiwania i rekomendacji po zamiar zakupu – co jeszcze bardziej marginalizuje usługi konkurencyjne i ogranicza konsumentom możliwość niezależnego wyboru; podkreśla, że w tej dynamice niezależni sprzedawcy mogą stać się po prostu kanałami realizacji zamówień dla Google, co przypomina wcześniejsze próby zdominowania handlu, które udało się udaremnić, oraz zaznacza, że bez klarownych zabezpieczeń w akcie o rynkach cyfrowych praktyki te mogą się jeszcze bardziej utrwalić;</w:t>
      </w:r>
    </w:p>
    <w:p w14:paraId="02D34E41" w14:textId="77777777" w:rsidR="00DC4E55" w:rsidRDefault="00DC4E55" w:rsidP="00DC4E55">
      <w:pPr>
        <w:pStyle w:val="NormalHanging12a"/>
      </w:pPr>
      <w:r w:rsidRPr="00C01CA7">
        <w:t>14.</w:t>
      </w:r>
      <w:r w:rsidRPr="00C01CA7">
        <w:tab/>
        <w:t>odnotowuje alternatywne platformy handlowe oferujące na jednolitym rynku aplikacje na iOS, ale wyraża zaniepokojenie tym, że ich rentowność i skalowalność jest w praktyce ograniczona przez sposób zaprojektowania przebiegu interakcji z użytkownikami oraz restrykcyjne warunki ekonomiczne i umowne; podkreśla, że strażnicy dostępu restrukturyzują swoje opłaty tak, że stawia to twórców aplikacji w gorszej sytuacji niż status quo sprzed aktu o rynkach cyfrowych; wzywa Komisję, by oceniła, czy warunki dostępu firmy Apple są uczciwe i niedyskryminujące, zgodnie z wymogami art. 6 ust. 12 aktu o rynkach cyfrowych;</w:t>
      </w:r>
    </w:p>
    <w:p w14:paraId="33FEBE14" w14:textId="70957BD8" w:rsidR="00EB7B4F" w:rsidRPr="00EB7B4F" w:rsidRDefault="00EB7B4F" w:rsidP="00DC4E55">
      <w:pPr>
        <w:pStyle w:val="NormalHanging12a"/>
        <w:rPr>
          <w:bCs/>
          <w:iCs/>
        </w:rPr>
      </w:pPr>
      <w:r w:rsidRPr="00DD2864">
        <w:rPr>
          <w:bCs/>
          <w:iCs/>
        </w:rPr>
        <w:t>1</w:t>
      </w:r>
      <w:r>
        <w:rPr>
          <w:bCs/>
          <w:iCs/>
        </w:rPr>
        <w:t>5</w:t>
      </w:r>
      <w:r w:rsidRPr="00DD2864">
        <w:rPr>
          <w:bCs/>
          <w:iCs/>
        </w:rPr>
        <w:t>.</w:t>
      </w:r>
      <w:r w:rsidRPr="00DD2864">
        <w:rPr>
          <w:bCs/>
          <w:iCs/>
        </w:rPr>
        <w:tab/>
        <w:t xml:space="preserve">zauważa, że niektórzy strażnicy dostępu – co niedawno zapowiedziała firma Google – powołują się na kwestie bezpieczeństwa i </w:t>
      </w:r>
      <w:proofErr w:type="spellStart"/>
      <w:r w:rsidRPr="00DD2864">
        <w:rPr>
          <w:bCs/>
          <w:iCs/>
        </w:rPr>
        <w:t>cyberbezpieczeństwa</w:t>
      </w:r>
      <w:proofErr w:type="spellEnd"/>
      <w:r w:rsidRPr="00DD2864">
        <w:rPr>
          <w:bCs/>
          <w:iCs/>
        </w:rPr>
        <w:t>, by nałożyć na twórców aplikacji wymogi dotyczące rejestracji i identyfikacji, co ogranicza realny dostęp do alternatywnych kanałów dystrybucji aplikacji i może być sprzeczne z art. 6 ust. 4 aktu o rynkach cyfrowych; dlatego wzywa Komisję, by zbadała, czy te środki bezpieczeństwa są absolutnie niezbędne i proporcjonalne, oraz do dopilnowania, by nie wykorzystywano ich jako pretekstu do obchodzenia celu aktu o rynkach cyfrowych, jakim jest umożliwienie realnego dostępu do oprogramowania stron trzecich, zapewnienie uczciwych, rozsądnych i niedyskryminujących warunków dostępu, a jednocześnie zachowanie zdolności twórców aplikacji do sterowania użytkowników ku alternatywnym kanałom dystrybucji;</w:t>
      </w:r>
    </w:p>
    <w:p w14:paraId="7F6DBD0C" w14:textId="6666FA6F" w:rsidR="00DC4E55" w:rsidRPr="00C01CA7" w:rsidRDefault="00DC4E55" w:rsidP="00DC4E55">
      <w:pPr>
        <w:pStyle w:val="NormalHanging12a"/>
      </w:pPr>
      <w:r w:rsidRPr="00C01CA7">
        <w:t>1</w:t>
      </w:r>
      <w:r w:rsidR="00EB7B4F">
        <w:t>6</w:t>
      </w:r>
      <w:r w:rsidRPr="00C01CA7">
        <w:t>.</w:t>
      </w:r>
      <w:r w:rsidRPr="00C01CA7">
        <w:tab/>
        <w:t xml:space="preserve">przypomina, że zgodnie z art. 5 ust. 4 aktu o rynkach cyfrowych użytkownicy biznesowi powinni móc bezpłatnie informować użytkowników końcowych o ofertach alternatywnych oraz kierować (sterować) użytkowników do tych ofert i zawierać umowy; zauważa, że w motywie 40 aktu o rynkach cyfrowych uznano możliwość wynagrodzenia za ułatwienie pierwotnego pozyskania użytkownika końcowego, a jednocześnie podkreślono, że takie wynagrodzenie musi ściśle ograniczać się do pierwotnego pozyskania, być proporcjonalne i współmierne oraz nie może podważać sterowania w praktyce; wzywa Komisję, by zapewniła rygorystyczną ocenę zmienionych warunków Apple pod kątem wymogu aktu o rynkach cyfrowych dotyczącego opłat za sterowanie oraz by ściśle kontrolowała i w razie potrzeby karała próby obchodzenia przepisów, nie oczekując na wynik toczącego się w USA procesu sądowego w sprawie </w:t>
      </w:r>
      <w:proofErr w:type="spellStart"/>
      <w:r w:rsidRPr="00C01CA7">
        <w:rPr>
          <w:i/>
          <w:iCs/>
        </w:rPr>
        <w:t>Epic</w:t>
      </w:r>
      <w:proofErr w:type="spellEnd"/>
      <w:r w:rsidRPr="00C01CA7">
        <w:rPr>
          <w:i/>
          <w:iCs/>
        </w:rPr>
        <w:t xml:space="preserve"> Games przeciwko Apple</w:t>
      </w:r>
      <w:r w:rsidRPr="00C01CA7">
        <w:t>; podkreśla, że prawo UE należy egzekwować niezależnie od sporów sądowych w państwach trzecich;</w:t>
      </w:r>
    </w:p>
    <w:p w14:paraId="2FFA605C" w14:textId="17A274D4" w:rsidR="00DC4E55" w:rsidRPr="00C01CA7" w:rsidRDefault="00DC4E55" w:rsidP="00DC4E55">
      <w:pPr>
        <w:pStyle w:val="NormalHanging12a"/>
      </w:pPr>
      <w:r w:rsidRPr="00C01CA7">
        <w:t>1</w:t>
      </w:r>
      <w:r w:rsidR="00EB7B4F">
        <w:t>7</w:t>
      </w:r>
      <w:r w:rsidRPr="00C01CA7">
        <w:t>.</w:t>
      </w:r>
      <w:r w:rsidRPr="00C01CA7">
        <w:tab/>
        <w:t xml:space="preserve">wyraża zaniepokojenie tym, że </w:t>
      </w:r>
      <w:proofErr w:type="spellStart"/>
      <w:r w:rsidRPr="00C01CA7">
        <w:t>TikTok</w:t>
      </w:r>
      <w:proofErr w:type="spellEnd"/>
      <w:r w:rsidRPr="00C01CA7">
        <w:t xml:space="preserve">, obsługiwany przez </w:t>
      </w:r>
      <w:proofErr w:type="spellStart"/>
      <w:r w:rsidRPr="00C01CA7">
        <w:t>ByteDance</w:t>
      </w:r>
      <w:proofErr w:type="spellEnd"/>
      <w:r w:rsidRPr="00C01CA7">
        <w:t xml:space="preserve">, wprowadził na swojej platformie ekrany zgody w dużym stopniu wykorzystujące techniki behawioralne do uzyskania zgody użytkownika; zauważa, że takie praktyki mogą </w:t>
      </w:r>
      <w:r w:rsidRPr="00C01CA7">
        <w:lastRenderedPageBreak/>
        <w:t xml:space="preserve">podważać zasady świadomej i dobrowolnej zgody oraz mogą oznaczać naruszenie art. 5 ust. 2 aktu o rynkach cyfrowych; podkreśla, że mechanizmy zgody muszą być przejrzyste, przyjazne dla użytkownika i rzeczywiście dobrowolne oraz nie mogą być zaprojektowane tak, by mogły służyć manipulacji, ani nie mogą posługiwać się presją psychologiczną; wzywa Komisję, by uważnie śledziła praktyki </w:t>
      </w:r>
      <w:proofErr w:type="spellStart"/>
      <w:r w:rsidRPr="00C01CA7">
        <w:t>TikToka</w:t>
      </w:r>
      <w:proofErr w:type="spellEnd"/>
      <w:r w:rsidRPr="00C01CA7">
        <w:t xml:space="preserve"> dotyczące zgody oraz by zapewniła niezwłoczne korygowanie mechanizmów niezgodnych z przepisami w celu zachowania autonomii użytkowników i praw cyfrowych;</w:t>
      </w:r>
    </w:p>
    <w:p w14:paraId="334F82AA" w14:textId="4E68B032" w:rsidR="00DC4E55" w:rsidRPr="00C01CA7" w:rsidRDefault="00DC4E55" w:rsidP="00DC4E55">
      <w:pPr>
        <w:pStyle w:val="NormalHanging12a"/>
      </w:pPr>
      <w:r w:rsidRPr="00C01CA7">
        <w:t>1</w:t>
      </w:r>
      <w:r w:rsidR="00EB7B4F">
        <w:t>8</w:t>
      </w:r>
      <w:r w:rsidRPr="00C01CA7">
        <w:t>.</w:t>
      </w:r>
      <w:r w:rsidRPr="00C01CA7">
        <w:tab/>
        <w:t xml:space="preserve">zwraca uwagę, że Microsoft musi realnie przestrzegać art. 6 ust. 3 aktu o rynkach cyfrowych, zwłaszcza jeśli chodzi o obowiązek pozwolenia – i technicznego umożliwienia – użytkownikom końcowym na łatwą zmianę ustawień domyślnych w systemie operacyjnym Windows na komputery osobiste oraz na dostęp do konkurencyjnych usług bez nadmiernych utrudnień; zauważa, że włączenie do paska narzędzia Windows wyszukiwarki Bing jako domyślnego dostawcy wyników wyszukiwania online oraz niełatwa zmiana tego dostawcy mogą nadmiernie skłaniać użytkowników do korzystania z usług własnych Microsoftu i ograniczyć użytkownikom realny wybór; przypomina, że Microsoft przedstawił Komisji środki zgodności, ale wyraża zaniepokojenie ich praktycznymi skutkami, w tym ewentualnymi barierami dla realnej interoperacyjności w ekosystemie Windows; przypomina, że Komisja powinna nadal uważnie oceniać te środki, aby zapewnić w praktyce użytkownikom realny wybór, a dostawcom usług będącym osobami trzecimi – uczciwe i </w:t>
      </w:r>
      <w:proofErr w:type="spellStart"/>
      <w:r w:rsidRPr="00C01CA7">
        <w:t>kontestowalne</w:t>
      </w:r>
      <w:proofErr w:type="spellEnd"/>
      <w:r w:rsidRPr="00C01CA7">
        <w:t xml:space="preserve"> środowisko, zwłaszcza gdy ograniczone lub powolne umożliwianie stosowania interfejsów programowania aplikacji (API) w usługach innych niż usługi Microsoft może uniemożliwić twórcom aplikacji będącym osobami trzecimi zapewnienie użytkownikom końcowym porównywalnego poziomu doświadczenia;</w:t>
      </w:r>
    </w:p>
    <w:p w14:paraId="0C54740D" w14:textId="213C5D6F" w:rsidR="00DC4E55" w:rsidRPr="00C01CA7" w:rsidRDefault="00DC4E55" w:rsidP="00DC4E55">
      <w:pPr>
        <w:pStyle w:val="NormalHanging12a"/>
      </w:pPr>
      <w:r w:rsidRPr="00C01CA7">
        <w:t>1</w:t>
      </w:r>
      <w:r w:rsidR="00EB7B4F">
        <w:t>9</w:t>
      </w:r>
      <w:r w:rsidRPr="00C01CA7">
        <w:t>.</w:t>
      </w:r>
      <w:r w:rsidRPr="00C01CA7">
        <w:tab/>
        <w:t xml:space="preserve">z zaniepokojeniem odnotowuje doniesienia różnych zainteresowanych stron z sektora turystycznego o utrzymujących się wysokich prowizjach i ciągłym stosowaniu przez Booking.com praktyk, które przypominają zakazane klauzule parytetu, w tym programów wydajnościowych dla hoteli, z nieprzejrzystymi kryteriami, i utrzymujących się trudności w rezygnacji z systemów płatności preferowanych przez Booking.com; przypomina, że krajowe organy ochrony konkurencji, w tym we Francji i Hiszpanii, nałożyły na Booking.com sankcje za stosowanie klauzul parytetu; wzywa Komisję, by oceniła obecny poziom </w:t>
      </w:r>
      <w:proofErr w:type="spellStart"/>
      <w:r w:rsidRPr="00C01CA7">
        <w:t>kontestowalności</w:t>
      </w:r>
      <w:proofErr w:type="spellEnd"/>
      <w:r w:rsidRPr="00C01CA7">
        <w:t xml:space="preserve"> w internetowym sektorze podróży, od czasu gdy Booking.com uznano za strażnika dostępu, oraz by podjęła odpowiednie zdecydowane działania;</w:t>
      </w:r>
    </w:p>
    <w:p w14:paraId="1EF4C45B" w14:textId="23D93B0D" w:rsidR="00DC4E55" w:rsidRPr="00C01CA7" w:rsidRDefault="00EB7B4F" w:rsidP="00DC4E55">
      <w:pPr>
        <w:pStyle w:val="NormalHanging12a"/>
      </w:pPr>
      <w:r>
        <w:t>20</w:t>
      </w:r>
      <w:r w:rsidR="00DC4E55" w:rsidRPr="00C01CA7">
        <w:t>.</w:t>
      </w:r>
      <w:r w:rsidR="00DC4E55" w:rsidRPr="00C01CA7">
        <w:tab/>
        <w:t>zauważa, że po nałożeniu przez Komisję grzywny w kwietniu 2025 r. firma Meta wprowadziła w lipcu 2025 r. nowe, trzecie rozwiązanie „zapłać lub wyraź zgodę”, ograniczające spersonalizowaną reklamę; wzywa Komisję do dopilnowania, by firma Meta realnie oferowała teraz użytkownikom neutralny wybór, by dostęp stron trzecich do usług tej firmy był uczciwy i niezakłócony oraz by przypadki obchodzenia wymogów aktu o rynkach cyfrowych były rygorystycznie kontrolowane i w stosownych przypadkach karane;</w:t>
      </w:r>
    </w:p>
    <w:p w14:paraId="2F1DA24A" w14:textId="5FBB1F63" w:rsidR="00DC4E55" w:rsidRPr="00C01CA7" w:rsidRDefault="00DC4E55" w:rsidP="00DC4E55">
      <w:pPr>
        <w:pStyle w:val="NormalHanging12a"/>
      </w:pPr>
      <w:r w:rsidRPr="00C01CA7">
        <w:t>2</w:t>
      </w:r>
      <w:r w:rsidR="00EB7B4F">
        <w:t>1</w:t>
      </w:r>
      <w:r w:rsidRPr="00C01CA7">
        <w:t>.</w:t>
      </w:r>
      <w:r w:rsidRPr="00C01CA7">
        <w:tab/>
        <w:t xml:space="preserve">wyraża zaniepokojenie praktykami stosowanymi w telewizorach podłączonych do </w:t>
      </w:r>
      <w:proofErr w:type="spellStart"/>
      <w:r w:rsidRPr="00C01CA7">
        <w:t>internetu</w:t>
      </w:r>
      <w:proofErr w:type="spellEnd"/>
      <w:r w:rsidRPr="00C01CA7">
        <w:t xml:space="preserve">, powielającymi niekonkurencyjne praktyki stosowane wcześniej w systemie Android na smartfonach; podkreśla, że dostępu do audiowizualnych usług medialnych w telewizorach podłączonych do </w:t>
      </w:r>
      <w:proofErr w:type="spellStart"/>
      <w:r w:rsidRPr="00C01CA7">
        <w:t>internetu</w:t>
      </w:r>
      <w:proofErr w:type="spellEnd"/>
      <w:r w:rsidRPr="00C01CA7">
        <w:t xml:space="preserve"> nie może kontrolować kilka dużych przedsiębiorstw technologicznych, a otwarty, uczciwy i </w:t>
      </w:r>
      <w:proofErr w:type="spellStart"/>
      <w:r w:rsidRPr="00C01CA7">
        <w:t>kontestowalny</w:t>
      </w:r>
      <w:proofErr w:type="spellEnd"/>
      <w:r w:rsidRPr="00C01CA7">
        <w:t xml:space="preserve"> rynek ma zasadnicze znaczenie dla pluralistycznego i zróżnicowanego krajobrazu medialnego; w </w:t>
      </w:r>
      <w:r w:rsidRPr="00C01CA7">
        <w:lastRenderedPageBreak/>
        <w:t xml:space="preserve">odniesieniu do systemów operacyjnych dla telewizorów podłączonych do </w:t>
      </w:r>
      <w:proofErr w:type="spellStart"/>
      <w:r w:rsidRPr="00C01CA7">
        <w:t>internetu</w:t>
      </w:r>
      <w:proofErr w:type="spellEnd"/>
      <w:r w:rsidRPr="00C01CA7">
        <w:t xml:space="preserve"> podkreśla, że główni dostawcy takich systemów operacyjnych kontrolują dostęp do wielostronnych rynków oglądalności, reklamy i danych; zauważa, że podobna kontrola ze strony strażnika dostępu nad punktami dostępu użytkowników może wystąpić też w innych środowiskach podłączonych do </w:t>
      </w:r>
      <w:proofErr w:type="spellStart"/>
      <w:r w:rsidRPr="00C01CA7">
        <w:t>internetu</w:t>
      </w:r>
      <w:proofErr w:type="spellEnd"/>
      <w:r w:rsidRPr="00C01CA7">
        <w:t>, w których systemy operacyjne lub wirtualni asystenci pośredniczą w dostępie do usług, w tym do systemów informacyjno-rozrywkowych w samochodach; wzywa Komisję, by uważnie obserwowała ten segment rynku i w razie potrzeby podejmowała odpowiednie działania;</w:t>
      </w:r>
    </w:p>
    <w:p w14:paraId="1EE7B273" w14:textId="28B0059D" w:rsidR="00DC4E55" w:rsidRPr="00C01CA7" w:rsidRDefault="00DC4E55" w:rsidP="00DC4E55">
      <w:pPr>
        <w:pStyle w:val="NormalHanging12a"/>
      </w:pPr>
      <w:r w:rsidRPr="00C01CA7">
        <w:t>2</w:t>
      </w:r>
      <w:r w:rsidR="00EB7B4F">
        <w:t>2</w:t>
      </w:r>
      <w:r w:rsidRPr="00C01CA7">
        <w:t>.</w:t>
      </w:r>
      <w:r w:rsidRPr="00C01CA7">
        <w:tab/>
        <w:t>podkreśla, że użytkownicy końcowi mają do odegrania ważną rolę w osiąganiu celów aktu o rynkach cyfrowych, i zaznacza, że interfejsy użytkownika, mechanizmy zgody i architektura wyboru powinny być neutralne, łatwe w użyciu, zrozumiałe i niemanipulacyjne, by użytkownicy mogli realnie i bez zbędnych utrudnień korzystać ze swoich praw;</w:t>
      </w:r>
    </w:p>
    <w:p w14:paraId="39B596C8" w14:textId="03D41A0D" w:rsidR="00DC4E55" w:rsidRPr="00C01CA7" w:rsidRDefault="00DC4E55" w:rsidP="00DC4E55">
      <w:pPr>
        <w:pStyle w:val="NormalHanging12a"/>
      </w:pPr>
      <w:r w:rsidRPr="00C01CA7">
        <w:t>2</w:t>
      </w:r>
      <w:r w:rsidR="00EB7B4F">
        <w:t>3</w:t>
      </w:r>
      <w:r w:rsidRPr="00C01CA7">
        <w:t>.</w:t>
      </w:r>
      <w:r w:rsidRPr="00C01CA7">
        <w:tab/>
        <w:t>wzywa Komisję, by zapewniła spójne i zachowujące aktualność stosowanie aktu o rynkach cyfrowych do rozwoju technologicznego przez zajęcie się na czas opartymi na AI i infrastrukturą opartą na chmurze, z myślą o zapobieżeniu nowym formom uzależnienia od jednego dostawcy, zamknięciu dostępu do rynku lub praktykom strażników dostępu, w tym takich, którzy mają kontrolę nad danymi, zasobami obliczeniowymi lub zintegrowanymi usługami ze szkodą dla nowych twórców AI i innowacyjnych podmiotów wchodzących na rynek;</w:t>
      </w:r>
    </w:p>
    <w:p w14:paraId="0666488F" w14:textId="7AF8192B" w:rsidR="00DC4E55" w:rsidRPr="00C01CA7" w:rsidRDefault="00DC4E55" w:rsidP="00DC4E55">
      <w:pPr>
        <w:pStyle w:val="NormalHanging12a"/>
      </w:pPr>
      <w:r w:rsidRPr="00C01CA7">
        <w:t>2</w:t>
      </w:r>
      <w:r w:rsidR="00EB7B4F">
        <w:t>4</w:t>
      </w:r>
      <w:r w:rsidRPr="00C01CA7">
        <w:t>.</w:t>
      </w:r>
      <w:r w:rsidRPr="00C01CA7">
        <w:tab/>
        <w:t>wzywa Komisję do zapewnienia komplementarności, spójności i pewności prawa między aktem o rynkach cyfrowych, aktem w sprawie danych i aktem w sprawie sztucznej inteligencji</w:t>
      </w:r>
      <w:r w:rsidRPr="00C01CA7">
        <w:rPr>
          <w:rStyle w:val="FootnoteReference"/>
        </w:rPr>
        <w:footnoteReference w:id="13"/>
      </w:r>
      <w:r w:rsidRPr="00C01CA7">
        <w:t>, w tym przez skoordynowane wytyczne i wdrażanie;</w:t>
      </w:r>
    </w:p>
    <w:p w14:paraId="1CFA3785" w14:textId="2BDE3887" w:rsidR="00DC4E55" w:rsidRPr="00C01CA7" w:rsidRDefault="00DC4E55" w:rsidP="00DC4E55">
      <w:pPr>
        <w:pStyle w:val="NormalHanging12a"/>
      </w:pPr>
      <w:r w:rsidRPr="00C01CA7">
        <w:t>2</w:t>
      </w:r>
      <w:r w:rsidR="00EB7B4F">
        <w:t>5</w:t>
      </w:r>
      <w:r w:rsidRPr="00C01CA7">
        <w:t>.</w:t>
      </w:r>
      <w:r w:rsidRPr="00C01CA7">
        <w:tab/>
        <w:t>z zadowoleniem przyjmuje pierwsze decyzje Komisji stwierdzające niewypełnianie obowiązków zapisanych w akcie o rynkach cyfrowych, gdyż postrzega je jako ważny krok w zapewnianiu realnego egzekwowania przepisów, ale ubolewa, że decyzje te mają nadal ograniczony zakres i nie odnoszą się jeszcze do pełnego zakresu problematycznych praktyk strażników dostępu wskazanych przez użytkowników biznesowych i inne zainteresowane strony; ubolewa ponadto, że nakładane grzywny są stosunkowo niewielkie w porównaniu ze skalą naruszeń i siłą gospodarczą wskazanych strażników dostępu, przez co efekt odstraszający może być niewystarczający, a same decyzje mogą nie odzwierciedlać ambitnych założeń rozporządzenia; podkreśla, że egzekwowanie ogólnie powinno być takie, że spodziewane koszty nieprzestrzegania przepisów, w tym grzywny i okresowe kary pieniężne, będą systematycznie i od początku przekraczać koszty przestrzegania przepisów, co pozwoli zapobiec strategicznemu opóźnianiu dostosowania się do przepisów i zapewnić rzeczywisty efekt odstraszający;</w:t>
      </w:r>
    </w:p>
    <w:p w14:paraId="4630AB2E" w14:textId="072B6325" w:rsidR="00DC4E55" w:rsidRPr="00C01CA7" w:rsidRDefault="00DC4E55" w:rsidP="00DC4E55">
      <w:pPr>
        <w:pStyle w:val="NormalHanging12a"/>
      </w:pPr>
      <w:r w:rsidRPr="00C01CA7">
        <w:t>2</w:t>
      </w:r>
      <w:r w:rsidR="00EB7B4F">
        <w:t>6</w:t>
      </w:r>
      <w:r w:rsidRPr="00C01CA7">
        <w:t>.</w:t>
      </w:r>
      <w:r w:rsidRPr="00C01CA7">
        <w:tab/>
        <w:t xml:space="preserve">wzywa Komisję, by w świetle rosnącego strategicznego znaczenia usług przetwarzania w chmurze i ich roli w ekosystemach cyfrowych i ekosystemach AI dokładnie – w tym </w:t>
      </w:r>
      <w:r w:rsidRPr="00C01CA7">
        <w:lastRenderedPageBreak/>
        <w:t xml:space="preserve">z wykorzystaniem badań rynku – oceniła, czy dostawcy takich usług spełniają kryteria wyznaczenia ich jako strażników dostępu na podstawie aktu o rynkach cyfrowych; wzywa Komisję, by prowadząc badania rynku i oceniając ewentualne wskazanie strażników dostępu w dziedzinie obliczeń w chmurze, stosowała kryteria aktu o rynkach cyfrowych spójnie, przejrzyście i merytorycznie w odniesieniu do wszystkich dostawców, jeżeli uzasadniają to wskaźniki rynkowe, by uniknąć zakłóceń konkurencji i zachować innowacyjność; z zadowoleniem przyjmuje przeprowadzone niedawno przez Komisję badania rynku dostawców usług w chmurze, np. Amazon Web Services i Microsoft </w:t>
      </w:r>
      <w:proofErr w:type="spellStart"/>
      <w:r w:rsidRPr="00C01CA7">
        <w:t>Azure</w:t>
      </w:r>
      <w:proofErr w:type="spellEnd"/>
      <w:r w:rsidRPr="00C01CA7">
        <w:t>;</w:t>
      </w:r>
    </w:p>
    <w:p w14:paraId="5423D096" w14:textId="26873C96" w:rsidR="00DC4E55" w:rsidRPr="00C01CA7" w:rsidRDefault="00DC4E55" w:rsidP="00DC4E55">
      <w:pPr>
        <w:pStyle w:val="NormalHanging12a"/>
      </w:pPr>
      <w:r w:rsidRPr="00C01CA7">
        <w:t>2</w:t>
      </w:r>
      <w:r w:rsidR="00EB7B4F">
        <w:t>7</w:t>
      </w:r>
      <w:r w:rsidRPr="00C01CA7">
        <w:t>.</w:t>
      </w:r>
      <w:r w:rsidRPr="00C01CA7">
        <w:tab/>
        <w:t xml:space="preserve">podkreśla, że narzędzia wyszukiwania i </w:t>
      </w:r>
      <w:proofErr w:type="spellStart"/>
      <w:r w:rsidRPr="00C01CA7">
        <w:t>asystenty</w:t>
      </w:r>
      <w:proofErr w:type="spellEnd"/>
      <w:r w:rsidRPr="00C01CA7">
        <w:t xml:space="preserve"> bazujące na AI oferowane jako wskazane usługi podstawowe danej platformy lub jako element tych usług, np. AI </w:t>
      </w:r>
      <w:proofErr w:type="spellStart"/>
      <w:r w:rsidRPr="00C01CA7">
        <w:t>Overviews</w:t>
      </w:r>
      <w:proofErr w:type="spellEnd"/>
      <w:r w:rsidRPr="00C01CA7">
        <w:t xml:space="preserve"> i </w:t>
      </w:r>
      <w:proofErr w:type="spellStart"/>
      <w:r w:rsidRPr="00C01CA7">
        <w:t>Gemini</w:t>
      </w:r>
      <w:proofErr w:type="spellEnd"/>
      <w:r w:rsidRPr="00C01CA7">
        <w:t xml:space="preserve"> firmy Google, </w:t>
      </w:r>
      <w:proofErr w:type="spellStart"/>
      <w:r w:rsidRPr="00C01CA7">
        <w:t>Siri</w:t>
      </w:r>
      <w:proofErr w:type="spellEnd"/>
      <w:r w:rsidRPr="00C01CA7">
        <w:t xml:space="preserve"> spółki Apple, WhatsApp AI firmy Meta, Rufus koncernu Amazon czy </w:t>
      </w:r>
      <w:proofErr w:type="spellStart"/>
      <w:r w:rsidRPr="00C01CA7">
        <w:t>Copilot</w:t>
      </w:r>
      <w:proofErr w:type="spellEnd"/>
      <w:r w:rsidRPr="00C01CA7">
        <w:t xml:space="preserve"> spółki Microsoft, coraz powszechniej stają się nowymi punktami dostępu do informacji, handlu i usług cyfrowych; wzywa Komisję, by na czas zbadała, czy i jak strażnicy dostępu wykorzystują takie funkcje w sposób mogący podważać </w:t>
      </w:r>
      <w:proofErr w:type="spellStart"/>
      <w:r w:rsidRPr="00C01CA7">
        <w:t>kontestowalność</w:t>
      </w:r>
      <w:proofErr w:type="spellEnd"/>
      <w:r w:rsidRPr="00C01CA7">
        <w:t xml:space="preserve"> i uczciwość, w tym przez ustawienia domyślne, wybór domyślny czy dyskryminującą prezentację lub wybór wyników;</w:t>
      </w:r>
    </w:p>
    <w:p w14:paraId="7D05F244" w14:textId="2D2C1E89" w:rsidR="00DC4E55" w:rsidRPr="00C01CA7" w:rsidRDefault="00DC4E55" w:rsidP="00DC4E55">
      <w:pPr>
        <w:pStyle w:val="NormalHanging12a"/>
      </w:pPr>
      <w:r w:rsidRPr="00C01CA7">
        <w:t>2</w:t>
      </w:r>
      <w:r w:rsidR="00EB7B4F">
        <w:t>8</w:t>
      </w:r>
      <w:r w:rsidRPr="00C01CA7">
        <w:t>.</w:t>
      </w:r>
      <w:r w:rsidRPr="00C01CA7">
        <w:tab/>
        <w:t xml:space="preserve">podkreśla, że zintegrowane ekosystemy cyfrowe niektórych strażników dostępu, składające się z wielu podstawowych usług platformowych i usług powiązanych, mogą dawać im strukturalną przewagę konkurencyjną w tworzeniu, trenowaniu i wdrażaniu systemów AI, zwłaszcza gdy dostęp do wielkoskalowych, wielousługowych przepływów danych, interfejsów użytkownika, kanałów dystrybucji lub usług uzupełniających można wykorzystać w różnych ekosystemach; dlatego podkreśla, że należy rygorystycznie egzekwować art. 6 ust. 10 aktu o rynkach cyfrowych, by realnie zapewnić użytkownikom biznesowym prawo dostępu do danych oraz zapobiec wykorzystywaniu przewagi całego ekosystemu w dziedzinie danych w sposób podważający </w:t>
      </w:r>
      <w:proofErr w:type="spellStart"/>
      <w:r w:rsidRPr="00C01CA7">
        <w:t>kontestowalność</w:t>
      </w:r>
      <w:proofErr w:type="spellEnd"/>
      <w:r w:rsidRPr="00C01CA7">
        <w:t xml:space="preserve"> i uczciwość, w tym wtedy, gdy funkcje AI są zintegrowane z podstawowymi usługami platformy lub mogą stać się nowymi punktami dostępu do informacji, handlu i usług cyfrowych;</w:t>
      </w:r>
    </w:p>
    <w:p w14:paraId="682C0A7E" w14:textId="109C31A8" w:rsidR="00DC4E55" w:rsidRPr="00C01CA7" w:rsidRDefault="00DC4E55" w:rsidP="00DC4E55">
      <w:pPr>
        <w:pStyle w:val="NormalHanging12a"/>
      </w:pPr>
      <w:r w:rsidRPr="00C01CA7">
        <w:t>2</w:t>
      </w:r>
      <w:r w:rsidR="00EB7B4F">
        <w:t>9</w:t>
      </w:r>
      <w:r w:rsidRPr="00C01CA7">
        <w:t>.</w:t>
      </w:r>
      <w:r w:rsidRPr="00C01CA7">
        <w:tab/>
        <w:t>wzywa Komisję, by zapewniła wystarczające zasoby ludzkie i finansowe do egzekwowania aktu o rynkach cyfrowych, stosownie do zakresu, złożoności i znaczenia strategicznego tego rozporządzenia, oraz apeluje o znaczne zwiększenie liczby pracowników;</w:t>
      </w:r>
    </w:p>
    <w:p w14:paraId="7C9B8446" w14:textId="5329C33C" w:rsidR="00DC4E55" w:rsidRPr="00C01CA7" w:rsidRDefault="00EB7B4F" w:rsidP="00DC4E55">
      <w:pPr>
        <w:pStyle w:val="NormalHanging12a"/>
      </w:pPr>
      <w:r>
        <w:t>30</w:t>
      </w:r>
      <w:r w:rsidR="00DC4E55" w:rsidRPr="00C01CA7">
        <w:t>.</w:t>
      </w:r>
      <w:r w:rsidR="00DC4E55" w:rsidRPr="00C01CA7">
        <w:tab/>
        <w:t>spodziewa się, że nadchodzący przegląd aktu o rynkach cyfrowych będzie przejrzysty i mocno oparty na doświadczeniach z egzekwowania przepisów i na danych ze stosowania rozporządzenia, oraz obejmie ocenę rzeczywistych wyników dla użytkowników i rynków, a także praktycznego wpływu wdrożenia aktu na konsumentów, zwłaszcza jeśli chodzi o dostęp do innowacji, użyteczność, prywatność i bezpieczeństwo, a jednocześnie uwzględni rozwój technologiczny i potrzebę zapewnienia aktualności przepisów; zachęca Komisję, by w procesie przeglądu uwzględniła zwłaszcza informacje zwrotne od MŚP;</w:t>
      </w:r>
    </w:p>
    <w:p w14:paraId="752E5EF9" w14:textId="0433C066" w:rsidR="00DC4E55" w:rsidRDefault="00DC4E55" w:rsidP="00DC4E55">
      <w:pPr>
        <w:pStyle w:val="NormalHanging12a"/>
      </w:pPr>
      <w:r w:rsidRPr="00C01CA7">
        <w:t>3</w:t>
      </w:r>
      <w:r w:rsidR="00EB7B4F">
        <w:t>1</w:t>
      </w:r>
      <w:r w:rsidRPr="00C01CA7">
        <w:t>.</w:t>
      </w:r>
      <w:r w:rsidRPr="00C01CA7">
        <w:tab/>
        <w:t xml:space="preserve">podkreśla, że w przeglądzie należy skupić się na zwiększeniu skuteczności i egzekwowalności dotychczasowych przepisów, a jednocześnie sprostać wyzwaniom związanym z szybko rozwijającymi się technologiami i ekosystemami, w pełni wykorzystując uprawnienia, jakie dają te przepisy, w tym w razie potrzeby wyjaśnienia i wytyczne, oraz należy unikać wracania do głównych celów, zakresu czy struktury aktu </w:t>
      </w:r>
      <w:r w:rsidRPr="00C01CA7">
        <w:lastRenderedPageBreak/>
        <w:t>o rynkach cyfrowych, chyba że będą to wyraźnie uzasadniać wykazane niedostatki w egzekwowaniu przepisów lub istotne zmiany na rynku;</w:t>
      </w:r>
    </w:p>
    <w:p w14:paraId="1837EC20" w14:textId="3D132D3E" w:rsidR="00EB7B4F" w:rsidRPr="00EB7B4F" w:rsidRDefault="00EB7B4F" w:rsidP="00DC4E55">
      <w:pPr>
        <w:pStyle w:val="NormalHanging12a"/>
        <w:rPr>
          <w:bCs/>
          <w:iCs/>
        </w:rPr>
      </w:pPr>
      <w:r w:rsidRPr="00DD2864">
        <w:rPr>
          <w:bCs/>
          <w:iCs/>
        </w:rPr>
        <w:t>3</w:t>
      </w:r>
      <w:r>
        <w:rPr>
          <w:bCs/>
          <w:iCs/>
        </w:rPr>
        <w:t>2</w:t>
      </w:r>
      <w:r w:rsidRPr="00DD2864">
        <w:rPr>
          <w:bCs/>
          <w:iCs/>
        </w:rPr>
        <w:t>.</w:t>
      </w:r>
      <w:r w:rsidRPr="00EB7B4F">
        <w:rPr>
          <w:bCs/>
          <w:iCs/>
        </w:rPr>
        <w:tab/>
      </w:r>
      <w:r w:rsidRPr="00DD2864">
        <w:rPr>
          <w:bCs/>
          <w:iCs/>
        </w:rPr>
        <w:t xml:space="preserve">podkreśla, że skuteczne egzekwowanie aktu o rynkach cyfrowych wymaga w uzupełnieniu stosowania ogólnej polityki konkurencji i pozostałych unijnych instrumentów ochrony handlu i nadzoru rynku, ponieważ ryzyko systemowe dla uczciwości i bezpieczeństwa gospodarczego może wynikać też z transakcji nieobjętych zakresem aktu o rynkach cyfrowych; odnotowuje w związku z tym zastrzeżenia co do przejęcia </w:t>
      </w:r>
      <w:proofErr w:type="spellStart"/>
      <w:r w:rsidRPr="00DD2864">
        <w:rPr>
          <w:bCs/>
          <w:iCs/>
        </w:rPr>
        <w:t>Ceconomy</w:t>
      </w:r>
      <w:proofErr w:type="spellEnd"/>
      <w:r w:rsidRPr="00DD2864">
        <w:rPr>
          <w:bCs/>
          <w:iCs/>
        </w:rPr>
        <w:t xml:space="preserve"> AG przez JD.com, które oddałoby kontrolę nad dużą europejską siecią detaliczną i dystrybucyjną podmiotowi spoza UE, zwiększając ryzyko dostępu państw spoza UE do wrażliwych danych konsumentów oraz ryzyko zakłóceń w postaci wsparcia finansowego wspieranego przez państwo; wzywa Komisję, by rygorystycznie stosowała rozporządzenie o subsydiach zagranicznych</w:t>
      </w:r>
      <w:r w:rsidR="00DD2864">
        <w:rPr>
          <w:rStyle w:val="FootnoteReference"/>
          <w:bCs/>
          <w:iCs/>
        </w:rPr>
        <w:footnoteReference w:id="14"/>
      </w:r>
      <w:r w:rsidRPr="00DD2864">
        <w:rPr>
          <w:bCs/>
          <w:iCs/>
        </w:rPr>
        <w:t xml:space="preserve"> oraz przeanalizowała subsydia zagraniczne leżące u podstaw tej transakcji i przyszłych podobnych operacji; apeluje do Komisji, by oceniła ryzyko dla europejskich danych konsumenckich na podstawie rozporządzenia w sprawie monitorowania bezpośrednich inwestycji zagranicznych</w:t>
      </w:r>
      <w:r w:rsidR="00DD2864">
        <w:rPr>
          <w:rStyle w:val="FootnoteReference"/>
          <w:bCs/>
          <w:iCs/>
        </w:rPr>
        <w:footnoteReference w:id="15"/>
      </w:r>
      <w:r w:rsidRPr="00DD2864">
        <w:rPr>
          <w:bCs/>
          <w:iCs/>
        </w:rPr>
        <w:t xml:space="preserve"> oraz by zapewniła skuteczną lokalizację danych zgodną z suwerennością danych UE i ramami egzekwowania aktu o rynkach cyfrowych;</w:t>
      </w:r>
    </w:p>
    <w:p w14:paraId="0EFE65E1" w14:textId="5068B63C" w:rsidR="00C01CA7" w:rsidRPr="00C01CA7" w:rsidRDefault="00DC4E55" w:rsidP="00C01CA7">
      <w:pPr>
        <w:pStyle w:val="NormalHanging12a"/>
      </w:pPr>
      <w:r w:rsidRPr="00C01CA7">
        <w:t>3</w:t>
      </w:r>
      <w:r w:rsidR="00EB7B4F">
        <w:t>3</w:t>
      </w:r>
      <w:r w:rsidRPr="00C01CA7">
        <w:t>.</w:t>
      </w:r>
      <w:r w:rsidRPr="00C01CA7">
        <w:tab/>
        <w:t>zobowiązuje swoją przewodniczącą do przekazania tej rezolucji Komisji.</w:t>
      </w:r>
    </w:p>
    <w:p w14:paraId="2BF5AABF" w14:textId="732F7C8D" w:rsidR="00E365E1" w:rsidRPr="00C01CA7" w:rsidRDefault="00E365E1" w:rsidP="0097397D"/>
    <w:sectPr w:rsidR="00E365E1" w:rsidRPr="00C01CA7" w:rsidSect="00C01C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B396D" w14:textId="77777777" w:rsidR="0097397D" w:rsidRPr="00C01CA7" w:rsidRDefault="0097397D">
      <w:r w:rsidRPr="00C01CA7">
        <w:separator/>
      </w:r>
    </w:p>
  </w:endnote>
  <w:endnote w:type="continuationSeparator" w:id="0">
    <w:p w14:paraId="62466A1B" w14:textId="77777777" w:rsidR="0097397D" w:rsidRPr="00C01CA7" w:rsidRDefault="0097397D">
      <w:r w:rsidRPr="00C01C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5681F" w14:textId="77777777" w:rsidR="00064002" w:rsidRPr="00C01C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7802" w14:textId="77777777" w:rsidR="00064002" w:rsidRPr="00C01C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71787" w14:textId="77777777" w:rsidR="00064002" w:rsidRPr="00C01C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8FA84" w14:textId="77777777" w:rsidR="0097397D" w:rsidRPr="00C01CA7" w:rsidRDefault="0097397D">
      <w:r w:rsidRPr="00C01CA7">
        <w:separator/>
      </w:r>
    </w:p>
  </w:footnote>
  <w:footnote w:type="continuationSeparator" w:id="0">
    <w:p w14:paraId="33555864" w14:textId="77777777" w:rsidR="0097397D" w:rsidRPr="00C01CA7" w:rsidRDefault="0097397D">
      <w:r w:rsidRPr="00C01CA7">
        <w:continuationSeparator/>
      </w:r>
    </w:p>
  </w:footnote>
  <w:footnote w:id="1">
    <w:p w14:paraId="50B7B4ED" w14:textId="6C3E7167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 L 265 z 12.10.2022, s. 1, ELI: </w:t>
      </w:r>
      <w:hyperlink r:id="rId1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http://data.europa.eu/eli/reg/2022/1925/oj</w:t>
        </w:r>
      </w:hyperlink>
      <w:r w:rsidRPr="00C01CA7">
        <w:rPr>
          <w:sz w:val="24"/>
          <w:lang w:val="pl-PL"/>
        </w:rPr>
        <w:t>.</w:t>
      </w:r>
    </w:p>
  </w:footnote>
  <w:footnote w:id="2">
    <w:p w14:paraId="32A4D15F" w14:textId="0E1F82DC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 C, C/2023/549, 27.10.2023, ELI: </w:t>
      </w:r>
      <w:hyperlink r:id="rId2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http://data.europa.eu/eli/C/2023/549/oj</w:t>
        </w:r>
      </w:hyperlink>
      <w:r w:rsidRPr="00C01CA7">
        <w:rPr>
          <w:sz w:val="24"/>
          <w:lang w:val="pl-PL"/>
        </w:rPr>
        <w:t>.</w:t>
      </w:r>
    </w:p>
  </w:footnote>
  <w:footnote w:id="3">
    <w:p w14:paraId="78010B37" w14:textId="1B67593C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 C, C/2023/905, 15.11.2023, ELI: </w:t>
      </w:r>
      <w:hyperlink r:id="rId3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http://data.europa.eu/eli/C/2023/905/oj</w:t>
        </w:r>
      </w:hyperlink>
      <w:r w:rsidRPr="00C01CA7">
        <w:rPr>
          <w:sz w:val="24"/>
          <w:lang w:val="pl-PL"/>
        </w:rPr>
        <w:t>.</w:t>
      </w:r>
    </w:p>
  </w:footnote>
  <w:footnote w:id="4">
    <w:p w14:paraId="5B1837C9" w14:textId="65B33396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 xml:space="preserve">Dz.U. C, C/2025/4646, </w:t>
      </w:r>
      <w:proofErr w:type="gramStart"/>
      <w:r w:rsidRPr="00C01CA7">
        <w:rPr>
          <w:sz w:val="24"/>
          <w:lang w:val="pl-PL"/>
        </w:rPr>
        <w:t>14.8.2025</w:t>
      </w:r>
      <w:proofErr w:type="gramEnd"/>
      <w:r w:rsidRPr="00C01CA7">
        <w:rPr>
          <w:sz w:val="24"/>
          <w:lang w:val="pl-PL"/>
        </w:rPr>
        <w:t>, ELI: </w:t>
      </w:r>
      <w:hyperlink r:id="rId4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http://data.europa.eu/eli/C/2025/4646/oj</w:t>
        </w:r>
      </w:hyperlink>
      <w:r w:rsidRPr="00C01CA7">
        <w:rPr>
          <w:sz w:val="24"/>
          <w:lang w:val="pl-PL"/>
        </w:rPr>
        <w:t>.</w:t>
      </w:r>
    </w:p>
  </w:footnote>
  <w:footnote w:id="5">
    <w:p w14:paraId="4B210F22" w14:textId="6BA99C0E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 C, C/2023/552, 27.10.2023, ELI: </w:t>
      </w:r>
      <w:hyperlink r:id="rId5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http://data.europa.eu/eli/C/2023/552/oj</w:t>
        </w:r>
      </w:hyperlink>
      <w:r w:rsidRPr="00C01CA7">
        <w:rPr>
          <w:sz w:val="24"/>
          <w:lang w:val="pl-PL"/>
        </w:rPr>
        <w:t>.</w:t>
      </w:r>
    </w:p>
  </w:footnote>
  <w:footnote w:id="6">
    <w:p w14:paraId="4E4E6185" w14:textId="4CD610C7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 C, C/2023/1092, 23.11.2023, ELI: </w:t>
      </w:r>
      <w:hyperlink r:id="rId6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http://data.europa.eu/eli/C/2023/1092/oj</w:t>
        </w:r>
      </w:hyperlink>
      <w:r w:rsidRPr="00C01CA7">
        <w:rPr>
          <w:sz w:val="24"/>
          <w:lang w:val="pl-PL"/>
        </w:rPr>
        <w:t xml:space="preserve">. </w:t>
      </w:r>
    </w:p>
  </w:footnote>
  <w:footnote w:id="7">
    <w:p w14:paraId="300000D0" w14:textId="1C2B1F77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 C, C/2023/551, 27.10.2023, ELI: </w:t>
      </w:r>
      <w:hyperlink r:id="rId7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http://data.europa.eu/eli/C/2023/551/oj</w:t>
        </w:r>
      </w:hyperlink>
      <w:r w:rsidRPr="00C01CA7">
        <w:rPr>
          <w:sz w:val="24"/>
          <w:lang w:val="pl-PL"/>
        </w:rPr>
        <w:t xml:space="preserve">. </w:t>
      </w:r>
    </w:p>
  </w:footnote>
  <w:footnote w:id="8">
    <w:p w14:paraId="0B2BE8B5" w14:textId="56C974B5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 C, C/2024/4374</w:t>
      </w:r>
      <w:r w:rsidR="009C2C03">
        <w:rPr>
          <w:sz w:val="24"/>
          <w:lang w:val="pl-PL"/>
        </w:rPr>
        <w:t>,</w:t>
      </w:r>
      <w:r w:rsidRPr="00C01CA7">
        <w:rPr>
          <w:sz w:val="24"/>
          <w:lang w:val="pl-PL"/>
        </w:rPr>
        <w:t xml:space="preserve"> </w:t>
      </w:r>
      <w:proofErr w:type="gramStart"/>
      <w:r w:rsidRPr="00C01CA7">
        <w:rPr>
          <w:sz w:val="24"/>
          <w:lang w:val="pl-PL"/>
        </w:rPr>
        <w:t>4.7.2024</w:t>
      </w:r>
      <w:proofErr w:type="gramEnd"/>
      <w:r w:rsidRPr="00C01CA7">
        <w:rPr>
          <w:sz w:val="24"/>
          <w:lang w:val="pl-PL"/>
        </w:rPr>
        <w:t>, ELI: </w:t>
      </w:r>
      <w:hyperlink r:id="rId8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http://data.europa.eu/eli/C/2024/4374/oj</w:t>
        </w:r>
      </w:hyperlink>
      <w:r w:rsidRPr="00C01CA7">
        <w:rPr>
          <w:sz w:val="24"/>
          <w:lang w:val="pl-PL"/>
        </w:rPr>
        <w:t xml:space="preserve">. </w:t>
      </w:r>
    </w:p>
  </w:footnote>
  <w:footnote w:id="9">
    <w:p w14:paraId="2E8B239F" w14:textId="66459672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>Dz.U. C, C/2024/4360</w:t>
      </w:r>
      <w:r w:rsidR="009C2C03">
        <w:rPr>
          <w:sz w:val="24"/>
          <w:lang w:val="pl-PL"/>
        </w:rPr>
        <w:t>,</w:t>
      </w:r>
      <w:r w:rsidRPr="00C01CA7">
        <w:rPr>
          <w:sz w:val="24"/>
          <w:lang w:val="pl-PL"/>
        </w:rPr>
        <w:t xml:space="preserve"> </w:t>
      </w:r>
      <w:proofErr w:type="gramStart"/>
      <w:r w:rsidRPr="00C01CA7">
        <w:rPr>
          <w:sz w:val="24"/>
          <w:lang w:val="pl-PL"/>
        </w:rPr>
        <w:t>4.7.2024</w:t>
      </w:r>
      <w:proofErr w:type="gramEnd"/>
      <w:r w:rsidRPr="00C01CA7">
        <w:rPr>
          <w:sz w:val="24"/>
          <w:lang w:val="pl-PL"/>
        </w:rPr>
        <w:t>, ELI: </w:t>
      </w:r>
      <w:hyperlink r:id="rId9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http://data.europa.eu/eli/C/2024/4360/oj</w:t>
        </w:r>
      </w:hyperlink>
      <w:r w:rsidRPr="00C01CA7">
        <w:rPr>
          <w:sz w:val="24"/>
          <w:lang w:val="pl-PL"/>
        </w:rPr>
        <w:t>.</w:t>
      </w:r>
    </w:p>
  </w:footnote>
  <w:footnote w:id="10">
    <w:p w14:paraId="2AE2699F" w14:textId="5B368ACF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 xml:space="preserve">Dz.U. C, C/2025/3466, </w:t>
      </w:r>
      <w:proofErr w:type="gramStart"/>
      <w:r w:rsidRPr="00C01CA7">
        <w:rPr>
          <w:sz w:val="24"/>
          <w:lang w:val="pl-PL"/>
        </w:rPr>
        <w:t>27.6.2025</w:t>
      </w:r>
      <w:proofErr w:type="gramEnd"/>
      <w:r w:rsidRPr="00C01CA7">
        <w:rPr>
          <w:sz w:val="24"/>
          <w:lang w:val="pl-PL"/>
        </w:rPr>
        <w:t>, ELI: </w:t>
      </w:r>
      <w:hyperlink r:id="rId10" w:tgtFrame="_blank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http://data.europa.eu/eli/C/2025/3466/oj</w:t>
        </w:r>
      </w:hyperlink>
      <w:r w:rsidRPr="00C01CA7">
        <w:rPr>
          <w:sz w:val="24"/>
          <w:lang w:val="pl-PL"/>
        </w:rPr>
        <w:t xml:space="preserve">. </w:t>
      </w:r>
    </w:p>
  </w:footnote>
  <w:footnote w:id="11">
    <w:p w14:paraId="4AFAD0F4" w14:textId="546DD292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 xml:space="preserve">Dz.U. L 102 z </w:t>
      </w:r>
      <w:proofErr w:type="gramStart"/>
      <w:r w:rsidRPr="00C01CA7">
        <w:rPr>
          <w:sz w:val="24"/>
          <w:lang w:val="pl-PL"/>
        </w:rPr>
        <w:t>17.4.2023</w:t>
      </w:r>
      <w:proofErr w:type="gramEnd"/>
      <w:r w:rsidRPr="00C01CA7">
        <w:rPr>
          <w:sz w:val="24"/>
          <w:lang w:val="pl-PL"/>
        </w:rPr>
        <w:t>, s. 6, ELI: </w:t>
      </w:r>
      <w:hyperlink r:id="rId11" w:tooltip="Umożliwia dostęp do tego dokumentu dzięki sygnaturze ELI URI." w:history="1">
        <w:r w:rsidRPr="00C01CA7">
          <w:rPr>
            <w:rStyle w:val="Hyperlink"/>
            <w:sz w:val="24"/>
            <w:lang w:val="pl-PL"/>
          </w:rPr>
          <w:t>http://data.europa.eu/eli/reg_impl/2023/814/oj</w:t>
        </w:r>
      </w:hyperlink>
      <w:r w:rsidRPr="00C01CA7">
        <w:rPr>
          <w:sz w:val="24"/>
          <w:lang w:val="pl-PL"/>
        </w:rPr>
        <w:t xml:space="preserve">. </w:t>
      </w:r>
    </w:p>
  </w:footnote>
  <w:footnote w:id="12">
    <w:p w14:paraId="132EF277" w14:textId="2DBCBA1B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 xml:space="preserve">Rozporządzenie Parlamentu Europejskiego i Rady (UE) 2023/2854 z dnia 13 grudnia 2023 r. w sprawie zharmonizowanych przepisów dotyczących sprawiedliwego dostępu do danych i ich wykorzystywania oraz w sprawie zmiany rozporządzenia (UE) 2017/2394 i dyrektywy (UE) 2020/1828 (akt w sprawie danych) (Dz.U. L, 2023/2854, 22.12.2023, ELI: </w:t>
      </w:r>
      <w:hyperlink r:id="rId12" w:history="1">
        <w:r w:rsidRPr="00C01CA7">
          <w:rPr>
            <w:rStyle w:val="Hyperlink"/>
            <w:sz w:val="24"/>
            <w:lang w:val="pl-PL"/>
          </w:rPr>
          <w:t>http://data.europa.eu/eli/reg/2023/2854/oj</w:t>
        </w:r>
      </w:hyperlink>
      <w:r w:rsidRPr="00C01CA7">
        <w:rPr>
          <w:sz w:val="24"/>
          <w:lang w:val="pl-PL"/>
        </w:rPr>
        <w:t>).</w:t>
      </w:r>
    </w:p>
  </w:footnote>
  <w:footnote w:id="13">
    <w:p w14:paraId="0B188032" w14:textId="74D5A359" w:rsidR="00DC4E55" w:rsidRPr="00C01CA7" w:rsidRDefault="00DC4E55" w:rsidP="00C01CA7">
      <w:pPr>
        <w:pStyle w:val="FootnoteText"/>
        <w:ind w:left="567" w:hanging="567"/>
        <w:rPr>
          <w:sz w:val="24"/>
          <w:lang w:val="pl-PL"/>
        </w:rPr>
      </w:pPr>
      <w:r w:rsidRPr="00C01CA7">
        <w:rPr>
          <w:rStyle w:val="FootnoteReference"/>
          <w:sz w:val="24"/>
          <w:lang w:val="pl-PL"/>
        </w:rPr>
        <w:footnoteRef/>
      </w:r>
      <w:r w:rsidR="00C01CA7" w:rsidRPr="00C01CA7">
        <w:rPr>
          <w:sz w:val="24"/>
          <w:lang w:val="pl-PL"/>
        </w:rPr>
        <w:t xml:space="preserve"> </w:t>
      </w:r>
      <w:r w:rsidR="00C01CA7" w:rsidRPr="00C01CA7">
        <w:rPr>
          <w:sz w:val="24"/>
          <w:lang w:val="pl-PL"/>
        </w:rPr>
        <w:tab/>
      </w:r>
      <w:r w:rsidRPr="00C01CA7">
        <w:rPr>
          <w:sz w:val="24"/>
          <w:lang w:val="pl-PL"/>
        </w:rPr>
        <w:t xml:space="preserve">Rozporządzenie Parlamentu Europejskiego i Rady (UE) 2024/1689 z dnia 13 czerwca 2024 r. w sprawie ustanowienia zharmonizowanych przepisów dotyczących sztucznej inteligencji oraz zmiany rozporządzeń (WE) nr 300/2008, (UE) nr 167/2013, (UE) nr 168/2013, (UE) 2018/858, (UE) 2018/1139 i (UE) 2019/2144 oraz dyrektyw 2014/90/UE, (UE) 2016/797 i (UE) 2020/1828 (akt w sprawie sztucznej inteligencji) (Dz.U. L, 2024/1689, 12.7.2024, ELI: </w:t>
      </w:r>
      <w:hyperlink r:id="rId13" w:history="1">
        <w:r w:rsidRPr="00C01CA7">
          <w:rPr>
            <w:rStyle w:val="Hyperlink"/>
            <w:sz w:val="24"/>
            <w:lang w:val="pl-PL"/>
          </w:rPr>
          <w:t>http://data.europa.eu/eli/reg/2024/1689/oj</w:t>
        </w:r>
      </w:hyperlink>
      <w:r w:rsidRPr="00C01CA7">
        <w:rPr>
          <w:sz w:val="24"/>
          <w:lang w:val="pl-PL"/>
        </w:rPr>
        <w:t>).</w:t>
      </w:r>
    </w:p>
  </w:footnote>
  <w:footnote w:id="14">
    <w:p w14:paraId="3133CAA4" w14:textId="51F2997A" w:rsidR="00DD2864" w:rsidRPr="00DD2864" w:rsidRDefault="00DD2864" w:rsidP="00DD2864">
      <w:pPr>
        <w:pStyle w:val="FootnoteText"/>
        <w:ind w:left="567" w:hanging="567"/>
        <w:rPr>
          <w:sz w:val="24"/>
          <w:szCs w:val="24"/>
          <w:lang w:val="pl-PL"/>
        </w:rPr>
      </w:pPr>
      <w:r w:rsidRPr="00DD2864">
        <w:rPr>
          <w:rStyle w:val="FootnoteReference"/>
          <w:sz w:val="24"/>
          <w:szCs w:val="24"/>
        </w:rPr>
        <w:footnoteRef/>
      </w:r>
      <w:r w:rsidRPr="00DD2864">
        <w:rPr>
          <w:sz w:val="24"/>
          <w:szCs w:val="24"/>
          <w:lang w:val="pl-PL"/>
        </w:rPr>
        <w:t xml:space="preserve"> </w:t>
      </w:r>
      <w:r w:rsidRPr="00DD2864">
        <w:rPr>
          <w:sz w:val="24"/>
          <w:szCs w:val="24"/>
          <w:lang w:val="pl-PL"/>
        </w:rPr>
        <w:tab/>
      </w:r>
      <w:r w:rsidRPr="00DD2864">
        <w:rPr>
          <w:bCs/>
          <w:iCs/>
          <w:sz w:val="24"/>
          <w:szCs w:val="24"/>
          <w:lang w:val="pl-PL"/>
        </w:rPr>
        <w:t>Rozporządzenie Parlamentu Europejskiego i Rady (UE) 2022/2560 z dnia 14 grudnia 2022 r. w sprawie subsydiów zagranicznych zakłócających rynek wewnętrzny (Dz.U. L 330 z 23.12.2022, s. 1, ELI: </w:t>
      </w:r>
      <w:hyperlink r:id="rId14" w:tooltip="Dostęp do dokumentu poprzez identyfikator URI w systemie ELI." w:history="1">
        <w:r w:rsidRPr="00DD2864">
          <w:rPr>
            <w:rStyle w:val="Hyperlink"/>
            <w:bCs/>
            <w:iCs/>
            <w:sz w:val="24"/>
            <w:szCs w:val="24"/>
            <w:lang w:val="pl-PL"/>
          </w:rPr>
          <w:t>http://data.europa.eu/eli/reg/2022/2560/oj</w:t>
        </w:r>
      </w:hyperlink>
      <w:r w:rsidRPr="00DD2864">
        <w:rPr>
          <w:bCs/>
          <w:iCs/>
          <w:sz w:val="24"/>
          <w:szCs w:val="24"/>
          <w:lang w:val="pl-PL"/>
        </w:rPr>
        <w:t>).</w:t>
      </w:r>
    </w:p>
  </w:footnote>
  <w:footnote w:id="15">
    <w:p w14:paraId="23BB6550" w14:textId="098F211F" w:rsidR="00DD2864" w:rsidRPr="00DD2864" w:rsidRDefault="00DD2864" w:rsidP="00DD2864">
      <w:pPr>
        <w:pStyle w:val="FootnoteText"/>
        <w:ind w:left="567" w:hanging="567"/>
        <w:rPr>
          <w:sz w:val="24"/>
          <w:szCs w:val="24"/>
          <w:lang w:val="pl-PL"/>
        </w:rPr>
      </w:pPr>
      <w:r w:rsidRPr="00DD2864">
        <w:rPr>
          <w:rStyle w:val="FootnoteReference"/>
          <w:sz w:val="24"/>
          <w:szCs w:val="24"/>
        </w:rPr>
        <w:footnoteRef/>
      </w:r>
      <w:r w:rsidRPr="00DD2864">
        <w:rPr>
          <w:sz w:val="24"/>
          <w:szCs w:val="24"/>
          <w:lang w:val="pl-PL"/>
        </w:rPr>
        <w:t xml:space="preserve"> </w:t>
      </w:r>
      <w:r w:rsidRPr="00DD2864">
        <w:rPr>
          <w:sz w:val="24"/>
          <w:szCs w:val="24"/>
          <w:lang w:val="pl-PL"/>
        </w:rPr>
        <w:tab/>
        <w:t>Rozporządzenie Parlamentu Europejskiego i Rady (UE) 2019/452 z dnia 19 marca 2019 r. ustanawiające ramy monitorowania bezpośrednich inwestycji zagranicznych w Unii (Dz.U. L 79</w:t>
      </w:r>
      <w:r w:rsidR="009C2C03">
        <w:rPr>
          <w:sz w:val="24"/>
          <w:szCs w:val="24"/>
          <w:lang w:val="pl-PL"/>
        </w:rPr>
        <w:t xml:space="preserve"> </w:t>
      </w:r>
      <w:r w:rsidRPr="00DD2864">
        <w:rPr>
          <w:sz w:val="24"/>
          <w:szCs w:val="24"/>
          <w:lang w:val="pl-PL"/>
        </w:rPr>
        <w:t>I z </w:t>
      </w:r>
      <w:proofErr w:type="gramStart"/>
      <w:r w:rsidRPr="00DD2864">
        <w:rPr>
          <w:sz w:val="24"/>
          <w:szCs w:val="24"/>
          <w:lang w:val="pl-PL"/>
        </w:rPr>
        <w:t>21.3.2019</w:t>
      </w:r>
      <w:proofErr w:type="gramEnd"/>
      <w:r w:rsidRPr="00DD2864">
        <w:rPr>
          <w:sz w:val="24"/>
          <w:szCs w:val="24"/>
          <w:lang w:val="pl-PL"/>
        </w:rPr>
        <w:t>, s. 1, ELI: </w:t>
      </w:r>
      <w:hyperlink r:id="rId15" w:tooltip="Dostęp do dokumentu poprzez identyfikator URI w systemie ELI." w:history="1">
        <w:r w:rsidRPr="00DD2864">
          <w:rPr>
            <w:rStyle w:val="Hyperlink"/>
            <w:sz w:val="24"/>
            <w:szCs w:val="24"/>
            <w:lang w:val="pl-PL"/>
          </w:rPr>
          <w:t>http://data.europa.eu/eli/reg/2019/452/oj</w:t>
        </w:r>
      </w:hyperlink>
      <w:r w:rsidRPr="00DD2864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741C" w14:textId="77777777" w:rsidR="00064002" w:rsidRPr="00C01C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2F1EC" w14:textId="77777777" w:rsidR="00064002" w:rsidRPr="00C01C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23A0" w14:textId="77777777" w:rsidR="00064002" w:rsidRPr="00C01C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9203709">
    <w:abstractNumId w:val="9"/>
  </w:num>
  <w:num w:numId="2" w16cid:durableId="832598436">
    <w:abstractNumId w:val="9"/>
  </w:num>
  <w:num w:numId="3" w16cid:durableId="1012030932">
    <w:abstractNumId w:val="7"/>
  </w:num>
  <w:num w:numId="4" w16cid:durableId="953097326">
    <w:abstractNumId w:val="7"/>
  </w:num>
  <w:num w:numId="5" w16cid:durableId="1510216391">
    <w:abstractNumId w:val="6"/>
  </w:num>
  <w:num w:numId="6" w16cid:durableId="86267876">
    <w:abstractNumId w:val="6"/>
  </w:num>
  <w:num w:numId="7" w16cid:durableId="1995065660">
    <w:abstractNumId w:val="5"/>
  </w:num>
  <w:num w:numId="8" w16cid:durableId="1114179520">
    <w:abstractNumId w:val="5"/>
  </w:num>
  <w:num w:numId="9" w16cid:durableId="1257977323">
    <w:abstractNumId w:val="4"/>
  </w:num>
  <w:num w:numId="10" w16cid:durableId="216205444">
    <w:abstractNumId w:val="4"/>
  </w:num>
  <w:num w:numId="11" w16cid:durableId="1316303982">
    <w:abstractNumId w:val="8"/>
  </w:num>
  <w:num w:numId="12" w16cid:durableId="573130559">
    <w:abstractNumId w:val="8"/>
  </w:num>
  <w:num w:numId="13" w16cid:durableId="213781052">
    <w:abstractNumId w:val="3"/>
  </w:num>
  <w:num w:numId="14" w16cid:durableId="962855453">
    <w:abstractNumId w:val="3"/>
  </w:num>
  <w:num w:numId="15" w16cid:durableId="512720145">
    <w:abstractNumId w:val="2"/>
  </w:num>
  <w:num w:numId="16" w16cid:durableId="2009213959">
    <w:abstractNumId w:val="2"/>
  </w:num>
  <w:num w:numId="17" w16cid:durableId="167259013">
    <w:abstractNumId w:val="1"/>
  </w:num>
  <w:num w:numId="18" w16cid:durableId="829760055">
    <w:abstractNumId w:val="1"/>
  </w:num>
  <w:num w:numId="19" w16cid:durableId="1364793541">
    <w:abstractNumId w:val="0"/>
  </w:num>
  <w:num w:numId="20" w16cid:durableId="115493529">
    <w:abstractNumId w:val="0"/>
  </w:num>
  <w:num w:numId="21" w16cid:durableId="297222509">
    <w:abstractNumId w:val="9"/>
  </w:num>
  <w:num w:numId="22" w16cid:durableId="1143231329">
    <w:abstractNumId w:val="7"/>
  </w:num>
  <w:num w:numId="23" w16cid:durableId="119737320">
    <w:abstractNumId w:val="6"/>
  </w:num>
  <w:num w:numId="24" w16cid:durableId="2073917949">
    <w:abstractNumId w:val="5"/>
  </w:num>
  <w:num w:numId="25" w16cid:durableId="1479108353">
    <w:abstractNumId w:val="4"/>
  </w:num>
  <w:num w:numId="26" w16cid:durableId="77409616">
    <w:abstractNumId w:val="8"/>
  </w:num>
  <w:num w:numId="27" w16cid:durableId="475680496">
    <w:abstractNumId w:val="3"/>
  </w:num>
  <w:num w:numId="28" w16cid:durableId="747314145">
    <w:abstractNumId w:val="2"/>
  </w:num>
  <w:num w:numId="29" w16cid:durableId="277298905">
    <w:abstractNumId w:val="1"/>
  </w:num>
  <w:num w:numId="30" w16cid:durableId="288511283">
    <w:abstractNumId w:val="0"/>
  </w:num>
  <w:num w:numId="31" w16cid:durableId="966660292">
    <w:abstractNumId w:val="9"/>
  </w:num>
  <w:num w:numId="32" w16cid:durableId="965160736">
    <w:abstractNumId w:val="7"/>
  </w:num>
  <w:num w:numId="33" w16cid:durableId="872887842">
    <w:abstractNumId w:val="6"/>
  </w:num>
  <w:num w:numId="34" w16cid:durableId="2037415822">
    <w:abstractNumId w:val="5"/>
  </w:num>
  <w:num w:numId="35" w16cid:durableId="182518903">
    <w:abstractNumId w:val="4"/>
  </w:num>
  <w:num w:numId="36" w16cid:durableId="1309047033">
    <w:abstractNumId w:val="8"/>
  </w:num>
  <w:num w:numId="37" w16cid:durableId="797843716">
    <w:abstractNumId w:val="3"/>
  </w:num>
  <w:num w:numId="38" w16cid:durableId="302201566">
    <w:abstractNumId w:val="2"/>
  </w:num>
  <w:num w:numId="39" w16cid:durableId="499583785">
    <w:abstractNumId w:val="1"/>
  </w:num>
  <w:num w:numId="40" w16cid:durableId="848131666">
    <w:abstractNumId w:val="0"/>
  </w:num>
  <w:num w:numId="41" w16cid:durableId="1105609619">
    <w:abstractNumId w:val="10"/>
  </w:num>
  <w:num w:numId="42" w16cid:durableId="1393233990">
    <w:abstractNumId w:val="10"/>
  </w:num>
  <w:num w:numId="43" w16cid:durableId="1042945742">
    <w:abstractNumId w:val="10"/>
  </w:num>
  <w:num w:numId="44" w16cid:durableId="20327593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0/2026"/>
    <w:docVar w:name="dvlangue" w:val="PL"/>
    <w:docVar w:name="dvnumam" w:val="0"/>
    <w:docVar w:name="dvpe" w:val="785.295"/>
    <w:docVar w:name="dvtitre" w:val="Rezolucja Parlamentu Europejskiego z dnia  2026 r. w sprawie egzekwowania aktu o rynkach cyfrowych(2026/2596(RSP))"/>
  </w:docVars>
  <w:rsids>
    <w:rsidRoot w:val="009739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BD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B01"/>
    <w:rsid w:val="008C2AC6"/>
    <w:rsid w:val="00930C23"/>
    <w:rsid w:val="0093193B"/>
    <w:rsid w:val="009509D8"/>
    <w:rsid w:val="00950B64"/>
    <w:rsid w:val="0097397D"/>
    <w:rsid w:val="00981893"/>
    <w:rsid w:val="009C2C0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CA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E55"/>
    <w:rsid w:val="00DD2864"/>
    <w:rsid w:val="00E365E1"/>
    <w:rsid w:val="00E820A4"/>
    <w:rsid w:val="00EB006A"/>
    <w:rsid w:val="00EB4772"/>
    <w:rsid w:val="00EB7B4F"/>
    <w:rsid w:val="00ED169E"/>
    <w:rsid w:val="00ED4235"/>
    <w:rsid w:val="00EF096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98A35"/>
  <w15:chartTrackingRefBased/>
  <w15:docId w15:val="{0BFEA6D5-208E-4EE2-B750-A66F848C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4E55"/>
    <w:pPr>
      <w:spacing w:before="480" w:after="240"/>
    </w:pPr>
  </w:style>
  <w:style w:type="paragraph" w:customStyle="1" w:styleId="NormalHanging12a">
    <w:name w:val="NormalHanging12a"/>
    <w:basedOn w:val="Normal"/>
    <w:rsid w:val="00DC4E5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C4E5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B7B4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4374/oj" TargetMode="External"/><Relationship Id="rId13" Type="http://schemas.openxmlformats.org/officeDocument/2006/relationships/hyperlink" Target="http://data.europa.eu/eli/reg/2024/1689/oj" TargetMode="External"/><Relationship Id="rId3" Type="http://schemas.openxmlformats.org/officeDocument/2006/relationships/hyperlink" Target="http://data.europa.eu/eli/C/2023/905/oj" TargetMode="External"/><Relationship Id="rId7" Type="http://schemas.openxmlformats.org/officeDocument/2006/relationships/hyperlink" Target="http://data.europa.eu/eli/C/2023/551/oj" TargetMode="External"/><Relationship Id="rId12" Type="http://schemas.openxmlformats.org/officeDocument/2006/relationships/hyperlink" Target="http://data.europa.eu/eli/reg/2023/2854/oj" TargetMode="External"/><Relationship Id="rId2" Type="http://schemas.openxmlformats.org/officeDocument/2006/relationships/hyperlink" Target="http://data.europa.eu/eli/C/2023/549/oj" TargetMode="External"/><Relationship Id="rId1" Type="http://schemas.openxmlformats.org/officeDocument/2006/relationships/hyperlink" Target="http://data.europa.eu/eli/reg/2022/1925/oj" TargetMode="External"/><Relationship Id="rId6" Type="http://schemas.openxmlformats.org/officeDocument/2006/relationships/hyperlink" Target="http://data.europa.eu/eli/C/2023/1092/oj" TargetMode="External"/><Relationship Id="rId11" Type="http://schemas.openxmlformats.org/officeDocument/2006/relationships/hyperlink" Target="http://data.europa.eu/eli/reg_impl/2023/814/oj" TargetMode="External"/><Relationship Id="rId5" Type="http://schemas.openxmlformats.org/officeDocument/2006/relationships/hyperlink" Target="http://data.europa.eu/eli/C/2023/552/oj" TargetMode="External"/><Relationship Id="rId15" Type="http://schemas.openxmlformats.org/officeDocument/2006/relationships/hyperlink" Target="http://data.europa.eu/eli/reg/2019/452/oj" TargetMode="External"/><Relationship Id="rId10" Type="http://schemas.openxmlformats.org/officeDocument/2006/relationships/hyperlink" Target="http://data.europa.eu/eli/C/2025/3466/oj" TargetMode="External"/><Relationship Id="rId4" Type="http://schemas.openxmlformats.org/officeDocument/2006/relationships/hyperlink" Target="http://data.europa.eu/eli/C/2025/4646/oj" TargetMode="External"/><Relationship Id="rId9" Type="http://schemas.openxmlformats.org/officeDocument/2006/relationships/hyperlink" Target="http://data.europa.eu/eli/C/2024/4360/oj" TargetMode="External"/><Relationship Id="rId14" Type="http://schemas.openxmlformats.org/officeDocument/2006/relationships/hyperlink" Target="http://data.europa.eu/eli/reg/2022/25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4201</Words>
  <Characters>27770</Characters>
  <Application>Microsoft Office Word</Application>
  <DocSecurity>0</DocSecurity>
  <Lines>231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3</cp:revision>
  <cp:lastPrinted>2004-11-19T15:42:00Z</cp:lastPrinted>
  <dcterms:created xsi:type="dcterms:W3CDTF">2026-04-30T12:47:00Z</dcterms:created>
  <dcterms:modified xsi:type="dcterms:W3CDTF">2026-05-16T13:55:00Z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B10-0190/2026</vt:lpwstr>
  </property>
  <property fmtid="{D5CDD505-2E9C-101B-9397-08002B2CF9AE}" pid="4" name="&lt;Type&gt;">
    <vt:lpwstr>RR</vt:lpwstr>
  </property>
</Properties>
</file>