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52DE4" w14:paraId="393A2C64" w14:textId="77777777" w:rsidTr="0010095E">
        <w:trPr>
          <w:trHeight w:hRule="exact" w:val="1418"/>
        </w:trPr>
        <w:tc>
          <w:tcPr>
            <w:tcW w:w="6804" w:type="dxa"/>
            <w:shd w:val="clear" w:color="auto" w:fill="auto"/>
            <w:vAlign w:val="center"/>
          </w:tcPr>
          <w:p w14:paraId="1E12DEE7" w14:textId="77777777" w:rsidR="00751A4A" w:rsidRPr="00352DE4" w:rsidRDefault="001C3856" w:rsidP="0010095E">
            <w:pPr>
              <w:pStyle w:val="EPName"/>
            </w:pPr>
            <w:r w:rsidRPr="00352DE4">
              <w:t>Parlamentul European</w:t>
            </w:r>
          </w:p>
          <w:p w14:paraId="54FE0E8C" w14:textId="77777777" w:rsidR="00751A4A" w:rsidRPr="00352DE4" w:rsidRDefault="005F1B17" w:rsidP="005F1B17">
            <w:pPr>
              <w:pStyle w:val="EPTerm"/>
              <w:rPr>
                <w:rStyle w:val="HideTWBExt"/>
                <w:noProof w:val="0"/>
                <w:vanish w:val="0"/>
                <w:color w:val="auto"/>
              </w:rPr>
            </w:pPr>
            <w:r w:rsidRPr="00352DE4">
              <w:t>2024</w:t>
            </w:r>
            <w:r w:rsidR="00817416" w:rsidRPr="00352DE4">
              <w:t>-202</w:t>
            </w:r>
            <w:r w:rsidRPr="00352DE4">
              <w:t>9</w:t>
            </w:r>
          </w:p>
        </w:tc>
        <w:tc>
          <w:tcPr>
            <w:tcW w:w="2268" w:type="dxa"/>
            <w:shd w:val="clear" w:color="auto" w:fill="auto"/>
          </w:tcPr>
          <w:p w14:paraId="3180E767" w14:textId="77777777" w:rsidR="00751A4A" w:rsidRPr="00352DE4" w:rsidRDefault="00187494" w:rsidP="0010095E">
            <w:pPr>
              <w:pStyle w:val="EPLogo"/>
            </w:pPr>
            <w:r w:rsidRPr="00352DE4">
              <w:rPr>
                <w:noProof/>
                <w:lang w:eastAsia="ja-JP"/>
              </w:rPr>
              <w:drawing>
                <wp:inline distT="0" distB="0" distL="0" distR="0" wp14:anchorId="27F32700" wp14:editId="362BE47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7C5C73B" w14:textId="77777777" w:rsidR="00D058B8" w:rsidRPr="00352DE4" w:rsidRDefault="00D058B8" w:rsidP="004C5D52">
      <w:pPr>
        <w:pStyle w:val="LineTop"/>
      </w:pPr>
    </w:p>
    <w:p w14:paraId="4978E02D" w14:textId="77777777" w:rsidR="00680577" w:rsidRPr="00352DE4" w:rsidRDefault="001C3856" w:rsidP="00680577">
      <w:pPr>
        <w:pStyle w:val="EPBodyTA1"/>
      </w:pPr>
      <w:r w:rsidRPr="00352DE4">
        <w:t>TEXTE ADOPTATE</w:t>
      </w:r>
    </w:p>
    <w:p w14:paraId="3D3CEB99" w14:textId="77777777" w:rsidR="00D058B8" w:rsidRPr="00352DE4" w:rsidRDefault="00D058B8" w:rsidP="00D058B8">
      <w:pPr>
        <w:pStyle w:val="LineBottom"/>
      </w:pPr>
    </w:p>
    <w:p w14:paraId="652730D6" w14:textId="408FB95C" w:rsidR="001C3856" w:rsidRPr="00352DE4" w:rsidRDefault="001C3856" w:rsidP="001C3856">
      <w:pPr>
        <w:pStyle w:val="ATHeading1"/>
      </w:pPr>
      <w:bookmarkStart w:id="0" w:name="TANumber"/>
      <w:r w:rsidRPr="00352DE4">
        <w:t>P10_TA(2026)0</w:t>
      </w:r>
      <w:bookmarkEnd w:id="0"/>
      <w:r w:rsidR="00DC4DCC" w:rsidRPr="00352DE4">
        <w:t>160</w:t>
      </w:r>
    </w:p>
    <w:p w14:paraId="2B895CEE" w14:textId="77777777" w:rsidR="001C3856" w:rsidRPr="00352DE4" w:rsidRDefault="001C3856" w:rsidP="001C3856">
      <w:pPr>
        <w:pStyle w:val="ATHeading2"/>
      </w:pPr>
      <w:bookmarkStart w:id="1" w:name="title"/>
      <w:r w:rsidRPr="00352DE4">
        <w:t>Asigurarea respectării Regulamentului privind piețele digitale</w:t>
      </w:r>
      <w:bookmarkEnd w:id="1"/>
    </w:p>
    <w:p w14:paraId="4FBEF279" w14:textId="77777777" w:rsidR="001C3856" w:rsidRPr="00352DE4" w:rsidRDefault="001C3856" w:rsidP="001C3856">
      <w:pPr>
        <w:rPr>
          <w:i/>
          <w:vanish/>
        </w:rPr>
      </w:pPr>
      <w:r w:rsidRPr="00352DE4">
        <w:rPr>
          <w:i/>
        </w:rPr>
        <w:fldChar w:fldCharType="begin"/>
      </w:r>
      <w:r w:rsidRPr="00352DE4">
        <w:rPr>
          <w:i/>
        </w:rPr>
        <w:instrText xml:space="preserve"> TC"(</w:instrText>
      </w:r>
      <w:bookmarkStart w:id="2" w:name="DocNumber"/>
      <w:r w:rsidRPr="00352DE4">
        <w:rPr>
          <w:i/>
        </w:rPr>
        <w:instrText>B10-0190/2026</w:instrText>
      </w:r>
      <w:bookmarkEnd w:id="2"/>
      <w:r w:rsidRPr="00352DE4">
        <w:rPr>
          <w:i/>
        </w:rPr>
        <w:instrText xml:space="preserve">)"\l3 \n&gt; \* MERGEFORMAT </w:instrText>
      </w:r>
      <w:r w:rsidRPr="00352DE4">
        <w:rPr>
          <w:i/>
        </w:rPr>
        <w:fldChar w:fldCharType="end"/>
      </w:r>
    </w:p>
    <w:p w14:paraId="6B68E7E4" w14:textId="77777777" w:rsidR="001C3856" w:rsidRPr="00352DE4" w:rsidRDefault="001C3856" w:rsidP="001C3856">
      <w:pPr>
        <w:rPr>
          <w:vanish/>
        </w:rPr>
      </w:pPr>
      <w:bookmarkStart w:id="3" w:name="PE"/>
      <w:r w:rsidRPr="00352DE4">
        <w:rPr>
          <w:vanish/>
        </w:rPr>
        <w:t>PE785.295</w:t>
      </w:r>
      <w:bookmarkEnd w:id="3"/>
    </w:p>
    <w:p w14:paraId="32951129" w14:textId="64C6D6FC" w:rsidR="001C3856" w:rsidRPr="00352DE4" w:rsidRDefault="001C3856" w:rsidP="001C3856">
      <w:pPr>
        <w:pStyle w:val="ATHeading3"/>
      </w:pPr>
      <w:bookmarkStart w:id="4" w:name="Sujet"/>
      <w:r w:rsidRPr="00352DE4">
        <w:t xml:space="preserve">Rezoluția Parlamentului European din </w:t>
      </w:r>
      <w:r w:rsidR="00DC4DCC" w:rsidRPr="00352DE4">
        <w:t>30</w:t>
      </w:r>
      <w:r w:rsidRPr="00352DE4">
        <w:t xml:space="preserve"> aprilie 2026 referitoare la asigurarea respectării Regulamentului privind piețele digitale</w:t>
      </w:r>
      <w:bookmarkEnd w:id="4"/>
      <w:r w:rsidRPr="00352DE4">
        <w:t xml:space="preserve"> </w:t>
      </w:r>
      <w:bookmarkStart w:id="5" w:name="References"/>
      <w:r w:rsidRPr="00352DE4">
        <w:t>(2026/2596(RSP))</w:t>
      </w:r>
      <w:bookmarkEnd w:id="5"/>
    </w:p>
    <w:p w14:paraId="0CC3C664" w14:textId="77777777" w:rsidR="00C70BD0" w:rsidRPr="00352DE4" w:rsidRDefault="00C70BD0" w:rsidP="00C70BD0">
      <w:pPr>
        <w:pStyle w:val="EPComma"/>
      </w:pPr>
      <w:bookmarkStart w:id="6" w:name="TextBodyBegin"/>
      <w:bookmarkEnd w:id="6"/>
      <w:r w:rsidRPr="00352DE4">
        <w:rPr>
          <w:i/>
        </w:rPr>
        <w:t>Parlamentul European</w:t>
      </w:r>
      <w:r w:rsidRPr="00352DE4">
        <w:t>,</w:t>
      </w:r>
    </w:p>
    <w:p w14:paraId="4D9EAD63" w14:textId="77777777" w:rsidR="00C70BD0" w:rsidRPr="00352DE4" w:rsidRDefault="00C70BD0" w:rsidP="00C70BD0">
      <w:pPr>
        <w:pStyle w:val="NormalHanging12a"/>
      </w:pPr>
      <w:r w:rsidRPr="00352DE4">
        <w:t>–</w:t>
      </w:r>
      <w:r w:rsidRPr="00352DE4">
        <w:tab/>
        <w:t>având în vedere Regulamentul (UE) 2022/1925 al Parlamentului European și al Consiliului din 14 septembrie 2022 privind piețe contestabile și echitabile în sectorul digital și de modificare a Directivelor (UE) 2019/1937 și (UE) 2020/1828 (Regulamentul privind piețele digitale)</w:t>
      </w:r>
      <w:r w:rsidRPr="00352DE4">
        <w:rPr>
          <w:rStyle w:val="FootnoteReference"/>
        </w:rPr>
        <w:footnoteReference w:id="1"/>
      </w:r>
      <w:r w:rsidRPr="00352DE4">
        <w:t>, în special articolul 53,</w:t>
      </w:r>
    </w:p>
    <w:p w14:paraId="5B6E9E9B" w14:textId="5F2F6D04" w:rsidR="00C70BD0" w:rsidRPr="00352DE4" w:rsidRDefault="00C70BD0" w:rsidP="00C70BD0">
      <w:pPr>
        <w:pStyle w:val="NormalHanging12a"/>
      </w:pPr>
      <w:r w:rsidRPr="00352DE4">
        <w:t>–</w:t>
      </w:r>
      <w:r w:rsidRPr="00352DE4">
        <w:tab/>
        <w:t>având în vedere întrebarea adresată Comisiei referitoare la asigurarea respectării Regulamentului privind piețele digitale (O-</w:t>
      </w:r>
      <w:r w:rsidR="000169CA" w:rsidRPr="00352DE4">
        <w:t>000016/2026</w:t>
      </w:r>
      <w:r w:rsidRPr="00352DE4">
        <w:t xml:space="preserve"> – B10</w:t>
      </w:r>
      <w:r w:rsidRPr="00352DE4">
        <w:noBreakHyphen/>
        <w:t>00</w:t>
      </w:r>
      <w:r w:rsidR="000169CA" w:rsidRPr="00352DE4">
        <w:t>10</w:t>
      </w:r>
      <w:r w:rsidRPr="00352DE4">
        <w:t>/2026),</w:t>
      </w:r>
    </w:p>
    <w:p w14:paraId="3DC792E0" w14:textId="77777777" w:rsidR="00C70BD0" w:rsidRPr="00352DE4" w:rsidRDefault="00C70BD0" w:rsidP="00C70BD0">
      <w:pPr>
        <w:pStyle w:val="NormalHanging12a"/>
        <w:rPr>
          <w:rFonts w:eastAsia="Aptos"/>
          <w:kern w:val="2"/>
          <w:szCs w:val="24"/>
          <w14:ligatures w14:val="standardContextual"/>
        </w:rPr>
      </w:pPr>
      <w:r w:rsidRPr="00352DE4">
        <w:t>–</w:t>
      </w:r>
      <w:r w:rsidRPr="00352DE4">
        <w:tab/>
        <w:t xml:space="preserve">având în vedere deciziile Comisiei din 6 septembrie 2023, adoptate în temeiul articolului 3 din Regulamentul (UE) 2022/1925, prin care </w:t>
      </w:r>
      <w:proofErr w:type="spellStart"/>
      <w:r w:rsidRPr="00352DE4">
        <w:t>Alphabet</w:t>
      </w:r>
      <w:proofErr w:type="spellEnd"/>
      <w:r w:rsidRPr="00352DE4">
        <w:rPr>
          <w:rFonts w:eastAsia="MS Mincho"/>
          <w:vertAlign w:val="superscript"/>
          <w:lang w:eastAsia="en-US"/>
        </w:rPr>
        <w:footnoteReference w:id="2"/>
      </w:r>
      <w:r w:rsidRPr="00352DE4">
        <w:t>, Amazon</w:t>
      </w:r>
      <w:r w:rsidRPr="00352DE4">
        <w:rPr>
          <w:rFonts w:eastAsia="MS Mincho"/>
          <w:vertAlign w:val="superscript"/>
          <w:lang w:eastAsia="en-US"/>
        </w:rPr>
        <w:footnoteReference w:id="3"/>
      </w:r>
      <w:r w:rsidRPr="00352DE4">
        <w:t>, Apple</w:t>
      </w:r>
      <w:r w:rsidRPr="00352DE4">
        <w:rPr>
          <w:rFonts w:eastAsia="MS Mincho"/>
          <w:vertAlign w:val="superscript"/>
          <w:lang w:eastAsia="en-US"/>
        </w:rPr>
        <w:footnoteReference w:id="4"/>
      </w:r>
      <w:r w:rsidRPr="00352DE4">
        <w:t xml:space="preserve">, </w:t>
      </w:r>
      <w:proofErr w:type="spellStart"/>
      <w:r w:rsidRPr="00352DE4">
        <w:t>ByteDance</w:t>
      </w:r>
      <w:proofErr w:type="spellEnd"/>
      <w:r w:rsidRPr="00352DE4">
        <w:rPr>
          <w:rFonts w:eastAsia="MS Mincho"/>
          <w:vertAlign w:val="superscript"/>
          <w:lang w:eastAsia="en-US"/>
        </w:rPr>
        <w:footnoteReference w:id="5"/>
      </w:r>
      <w:r w:rsidRPr="00352DE4">
        <w:t>, Meta</w:t>
      </w:r>
      <w:r w:rsidRPr="00352DE4">
        <w:rPr>
          <w:rFonts w:eastAsia="MS Mincho"/>
          <w:vertAlign w:val="superscript"/>
          <w:lang w:eastAsia="en-US"/>
        </w:rPr>
        <w:footnoteReference w:id="6"/>
      </w:r>
      <w:r w:rsidRPr="00352DE4">
        <w:t xml:space="preserve"> și Microsoft</w:t>
      </w:r>
      <w:r w:rsidRPr="00352DE4">
        <w:rPr>
          <w:rFonts w:eastAsia="MS Mincho"/>
          <w:vertAlign w:val="superscript"/>
          <w:lang w:eastAsia="en-US"/>
        </w:rPr>
        <w:footnoteReference w:id="7"/>
      </w:r>
      <w:r w:rsidRPr="00352DE4">
        <w:t xml:space="preserve"> sunt desemnate drept controlori de acces în raport cu o serie de servicii de platformă esențiale,</w:t>
      </w:r>
    </w:p>
    <w:p w14:paraId="2C5A6ACD" w14:textId="77777777" w:rsidR="00C70BD0" w:rsidRPr="00352DE4" w:rsidRDefault="00C70BD0" w:rsidP="00C70BD0">
      <w:pPr>
        <w:pStyle w:val="NormalHanging12a"/>
        <w:rPr>
          <w:rFonts w:eastAsia="Aptos"/>
          <w:kern w:val="2"/>
          <w:szCs w:val="24"/>
          <w14:ligatures w14:val="standardContextual"/>
        </w:rPr>
      </w:pPr>
      <w:r w:rsidRPr="00352DE4">
        <w:t>–</w:t>
      </w:r>
      <w:r w:rsidRPr="00352DE4">
        <w:tab/>
        <w:t>având în vedere decizia Comisiei din 29 aprilie 2024</w:t>
      </w:r>
      <w:r w:rsidRPr="00352DE4">
        <w:rPr>
          <w:rFonts w:eastAsia="MS Mincho"/>
          <w:szCs w:val="24"/>
          <w:vertAlign w:val="superscript"/>
          <w:lang w:eastAsia="en-US"/>
        </w:rPr>
        <w:footnoteReference w:id="8"/>
      </w:r>
      <w:r w:rsidRPr="00352DE4">
        <w:t xml:space="preserve">, adoptată în temeiul articolului 3 din Regulamentul (UE) 2022/1925, prin care sistemul de operare </w:t>
      </w:r>
      <w:proofErr w:type="spellStart"/>
      <w:r w:rsidRPr="00352DE4">
        <w:t>iPadOS</w:t>
      </w:r>
      <w:proofErr w:type="spellEnd"/>
      <w:r w:rsidRPr="00352DE4">
        <w:t xml:space="preserve"> al Apple este desemnat drept serviciu de platformă esențial,</w:t>
      </w:r>
    </w:p>
    <w:p w14:paraId="23C002A1" w14:textId="77777777" w:rsidR="00C70BD0" w:rsidRPr="00352DE4" w:rsidRDefault="00C70BD0" w:rsidP="00C70BD0">
      <w:pPr>
        <w:pStyle w:val="NormalHanging12a"/>
        <w:rPr>
          <w:rFonts w:eastAsia="Aptos"/>
          <w:kern w:val="2"/>
          <w:szCs w:val="24"/>
          <w14:ligatures w14:val="standardContextual"/>
        </w:rPr>
      </w:pPr>
      <w:r w:rsidRPr="00352DE4">
        <w:t>–</w:t>
      </w:r>
      <w:r w:rsidRPr="00352DE4">
        <w:tab/>
        <w:t>având în vedere decizia Comisiei din 13 mai 2024</w:t>
      </w:r>
      <w:r w:rsidRPr="00352DE4">
        <w:rPr>
          <w:rFonts w:eastAsia="MS Mincho"/>
          <w:szCs w:val="24"/>
          <w:vertAlign w:val="superscript"/>
          <w:lang w:eastAsia="en-US"/>
        </w:rPr>
        <w:footnoteReference w:id="9"/>
      </w:r>
      <w:r w:rsidRPr="00352DE4">
        <w:t>, adoptată în temeiul articolului 3 din Regulamentul (UE) 2022/1925, prin care desemnează Booking.com drept controlor de acces în raport cu serviciile sale de intermediere online,</w:t>
      </w:r>
    </w:p>
    <w:p w14:paraId="1831B142" w14:textId="77777777" w:rsidR="00C70BD0" w:rsidRPr="00352DE4" w:rsidRDefault="00C70BD0" w:rsidP="00C70BD0">
      <w:pPr>
        <w:pStyle w:val="NormalHanging12a"/>
        <w:rPr>
          <w:rFonts w:eastAsia="Aptos"/>
          <w:kern w:val="2"/>
          <w:szCs w:val="24"/>
          <w14:ligatures w14:val="standardContextual"/>
        </w:rPr>
      </w:pPr>
      <w:r w:rsidRPr="00352DE4">
        <w:lastRenderedPageBreak/>
        <w:t>–</w:t>
      </w:r>
      <w:r w:rsidRPr="00352DE4">
        <w:tab/>
        <w:t>având în vedere decizia Comisiei din 23 aprilie 2025</w:t>
      </w:r>
      <w:r w:rsidRPr="00352DE4">
        <w:rPr>
          <w:rFonts w:eastAsia="MS Mincho"/>
          <w:szCs w:val="24"/>
          <w:vertAlign w:val="superscript"/>
          <w:lang w:eastAsia="en-US"/>
        </w:rPr>
        <w:footnoteReference w:id="10"/>
      </w:r>
      <w:r w:rsidRPr="00352DE4">
        <w:t>, adoptată în temeiul articolului 29 alineatul (1) litera (a), al articolului 30 alineatul (1) litera (a) și al articolului 31 alineatul (1) litera (h) din Regulamentul (UE) 2022/1925, prin care anulează desemnarea Facebook Marketplace ca serviciu de platformă esențial,</w:t>
      </w:r>
    </w:p>
    <w:p w14:paraId="4569F17D" w14:textId="77777777" w:rsidR="00C70BD0" w:rsidRPr="00352DE4" w:rsidRDefault="00C70BD0" w:rsidP="00C70BD0">
      <w:pPr>
        <w:pStyle w:val="NormalHanging12a"/>
        <w:rPr>
          <w:rFonts w:eastAsia="Aptos"/>
          <w:kern w:val="2"/>
          <w:szCs w:val="24"/>
          <w14:ligatures w14:val="standardContextual"/>
        </w:rPr>
      </w:pPr>
      <w:r w:rsidRPr="00352DE4">
        <w:t>–</w:t>
      </w:r>
      <w:r w:rsidRPr="00352DE4">
        <w:tab/>
        <w:t>având în vedere regulamentul de punere în aplicare (UE) 2023/814 al Comisiei din 14 aprilie 2023 privind modalitățile detaliate de desfășurare a anumitor proceduri de către Comisie în temeiul Regulamentului (UE) 2022/1925 al Parlamentului European și al Consiliului</w:t>
      </w:r>
      <w:r w:rsidRPr="00352DE4">
        <w:rPr>
          <w:rFonts w:eastAsia="MS Mincho"/>
          <w:szCs w:val="24"/>
          <w:vertAlign w:val="superscript"/>
          <w:lang w:eastAsia="en-US"/>
        </w:rPr>
        <w:footnoteReference w:id="11"/>
      </w:r>
      <w:r w:rsidRPr="00352DE4">
        <w:t>,</w:t>
      </w:r>
    </w:p>
    <w:p w14:paraId="2E0A88EE" w14:textId="77777777" w:rsidR="00C70BD0" w:rsidRPr="00352DE4" w:rsidRDefault="00C70BD0" w:rsidP="00C70BD0">
      <w:pPr>
        <w:pStyle w:val="NormalHanging12a"/>
      </w:pPr>
      <w:r w:rsidRPr="00352DE4">
        <w:t>–</w:t>
      </w:r>
      <w:r w:rsidRPr="00352DE4">
        <w:tab/>
        <w:t>având în vedere articolul 142 alineatul (5) și articolul 136 alineatul (2) din Regulamentul său de procedură,</w:t>
      </w:r>
    </w:p>
    <w:p w14:paraId="6533D525" w14:textId="77777777" w:rsidR="00C70BD0" w:rsidRPr="00352DE4" w:rsidRDefault="00C70BD0" w:rsidP="00C70BD0">
      <w:pPr>
        <w:pStyle w:val="NormalHanging12a"/>
      </w:pPr>
      <w:r w:rsidRPr="00352DE4">
        <w:t>A.</w:t>
      </w:r>
      <w:r w:rsidRPr="00352DE4">
        <w:tab/>
        <w:t>întrucât Regulamentul privind piețele digitale stabilește un cadru de reglementare ex ante armonizat pentru a asigura piețe digitale echitabile, deschise și contestabile în întreaga UE, pentru a preveni practicile neloiale ale controlorilor de acces, pentru a proteja integritatea și buna funcționare a pieței unice, pentru a asigura aplicarea eficace și nediscriminatorie a obligațiilor pentru toți controlorii de acces desemnați, pentru a elimina barierele din calea intrării pe piață și pentru a promova serviciile digitale transfrontaliere, inovarea, opțiunile consumatorilor și concurența loială în întreaga UE;</w:t>
      </w:r>
    </w:p>
    <w:p w14:paraId="1084DF9C" w14:textId="77777777" w:rsidR="00C70BD0" w:rsidRPr="00352DE4" w:rsidRDefault="00C70BD0" w:rsidP="00C70BD0">
      <w:pPr>
        <w:pStyle w:val="NormalHanging12a"/>
      </w:pPr>
      <w:r w:rsidRPr="00352DE4">
        <w:t>B.</w:t>
      </w:r>
      <w:r w:rsidRPr="00352DE4">
        <w:tab/>
        <w:t>întrucât Regulamentul privind piețele digitale urmărește să aducă beneficii reale piețelor digitale, asigurându-se că utilizatorii comerciali și utilizatorii finali își pot exercita efectiv drepturile în temeiul regulamentului și că practicile controlorilor de acces nu mai creează bariere structurale la intrarea pe piața unică sau la capacitatea de a se dezvolta sau de a inova pe piața unică și previn „efectul de blocare” a consumatorilor, care îi descurajează să treacă la un alt serviciu;</w:t>
      </w:r>
    </w:p>
    <w:p w14:paraId="54831E1D" w14:textId="77777777" w:rsidR="00C70BD0" w:rsidRPr="00352DE4" w:rsidRDefault="00C70BD0" w:rsidP="00C70BD0">
      <w:pPr>
        <w:pStyle w:val="NormalHanging12a"/>
      </w:pPr>
      <w:r w:rsidRPr="00352DE4">
        <w:t>C.</w:t>
      </w:r>
      <w:r w:rsidRPr="00352DE4">
        <w:tab/>
        <w:t>întrucât Parlamentul exercită un control democratic asupra punerii în aplicare și a asigurării respectării Regulamentului privind piețele digitale, în special prin Comisia sa pentru piața internă și protecția consumatorilor (IMCO);</w:t>
      </w:r>
    </w:p>
    <w:p w14:paraId="45273273" w14:textId="77777777" w:rsidR="00C70BD0" w:rsidRPr="00352DE4" w:rsidRDefault="00C70BD0" w:rsidP="00C70BD0">
      <w:pPr>
        <w:pStyle w:val="NormalHanging12a"/>
      </w:pPr>
      <w:r w:rsidRPr="00352DE4">
        <w:t>D.</w:t>
      </w:r>
      <w:r w:rsidRPr="00352DE4">
        <w:tab/>
        <w:t>întrucât punerea în aplicare timpurie a Regulamentului privind piețele digitale confirmă importanța acestuia ca instrument-cheie în a ameliora caracterul deschis și echitabil al pieței, concurența și posibilitatea de alegere a utilizatorilor în UE și subliniază că toate companiile care își desfășoară activitatea în UE, indiferent de dimensiune sau origine, trebuie să respecte pe deplin legislația UE;</w:t>
      </w:r>
    </w:p>
    <w:p w14:paraId="0BC73F8C" w14:textId="77777777" w:rsidR="00C70BD0" w:rsidRPr="00352DE4" w:rsidRDefault="00C70BD0" w:rsidP="00C70BD0">
      <w:pPr>
        <w:pStyle w:val="NormalHanging12a"/>
      </w:pPr>
      <w:r w:rsidRPr="00352DE4">
        <w:t>E.</w:t>
      </w:r>
      <w:r w:rsidRPr="00352DE4">
        <w:tab/>
        <w:t>întrucât punerea în aplicare a Regulamentului privind piețele digitale se află încă într-un stadiu incipient și întâmpină dificultăți legate de asigurarea respectării în timp util și în mod eficient, capacitatea de monitorizare și eficacitatea practică a anumitor soluții de conformitate, în special având în vedere complexitatea tehnologiilor subiacente, proiectarea interfeței cu utilizatorul și arhitectura opțiunilor;</w:t>
      </w:r>
    </w:p>
    <w:p w14:paraId="75DD8232" w14:textId="77777777" w:rsidR="00C70BD0" w:rsidRPr="00352DE4" w:rsidRDefault="00C70BD0" w:rsidP="00C70BD0">
      <w:pPr>
        <w:pStyle w:val="NormalHanging12a"/>
      </w:pPr>
      <w:r w:rsidRPr="00352DE4">
        <w:t>F.</w:t>
      </w:r>
      <w:r w:rsidRPr="00352DE4">
        <w:tab/>
        <w:t>întrucât companiile mai mici, inclusiv start-</w:t>
      </w:r>
      <w:proofErr w:type="spellStart"/>
      <w:r w:rsidRPr="00352DE4">
        <w:t>up</w:t>
      </w:r>
      <w:proofErr w:type="spellEnd"/>
      <w:r w:rsidRPr="00352DE4">
        <w:t>-urile și întreprinderile inovatoare în curs de extindere, se confruntă în continuare cu bariere și obstacole neloiale pe piețele digitale, inclusiv cu practici discriminatorii și restricții impuse de controlorii de acces, care pot împiedica inovarea, limita concurența și reduce oportunitățile de creștere și, în cele din urmă, pot diminua posibilitățile de alegere ale consumatorilor;</w:t>
      </w:r>
    </w:p>
    <w:p w14:paraId="4DD8BC0A" w14:textId="77777777" w:rsidR="00C70BD0" w:rsidRPr="00352DE4" w:rsidRDefault="00C70BD0" w:rsidP="00C70BD0">
      <w:pPr>
        <w:pStyle w:val="NormalHanging12a"/>
      </w:pPr>
      <w:r w:rsidRPr="00352DE4">
        <w:lastRenderedPageBreak/>
        <w:t>G.</w:t>
      </w:r>
      <w:r w:rsidRPr="00352DE4">
        <w:tab/>
        <w:t>întrucât asimetriile informaționale dintre controlorii de acces și autoritățile de reglementare, precum și transparența limitată privind măsurile de conformitate riscă să submineze supravegherea eficace, responsabilitatea și încrederea în asigurarea respectării Regulamentului privind piețele digitale;</w:t>
      </w:r>
    </w:p>
    <w:p w14:paraId="0EB2997D" w14:textId="77777777" w:rsidR="00C70BD0" w:rsidRPr="00352DE4" w:rsidRDefault="00C70BD0" w:rsidP="00C70BD0">
      <w:pPr>
        <w:pStyle w:val="NormalHanging12a"/>
      </w:pPr>
      <w:r w:rsidRPr="00352DE4">
        <w:t>H.</w:t>
      </w:r>
      <w:r w:rsidRPr="00352DE4">
        <w:tab/>
        <w:t>întrucât interoperabilitatea, accesul la date, portabilitatea datelor și prevenirea autofavorizării constituie elemente esențiale ale Regulamentului privind piețele digitale și necesită o asigurare a respectării susținută și riguroasă, inclusiv în cazul în care prejudiciul concurențial rezultă din setările implicite, integrarea tehnică sau efectele de ecosistem;</w:t>
      </w:r>
    </w:p>
    <w:p w14:paraId="74B6F951" w14:textId="77777777" w:rsidR="00C70BD0" w:rsidRPr="00352DE4" w:rsidRDefault="00C70BD0" w:rsidP="00C70BD0">
      <w:pPr>
        <w:pStyle w:val="NormalHanging12a"/>
      </w:pPr>
      <w:r w:rsidRPr="00352DE4">
        <w:t>I.</w:t>
      </w:r>
      <w:r w:rsidRPr="00352DE4">
        <w:tab/>
        <w:t xml:space="preserve">întrucât mai multe obligații în temeiul Regulamentului privind piețele digitale se bazează pe alegerile active ale utilizatorilor, inclusiv refuzul consimțământului, dezinstalarea aplicațiilor preinstalate, modificarea setărilor implicite și </w:t>
      </w:r>
      <w:proofErr w:type="spellStart"/>
      <w:r w:rsidRPr="00352DE4">
        <w:t>portarea</w:t>
      </w:r>
      <w:proofErr w:type="spellEnd"/>
      <w:r w:rsidRPr="00352DE4">
        <w:t xml:space="preserve"> datelor, ceea ce face ca sensibilizarea utilizatorilor și proiectarea interfeței să fie esențiale pentru eficacitatea regulamentului;</w:t>
      </w:r>
    </w:p>
    <w:p w14:paraId="2A879F60" w14:textId="77777777" w:rsidR="00C70BD0" w:rsidRPr="00352DE4" w:rsidRDefault="00C70BD0" w:rsidP="00C70BD0">
      <w:pPr>
        <w:pStyle w:val="NormalHanging12a"/>
      </w:pPr>
      <w:r w:rsidRPr="00352DE4">
        <w:t>J.</w:t>
      </w:r>
      <w:r w:rsidRPr="00352DE4">
        <w:tab/>
        <w:t xml:space="preserve">întrucât, de la intrarea în vigoare a Regulamentului privind piețele digitale, s-au observat rezultate concrete în crearea unor piețe digitale echitabile, deschise și competitive, deoarece consumatorilor li se oferă acum ferestre de selectare îmbunătățite și mai neutre atunci când selectează </w:t>
      </w:r>
      <w:proofErr w:type="spellStart"/>
      <w:r w:rsidRPr="00352DE4">
        <w:t>browserele</w:t>
      </w:r>
      <w:proofErr w:type="spellEnd"/>
      <w:r w:rsidRPr="00352DE4">
        <w:t xml:space="preserve"> și aplicațiile implicite, inclusiv în timpul configurării dispozitivelor și prin setările sistemului, și pot seta serviciile terților ca implicite în categorii limitate anterior la serviciile preinstalate;</w:t>
      </w:r>
    </w:p>
    <w:p w14:paraId="2FF9DE99" w14:textId="77777777" w:rsidR="00C70BD0" w:rsidRPr="00352DE4" w:rsidRDefault="00C70BD0" w:rsidP="00C70BD0">
      <w:pPr>
        <w:pStyle w:val="NormalHanging12a"/>
      </w:pPr>
      <w:r w:rsidRPr="00352DE4">
        <w:t>K.</w:t>
      </w:r>
      <w:r w:rsidRPr="00352DE4">
        <w:tab/>
        <w:t>întrucât cerințele ridicate de interoperabilitate extind totodată posibilitățile de alegere ale consumatorilor, permițând unei game mai largi de dispozitive și servicii conectate și portabile să funcționeze cu serviciile de platformă esențiale, reducând astfel dependența de ecosistemele preinstalate și contribuind la o mai mare contestabilitate și autonomie a consumatorilor;</w:t>
      </w:r>
    </w:p>
    <w:p w14:paraId="1FDD5A51" w14:textId="77777777" w:rsidR="00C70BD0" w:rsidRPr="00352DE4" w:rsidRDefault="00C70BD0" w:rsidP="00C70BD0">
      <w:pPr>
        <w:pStyle w:val="NormalHanging12a"/>
      </w:pPr>
      <w:r w:rsidRPr="00352DE4">
        <w:t>L.</w:t>
      </w:r>
      <w:r w:rsidRPr="00352DE4">
        <w:tab/>
        <w:t>întrucât succesul Regulamentului privind piețele digitale ar trebui evaluat nu numai pe baza conformității formale, ci și în funcție de măsura în care obiectivele sale sunt atinse în practică și percepute ca fiind legitime de către utilizatorii finali, utilizatorii comerciali și publicul larg;</w:t>
      </w:r>
    </w:p>
    <w:p w14:paraId="09DE9AE3" w14:textId="77777777" w:rsidR="00C70BD0" w:rsidRPr="00352DE4" w:rsidRDefault="00C70BD0" w:rsidP="00C70BD0">
      <w:pPr>
        <w:pStyle w:val="NormalHanging12a"/>
      </w:pPr>
      <w:r w:rsidRPr="00352DE4">
        <w:t>M.</w:t>
      </w:r>
      <w:r w:rsidRPr="00352DE4">
        <w:tab/>
        <w:t xml:space="preserve">întrucât Regulamentul privind piețele digitale prevede o serie de instrumente de asigurare a respectării legii, inclusiv dialogul în materie de reglementare, investigațiile de piață și procedurile de neconformitate, pentru a depista încălcările, a le aborda și a impune amenzi; întrucât amenzile eficace și proporționale sunt esențiale pentru a asigura efectul disuasiv și a proteja eficacitatea Regulamentului privind piețele digitale; întrucât evoluțiile tehnologice, inclusiv funcționalitățile bazate pe IA și serviciile bazate pe </w:t>
      </w:r>
      <w:proofErr w:type="spellStart"/>
      <w:r w:rsidRPr="00352DE4">
        <w:t>cloud</w:t>
      </w:r>
      <w:proofErr w:type="spellEnd"/>
      <w:r w:rsidRPr="00352DE4">
        <w:t>, generează noi provocări pentru contestabilitate și echitate, care trebuie abordate printr-o aplicare promptă, uniformă și consecventă a dispozițiilor Regulamentului privind piețele digitale;</w:t>
      </w:r>
    </w:p>
    <w:p w14:paraId="3BE8B88D" w14:textId="77777777" w:rsidR="00C70BD0" w:rsidRPr="00352DE4" w:rsidRDefault="00C70BD0" w:rsidP="00C70BD0">
      <w:pPr>
        <w:pStyle w:val="NormalHanging12a"/>
      </w:pPr>
      <w:r w:rsidRPr="00352DE4">
        <w:t>N.</w:t>
      </w:r>
      <w:r w:rsidRPr="00352DE4">
        <w:tab/>
        <w:t>întrucât dezvoltarea rapidă a sistemelor de IA generativă și a asistenților virtuali de IA remodelează semnificativ dinamica concurențială, structurile de piață, lanțurile valorice și accesul utilizatorilor la serviciile digitale în întreaga Uniune, cu posibile implicații asupra concurenței pe piețele digitale;</w:t>
      </w:r>
    </w:p>
    <w:p w14:paraId="69FCDB00" w14:textId="77777777" w:rsidR="00C70BD0" w:rsidRPr="00352DE4" w:rsidRDefault="00C70BD0" w:rsidP="00C70BD0">
      <w:pPr>
        <w:pStyle w:val="NormalHanging12a"/>
      </w:pPr>
      <w:r w:rsidRPr="00352DE4">
        <w:t>O.</w:t>
      </w:r>
      <w:r w:rsidRPr="00352DE4">
        <w:tab/>
        <w:t xml:space="preserve">întrucât Regulamentul privind piețele digitale conține mai multe dispoziții care sunt relevante pentru a-i împiedica pe controlorii de acces să limiteze capacitatea </w:t>
      </w:r>
      <w:r w:rsidRPr="00352DE4">
        <w:lastRenderedPageBreak/>
        <w:t>dezvoltatorilor emergenți de IA de a concura și de a inova, inclusiv obligații legate de ierarhizarea echitabilă și nediscriminatorie, transparența serviciilor de publicitate și accesul la date;</w:t>
      </w:r>
    </w:p>
    <w:p w14:paraId="246A90C7" w14:textId="77777777" w:rsidR="00C70BD0" w:rsidRPr="00352DE4" w:rsidRDefault="00C70BD0" w:rsidP="00C70BD0">
      <w:pPr>
        <w:pStyle w:val="NormalHanging12a"/>
      </w:pPr>
      <w:r w:rsidRPr="00352DE4">
        <w:t>P.</w:t>
      </w:r>
      <w:r w:rsidRPr="00352DE4">
        <w:tab/>
        <w:t xml:space="preserve">întrucât, în unele cazuri, serviciile de </w:t>
      </w:r>
      <w:proofErr w:type="spellStart"/>
      <w:r w:rsidRPr="00352DE4">
        <w:t>cloud</w:t>
      </w:r>
      <w:proofErr w:type="spellEnd"/>
      <w:r w:rsidRPr="00352DE4">
        <w:t xml:space="preserve"> </w:t>
      </w:r>
      <w:proofErr w:type="spellStart"/>
      <w:r w:rsidRPr="00352DE4">
        <w:t>computing</w:t>
      </w:r>
      <w:proofErr w:type="spellEnd"/>
      <w:r w:rsidRPr="00352DE4">
        <w:t xml:space="preserve"> constituie tot mai mult un nivel critic al ecosistemelor digitale, inclusiv pentru dezvoltarea, implementarea și extinderea aplicațiilor de IA; întrucât nivelurile ridicate de concentrare, costurile de schimbare a furnizorului, constrângerile legate de interoperabilitate și riscurile de dependență din anumite segmente ale pieței serviciilor de </w:t>
      </w:r>
      <w:proofErr w:type="spellStart"/>
      <w:r w:rsidRPr="00352DE4">
        <w:t>cloud</w:t>
      </w:r>
      <w:proofErr w:type="spellEnd"/>
      <w:r w:rsidRPr="00352DE4">
        <w:t xml:space="preserve"> pot genera preocupări similare celor abordate de Regulamentul privind piețele digitale; întrucât, în noiembrie 2025, a fost deschisă o investigație pentru a evalua dacă Amazon și Microsoft ar trebui desemnate drept controlori de acces pentru serviciile lor de </w:t>
      </w:r>
      <w:proofErr w:type="spellStart"/>
      <w:r w:rsidRPr="00352DE4">
        <w:t>cloud</w:t>
      </w:r>
      <w:proofErr w:type="spellEnd"/>
      <w:r w:rsidRPr="00352DE4">
        <w:t xml:space="preserve"> </w:t>
      </w:r>
      <w:proofErr w:type="spellStart"/>
      <w:r w:rsidRPr="00352DE4">
        <w:t>computing</w:t>
      </w:r>
      <w:proofErr w:type="spellEnd"/>
      <w:r w:rsidRPr="00352DE4">
        <w:t xml:space="preserve">, Amazon Web Services și Microsoft </w:t>
      </w:r>
      <w:proofErr w:type="spellStart"/>
      <w:r w:rsidRPr="00352DE4">
        <w:t>Azure</w:t>
      </w:r>
      <w:proofErr w:type="spellEnd"/>
      <w:r w:rsidRPr="00352DE4">
        <w:t xml:space="preserve"> și întrucât a fost deschisă o altă investigație pentru a evalua dacă obligațiile actuale în temeiul Regulamentului privind piețele digitale sunt eficace în abordarea practicilor care limitează competitivitatea sau sunt inechitabile în sectorul </w:t>
      </w:r>
      <w:proofErr w:type="spellStart"/>
      <w:r w:rsidRPr="00352DE4">
        <w:t>cloud</w:t>
      </w:r>
      <w:proofErr w:type="spellEnd"/>
      <w:r w:rsidRPr="00352DE4">
        <w:t xml:space="preserve">; întrucât, până în prezent, niciun furnizor de servicii de </w:t>
      </w:r>
      <w:proofErr w:type="spellStart"/>
      <w:r w:rsidRPr="00352DE4">
        <w:t>cloud</w:t>
      </w:r>
      <w:proofErr w:type="spellEnd"/>
      <w:r w:rsidRPr="00352DE4">
        <w:t xml:space="preserve"> </w:t>
      </w:r>
      <w:proofErr w:type="spellStart"/>
      <w:r w:rsidRPr="00352DE4">
        <w:t>computing</w:t>
      </w:r>
      <w:proofErr w:type="spellEnd"/>
      <w:r w:rsidRPr="00352DE4">
        <w:t xml:space="preserve"> nu a fost desemnat drept controlor de acces în temeiul regulamentului;</w:t>
      </w:r>
    </w:p>
    <w:p w14:paraId="2740ECD9" w14:textId="77777777" w:rsidR="00C70BD0" w:rsidRPr="00352DE4" w:rsidRDefault="00C70BD0" w:rsidP="00C70BD0">
      <w:pPr>
        <w:pStyle w:val="NormalHanging12a"/>
      </w:pPr>
      <w:r w:rsidRPr="00352DE4">
        <w:t>Q.</w:t>
      </w:r>
      <w:r w:rsidRPr="00352DE4">
        <w:tab/>
        <w:t xml:space="preserve">întrucât accesul la puterea de calcul la scară largă, la modelele avansate de IA și la infrastructura de date și de </w:t>
      </w:r>
      <w:proofErr w:type="spellStart"/>
      <w:r w:rsidRPr="00352DE4">
        <w:t>cloud</w:t>
      </w:r>
      <w:proofErr w:type="spellEnd"/>
      <w:r w:rsidRPr="00352DE4">
        <w:t xml:space="preserve"> poate crea noi dependențe structurale și efecte de blocare a ecosistemelor care ar putea limita contestabilitatea dacă nu sunt abordate corespunzător în cadrul de reglementare al UE;</w:t>
      </w:r>
    </w:p>
    <w:p w14:paraId="00CB1069" w14:textId="77777777" w:rsidR="00C70BD0" w:rsidRPr="00352DE4" w:rsidRDefault="00C70BD0" w:rsidP="00C70BD0">
      <w:pPr>
        <w:pStyle w:val="NormalHanging12a"/>
      </w:pPr>
      <w:r w:rsidRPr="00352DE4">
        <w:t>R.</w:t>
      </w:r>
      <w:r w:rsidRPr="00352DE4">
        <w:tab/>
        <w:t>întrucât capacitatea instituțională adecvată, expertiza tehnică și resursele din cadrul Comisiei sunt indispensabile pentru a asigura aplicarea eficace, independentă și în timp util a Regulamentului privind piețele digitale și pentru a menține credibilitatea și efectul disuasiv al acestuia;</w:t>
      </w:r>
    </w:p>
    <w:p w14:paraId="09413BE1" w14:textId="77777777" w:rsidR="00C70BD0" w:rsidRPr="00352DE4" w:rsidRDefault="00C70BD0" w:rsidP="00C70BD0">
      <w:pPr>
        <w:pStyle w:val="NormalHanging12a"/>
      </w:pPr>
      <w:r w:rsidRPr="00352DE4">
        <w:t>S.</w:t>
      </w:r>
      <w:r w:rsidRPr="00352DE4">
        <w:tab/>
        <w:t>întrucât, în conformitate cu Regulamentul privind piețele digitale, Comisia trebuie să efectueze o revizuire periodică a regulamentului, oferind posibilitatea de a evalua eficacitatea asigurării respectării acestuia și beneficiile pentru consumatori, de a identifica dificultățile de punere în aplicare și de a garanta că Regulamentul privind piețele digitale rămâne adecvat scopului, având în vedere evoluțiile tehnologice și ale pieței și formele în continuă evoluție ale ecosistemelor bazate pe IA,</w:t>
      </w:r>
    </w:p>
    <w:p w14:paraId="26A2CEE7" w14:textId="77777777" w:rsidR="00C70BD0" w:rsidRPr="00352DE4" w:rsidRDefault="00C70BD0" w:rsidP="00C70BD0">
      <w:pPr>
        <w:pStyle w:val="NormalHanging12a"/>
      </w:pPr>
      <w:r w:rsidRPr="00352DE4">
        <w:t>1.</w:t>
      </w:r>
      <w:r w:rsidRPr="00352DE4">
        <w:tab/>
        <w:t>reafirmă că asigurarea respectării efective, în timp util și consecventă, a Regulamentului privind piețele digitale, precum și sprijinul politic al Comisiei sunt esențiale pentru a proteja funcționarea pieței unice și a garanta beneficii concrete pentru consumatorii, utilizatorii comerciali și inovatorii din întreaga UE;</w:t>
      </w:r>
    </w:p>
    <w:p w14:paraId="4EE840AE" w14:textId="77777777" w:rsidR="00C70BD0" w:rsidRPr="00352DE4" w:rsidRDefault="00C70BD0" w:rsidP="00C70BD0">
      <w:pPr>
        <w:pStyle w:val="NormalHanging12a"/>
      </w:pPr>
      <w:r w:rsidRPr="00352DE4">
        <w:t>2.</w:t>
      </w:r>
      <w:r w:rsidRPr="00352DE4">
        <w:tab/>
        <w:t>este îngrijorat de presiunea politică exercitată de țările terțe care îndeamnă UE să reconsidere sau să slăbească Regulamentul privind piețele digitale și subliniază că o astfel de ingerință externă nu trebuie să compromită suveranitatea și autonomia UE de a-și defini și aplica propriile norme; subliniază că obligațiile prevăzute în Regulamentul privind piețele digitale se aplică în mod egal tuturor controlorilor de acces desemnați care furnizează servicii în UE, indiferent de locul lor de stabilire sau de naționalitate;</w:t>
      </w:r>
    </w:p>
    <w:p w14:paraId="3F0643B7" w14:textId="77777777" w:rsidR="00C70BD0" w:rsidRPr="00352DE4" w:rsidRDefault="00C70BD0" w:rsidP="00C70BD0">
      <w:pPr>
        <w:pStyle w:val="NormalHanging12a"/>
      </w:pPr>
      <w:r w:rsidRPr="00352DE4">
        <w:t>3.</w:t>
      </w:r>
      <w:r w:rsidRPr="00352DE4">
        <w:tab/>
        <w:t xml:space="preserve">invită Comisia să utilizeze pe deplin și în mod </w:t>
      </w:r>
      <w:proofErr w:type="spellStart"/>
      <w:r w:rsidRPr="00352DE4">
        <w:t>proactiv</w:t>
      </w:r>
      <w:proofErr w:type="spellEnd"/>
      <w:r w:rsidRPr="00352DE4">
        <w:t xml:space="preserve"> toate instrumentele de asigurare a respectării legislației prevăzute în Regulamentul privind piețele digitale, investigații de piață, inclusiv proceduri de neconformitate, inspecții, măsuri provizorii, amenzi și penalități cu titlu cominatoriu, pentru a preveni eludarea normelor și a asigura respectarea efectivă a acestora;</w:t>
      </w:r>
    </w:p>
    <w:p w14:paraId="6E60A63C" w14:textId="77777777" w:rsidR="00C70BD0" w:rsidRPr="00352DE4" w:rsidRDefault="00C70BD0" w:rsidP="00C70BD0">
      <w:pPr>
        <w:pStyle w:val="NormalHanging12a"/>
      </w:pPr>
      <w:r w:rsidRPr="00352DE4">
        <w:lastRenderedPageBreak/>
        <w:t>4.</w:t>
      </w:r>
      <w:r w:rsidRPr="00352DE4">
        <w:tab/>
        <w:t>subliniază că, deși Comisia își păstrează competența exclusivă pentru asigurarea respectării Regulamentului privind piețele digitale, aplicarea eficace, în timp util și consecventă a regulamentului în întreaga UE necesită o cooperare structurată și strânsă cu autoritățile naționale de concurență și cu alte organisme publice naționale relevante; evidențiază că, în cadrul instituit de Regulamentul privind piețele digitale, aceste autorități joacă un rol esențial de sprijin, inclusiv prin ajutorul dat investigațiilor și inspecțiilor, contribuind la monitorizarea pieței și facilitând schimbul de informații, consolidând astfel aplicarea eficace și uniformă a Regulamentului privind piețele digitale și protejând piețele digitale echitabile și contestabile în întreaga UE;</w:t>
      </w:r>
    </w:p>
    <w:p w14:paraId="0CD63513" w14:textId="77777777" w:rsidR="00C70BD0" w:rsidRPr="00352DE4" w:rsidRDefault="00C70BD0" w:rsidP="00C70BD0">
      <w:pPr>
        <w:pStyle w:val="NormalHanging12a"/>
      </w:pPr>
      <w:r w:rsidRPr="00352DE4">
        <w:t>5.</w:t>
      </w:r>
      <w:r w:rsidRPr="00352DE4">
        <w:tab/>
        <w:t xml:space="preserve">subliniază că asigurarea unei piețe deschise, inclusiv prin aplicarea efectivă a Regulamentului privind piețele digitale, este un element esențial al succesului strategiei privind aplicarea IA, care urmărește să stimuleze adoptarea și inovarea în domeniul IA în întreaga </w:t>
      </w:r>
      <w:proofErr w:type="spellStart"/>
      <w:r w:rsidRPr="00352DE4">
        <w:t>Europă</w:t>
      </w:r>
      <w:proofErr w:type="spellEnd"/>
      <w:r w:rsidRPr="00352DE4">
        <w:t>, deoarece contestabilitatea efectivă pe piețele digitale este o condiție prealabilă pentru un ecosistem european de IA deschis și echitabil;</w:t>
      </w:r>
    </w:p>
    <w:p w14:paraId="10BED553" w14:textId="77777777" w:rsidR="00C70BD0" w:rsidRPr="00352DE4" w:rsidRDefault="00C70BD0" w:rsidP="00C70BD0">
      <w:pPr>
        <w:pStyle w:val="NormalHanging12a"/>
      </w:pPr>
      <w:r w:rsidRPr="00352DE4">
        <w:t>6.</w:t>
      </w:r>
      <w:r w:rsidRPr="00352DE4">
        <w:tab/>
        <w:t xml:space="preserve">invită Comisia să finalizeze procedurile de neconformitate fără întârzieri nejustificate și să asigure în timp util punerea în aplicare în temeiul Regulamentului privind piețele digitale, în special prin respectarea atât a termenelor limită obligatorii, cât și a celor orientative, și să țină Parlamentul la curent cu progresele înregistrate în ceea ce privește punerea în aplicare; subliniază că este necesară o mai mare transparență cu privire la etapele și termenele procedurale pentru a permite Parlamentului, în special Grupului de lucru IMCO privind Regulamentul privind piețele digitale, să își exercite competențele de control; invită Comisia să informeze în mod </w:t>
      </w:r>
      <w:proofErr w:type="spellStart"/>
      <w:r w:rsidRPr="00352DE4">
        <w:t>proactiv</w:t>
      </w:r>
      <w:proofErr w:type="spellEnd"/>
      <w:r w:rsidRPr="00352DE4">
        <w:t xml:space="preserve"> și periodic Parlamentul cu privire la asigurarea respectării Regulamentului privind piețele digitale, inclusiv referitor la evoluțiile dialogului în materie de reglementare, la activitățile și agenda Grupului la nivel înalt, la studiile relevante comandate de Comisie și la orice alte informații necesare pentru ca Parlamentul să își exercite funcția de supraveghere;</w:t>
      </w:r>
    </w:p>
    <w:p w14:paraId="040A8635" w14:textId="77777777" w:rsidR="00C70BD0" w:rsidRPr="00352DE4" w:rsidRDefault="00C70BD0" w:rsidP="00C70BD0">
      <w:pPr>
        <w:pStyle w:val="NormalHanging12a"/>
      </w:pPr>
      <w:r w:rsidRPr="00352DE4">
        <w:t>7.</w:t>
      </w:r>
      <w:r w:rsidRPr="00352DE4">
        <w:tab/>
        <w:t>invită Comisia să utilizeze pe deplin Grupul la nivel înalt; subliniază importanța unei coordonări eficace între autoritățile de reglementare, având în vedere numărul mare de norme noi și de autorități de reglementare active pe piețele digitale;</w:t>
      </w:r>
    </w:p>
    <w:p w14:paraId="22CB4372" w14:textId="77777777" w:rsidR="00C70BD0" w:rsidRPr="00352DE4" w:rsidRDefault="00C70BD0" w:rsidP="00C70BD0">
      <w:pPr>
        <w:pStyle w:val="NormalHanging12a"/>
      </w:pPr>
      <w:r w:rsidRPr="00352DE4">
        <w:t>8.</w:t>
      </w:r>
      <w:r w:rsidRPr="00352DE4">
        <w:tab/>
        <w:t>subliniază că respectarea obligațiilor prevăzute în Regulamentul privind piețele digitale trebuie evaluată pe baza efectelor sale practice și în condiții reale asupra deschiderii pieței, a concurenței, a inovării și a posibilității de alegere a utilizatorilor, asigurând astfel securitatea juridică, previzibilitatea și egalitatea de tratament;</w:t>
      </w:r>
    </w:p>
    <w:p w14:paraId="6AE73BFC" w14:textId="77777777" w:rsidR="00C70BD0" w:rsidRPr="00352DE4" w:rsidRDefault="00C70BD0" w:rsidP="00C70BD0">
      <w:pPr>
        <w:pStyle w:val="NormalHanging12a"/>
      </w:pPr>
      <w:r w:rsidRPr="00352DE4">
        <w:t>9.</w:t>
      </w:r>
      <w:r w:rsidRPr="00352DE4">
        <w:tab/>
        <w:t>invită Comisia să abordeze asimetriile informaționale prin consolidarea mecanismelor care le permit utilizatorilor comerciali și utilizatorilor finali să își exercite efectiv drepturile în temeiul Regulamentului privind piețele digitale, inclusiv drepturile referitoare la alegere, acces la date, interoperabilitate, nediscriminare și absența represaliilor, prin canale accesibile și sigure de raportare și de depunere a plângerilor, garanții împotriva represaliilor și o mai bună conștientizare a drepturilor și a căilor de atac prevăzute de Regulamentul privind piețele digitale, recunoscând că eficacitatea Regulamentului privind piețele digitale depinde de capacitarea utilizatorilor finali;</w:t>
      </w:r>
    </w:p>
    <w:p w14:paraId="43F52F01" w14:textId="77777777" w:rsidR="00C70BD0" w:rsidRPr="00352DE4" w:rsidRDefault="00C70BD0" w:rsidP="00C70BD0">
      <w:pPr>
        <w:pStyle w:val="NormalHanging12a"/>
      </w:pPr>
      <w:r w:rsidRPr="00352DE4">
        <w:t>10.</w:t>
      </w:r>
      <w:r w:rsidRPr="00352DE4">
        <w:tab/>
        <w:t xml:space="preserve">îndeamnă Comisia să acorde prioritate aplicării riguroase a obligațiilor de interoperabilitate, acces la date, portabilitate a datelor, anti-direcționare și prevenire a autofavorizării, inclusiv în cazul în care prejudiciul concurențial rezultă din setările implicite, integrările tehnice sau proiectarea ecosistemelor platformelor; invită Comisia ca, atunci când stabilește prioritățile în materie de asigurare a respectării legislației, să </w:t>
      </w:r>
      <w:r w:rsidRPr="00352DE4">
        <w:lastRenderedPageBreak/>
        <w:t>țină seama în mod corespunzător de evoluțiile relevante ale pieței și de interacțiunea dintre instrumentele aplicabile ale UE, inclusiv Regulamentul privind datele</w:t>
      </w:r>
      <w:r w:rsidRPr="00352DE4">
        <w:rPr>
          <w:rStyle w:val="FootnoteReference"/>
        </w:rPr>
        <w:footnoteReference w:id="12"/>
      </w:r>
      <w:r w:rsidRPr="00352DE4">
        <w:t>; constată că, în anumite cazuri, punerea în aplicare și asigurarea respectării efective a Regulamentului privind piețele digitale pot fi influențate de interacțiunile controlorilor de acces cu competitori și parteneri de afaceri, în special în situațiile în care au fost exprimate preocupări cu privire la echitatea practicilor comerciale;</w:t>
      </w:r>
    </w:p>
    <w:p w14:paraId="301907F7" w14:textId="77777777" w:rsidR="00C70BD0" w:rsidRPr="00352DE4" w:rsidRDefault="00C70BD0" w:rsidP="00C70BD0">
      <w:pPr>
        <w:pStyle w:val="NormalHanging12a"/>
      </w:pPr>
      <w:r w:rsidRPr="00352DE4">
        <w:t>11.</w:t>
      </w:r>
      <w:r w:rsidRPr="00352DE4">
        <w:tab/>
        <w:t>invită Comisia să depună în continuare eforturi pentru a permite, la cerere, interoperabilitatea serviciilor de mesagerie cu aplicații terțe de mesagerie mai mici, permițând utilizatorilor să facă schimb de mesaje text, fișiere și apeluri vocale/video între platforme, menținând în același timp criptarea de la un capăt la altul;</w:t>
      </w:r>
    </w:p>
    <w:p w14:paraId="4B5356F6" w14:textId="77777777" w:rsidR="00C70BD0" w:rsidRPr="00352DE4" w:rsidRDefault="00C70BD0" w:rsidP="00C70BD0">
      <w:pPr>
        <w:pStyle w:val="NormalHanging12a"/>
      </w:pPr>
      <w:r w:rsidRPr="00352DE4">
        <w:t>12.</w:t>
      </w:r>
      <w:r w:rsidRPr="00352DE4">
        <w:tab/>
        <w:t xml:space="preserve">își exprimă profunda îngrijorare cu privire la practicile persistente de autofavorizare ale Google în ceea ce privește serviciile sale de căutare, de cumpărături, de călătorie și video, care continuă să denatureze concurența și să limiteze opțiunile consumatorilor; constată că listele de reclame pentru produse rămân plasate în mod vizibil în primele rezultate ale căutării, perpetuând un model de dominanță și o lipsă de transparență care subminează intenția Regulamentului privind piețele digitale; reamintește că constatările preliminare în temeiul articolului 6 alineatul (5) din Regulamentul privind piețele digitale indică faptul că Google utilizează avantaje vizuale și poziționare preferențială pentru a-și privilegia propriile servicii, inclusiv Google Shopping, </w:t>
      </w:r>
      <w:proofErr w:type="spellStart"/>
      <w:r w:rsidRPr="00352DE4">
        <w:t>Flights</w:t>
      </w:r>
      <w:proofErr w:type="spellEnd"/>
      <w:r w:rsidRPr="00352DE4">
        <w:t xml:space="preserve"> și Hotels, ducând astfel la restricționarea accesului echitabil al competitorilor și la consolidarea puterii de piață; reamintește că cauzele recent introduse în fața instanțelor naționale au confirmat că practicile de autofavorizare ale Google în ceea ce privește serviciile de căutare au adus prejudicii platformelor concurente de comparare, astfel cum se ilustrează în hotărârea din 2025 în cauza </w:t>
      </w:r>
      <w:proofErr w:type="spellStart"/>
      <w:r w:rsidRPr="00352DE4">
        <w:rPr>
          <w:i/>
        </w:rPr>
        <w:t>Idealo</w:t>
      </w:r>
      <w:proofErr w:type="spellEnd"/>
      <w:r w:rsidRPr="00352DE4">
        <w:rPr>
          <w:i/>
        </w:rPr>
        <w:t>/Google</w:t>
      </w:r>
      <w:r w:rsidRPr="00352DE4">
        <w:t xml:space="preserve"> aflată pe rolul Tribunalului Regional din Berlin; subliniază că încercările controlorilor de acces de a menține sau de a prelungi nerespectarea Regulamentului privind piețele digitale îi pot expune, prin urmare, la o răspundere financiară semnificativă prin acțiuni subsecvente pentru prejudicii;</w:t>
      </w:r>
    </w:p>
    <w:p w14:paraId="573BF91A" w14:textId="77777777" w:rsidR="00C70BD0" w:rsidRPr="00352DE4" w:rsidRDefault="00C70BD0" w:rsidP="00C70BD0">
      <w:pPr>
        <w:pStyle w:val="NormalHanging12a"/>
      </w:pPr>
      <w:r w:rsidRPr="00352DE4">
        <w:t>13.</w:t>
      </w:r>
      <w:r w:rsidRPr="00352DE4">
        <w:tab/>
        <w:t>evidențiază că integrarea IA de către Google în procesele sale de căutare și descoperire permite din ce în ce mai mult companiei să controleze întregul parcurs al consumatorilor – de la căutare și recomandări până la intenția de a cumpăra – marginalizând și mai mult serviciile concurente și reducând capacitatea consumatorilor de a face alegeri independente; subliniază că această dinamică riscă să transforme comercianții independenți în simple canale de onorare a comenzilor pentru Google, reflectând încercările anterioare de a domina comerțul, care au fost limitate anterior, și că, în lipsa unor garanții clare în temeiul Regulamentului privind piețele digitale, aceste practici se pot înrădăcina și mai mult;</w:t>
      </w:r>
    </w:p>
    <w:p w14:paraId="32D03D34" w14:textId="77777777" w:rsidR="00C70BD0" w:rsidRPr="00352DE4" w:rsidRDefault="00C70BD0" w:rsidP="00C70BD0">
      <w:pPr>
        <w:pStyle w:val="NormalHanging12a"/>
      </w:pPr>
      <w:r w:rsidRPr="00352DE4">
        <w:t>14.</w:t>
      </w:r>
      <w:r w:rsidRPr="00352DE4">
        <w:tab/>
        <w:t xml:space="preserve">ia act de apariția unor piețe alternative de aplicații pe piața unică pentru </w:t>
      </w:r>
      <w:proofErr w:type="spellStart"/>
      <w:r w:rsidRPr="00352DE4">
        <w:t>iOS</w:t>
      </w:r>
      <w:proofErr w:type="spellEnd"/>
      <w:r w:rsidRPr="00352DE4">
        <w:t xml:space="preserve">, dar își exprimă îngrijorarea că viabilitatea practică și </w:t>
      </w:r>
      <w:proofErr w:type="spellStart"/>
      <w:r w:rsidRPr="00352DE4">
        <w:t>scalabilitatea</w:t>
      </w:r>
      <w:proofErr w:type="spellEnd"/>
      <w:r w:rsidRPr="00352DE4">
        <w:t xml:space="preserve"> acestora rămân limitate din cauza proiectării parcursului utilizatorilor și a condițiilor economice și contractuale restrictive; subliniază că controlorii de acces își restructurează taxele astfel încât dezvoltatorii să fie dezavantajați față de </w:t>
      </w:r>
      <w:r w:rsidRPr="00352DE4">
        <w:rPr>
          <w:i/>
          <w:iCs/>
        </w:rPr>
        <w:t>status-quo</w:t>
      </w:r>
      <w:r w:rsidRPr="00352DE4">
        <w:t>-</w:t>
      </w:r>
      <w:proofErr w:type="spellStart"/>
      <w:r w:rsidRPr="00352DE4">
        <w:t>ul</w:t>
      </w:r>
      <w:proofErr w:type="spellEnd"/>
      <w:r w:rsidRPr="00352DE4">
        <w:t xml:space="preserve"> de dinaintea adoptării </w:t>
      </w:r>
      <w:r w:rsidRPr="00352DE4">
        <w:lastRenderedPageBreak/>
        <w:t>Regulamentului privind piețele digitale; îndeamnă Comisia să evalueze dacă termenii și condițiile de acces ale companiei Apple sunt echitabile și nediscriminatorii, astfel cum se prevede la articolul 6 alineatul (12) din Regulamentul privind piețele digitale;</w:t>
      </w:r>
    </w:p>
    <w:p w14:paraId="59774FBB" w14:textId="61BE8302" w:rsidR="00112F05" w:rsidRPr="00352DE4" w:rsidRDefault="004F3EEF" w:rsidP="00C70BD0">
      <w:pPr>
        <w:pStyle w:val="NormalHanging12a"/>
      </w:pPr>
      <w:r w:rsidRPr="00352DE4">
        <w:t>15</w:t>
      </w:r>
      <w:r w:rsidR="00112F05" w:rsidRPr="00352DE4">
        <w:t>.</w:t>
      </w:r>
      <w:r w:rsidR="00112F05" w:rsidRPr="00352DE4">
        <w:tab/>
        <w:t>constată că anumiți controlori de acces, după cum a anunțat recent Google, de exemplu, invocă motive ce țin de siguranța și securitatea cibernetică pentru a impune cerințe de înregistrare și identificare dezvoltatorilor de aplicații, limitând astfel accesul efectiv la canale alternative de distribuție a aplicațiilor într-un mod care ar putea intra în conflict cu articolul 6 alineatul (4) din Regulamentul privind piețele digitale; invită, prin urmare, Comisia să investigheze dacă măsurile de securitate invocate sunt strict necesare și proporționale și să se asigure că ele nu sunt folosite ca pretext pentru a eluda obiectivul Regulamentului privind piețele digitale de a permite accesul real al terților la software, garantând condiții de acces echitabile, rezonabile și nediscriminatorii, protejând în același timp capacitatea dezvoltatorilor de a orienta utilizatorii către canale de distribuție alternative;</w:t>
      </w:r>
    </w:p>
    <w:p w14:paraId="79C8B6CC" w14:textId="6D327EE8" w:rsidR="00C70BD0" w:rsidRPr="00352DE4" w:rsidRDefault="004F3EEF" w:rsidP="00C70BD0">
      <w:pPr>
        <w:pStyle w:val="NormalHanging12a"/>
      </w:pPr>
      <w:r w:rsidRPr="00352DE4">
        <w:t>16</w:t>
      </w:r>
      <w:r w:rsidR="00C70BD0" w:rsidRPr="00352DE4">
        <w:t>.</w:t>
      </w:r>
      <w:r w:rsidR="00C70BD0" w:rsidRPr="00352DE4">
        <w:tab/>
        <w:t xml:space="preserve">reamintește că, în conformitate cu articolul 5 alineatul (4) din Regulamentul privind piețele digitale, utilizatorii comerciali ar trebui să poată informa gratuit utilizatorii finali cu privire la ofertele alternative, să îi orienteze către aceste oferte și să încheie contracte; constată că considerentul 40 din Regulamentul privind piețele digitale recunoaște posibilitatea unei remunerații pentru facilitarea achiziționării inițiale a unui utilizator final, subliniind, în același timp, că orice astfel de remunerație trebuie să se limiteze strict la achiziția inițială, să fie proporțională și corespunzătoare și nu trebuie să submineze orientarea în practică; îndeamnă Comisia să se asigure că termenii reconcepuți ai companiei Apple sunt evaluați în mod riguros în raport cu cerința Regulamentului privind piețele digitale pentru orice acuzație legată de direcționare, că orice încercare de eludare este examinată îndeaproape și, dacă este necesar, sancționată fără a aștepta rezultatul procesului judiciar în curs din SUA în cauza </w:t>
      </w:r>
      <w:r w:rsidR="00C70BD0" w:rsidRPr="00352DE4">
        <w:rPr>
          <w:i/>
        </w:rPr>
        <w:t xml:space="preserve">Epic </w:t>
      </w:r>
      <w:proofErr w:type="spellStart"/>
      <w:r w:rsidR="00C70BD0" w:rsidRPr="00352DE4">
        <w:rPr>
          <w:i/>
        </w:rPr>
        <w:t>Games</w:t>
      </w:r>
      <w:proofErr w:type="spellEnd"/>
      <w:r w:rsidR="00C70BD0" w:rsidRPr="00352DE4">
        <w:rPr>
          <w:i/>
        </w:rPr>
        <w:t>/Apple</w:t>
      </w:r>
      <w:r w:rsidR="00C70BD0" w:rsidRPr="00352DE4">
        <w:t>; subliniază că asigurarea respectării legislației UE ar trebui urmărită independent de litigiile cu țările terțe;</w:t>
      </w:r>
    </w:p>
    <w:p w14:paraId="2419B82E" w14:textId="453B6F22" w:rsidR="00C70BD0" w:rsidRPr="00352DE4" w:rsidRDefault="004F3EEF" w:rsidP="00C70BD0">
      <w:pPr>
        <w:pStyle w:val="NormalHanging12a"/>
      </w:pPr>
      <w:r w:rsidRPr="00352DE4">
        <w:t>17</w:t>
      </w:r>
      <w:r w:rsidR="00C70BD0" w:rsidRPr="00352DE4">
        <w:t>.</w:t>
      </w:r>
      <w:r w:rsidR="00C70BD0" w:rsidRPr="00352DE4">
        <w:tab/>
        <w:t xml:space="preserve">își exprimă îngrijorarea cu privire la platforma </w:t>
      </w:r>
      <w:proofErr w:type="spellStart"/>
      <w:r w:rsidR="00C70BD0" w:rsidRPr="00352DE4">
        <w:t>TikTok</w:t>
      </w:r>
      <w:proofErr w:type="spellEnd"/>
      <w:r w:rsidR="00C70BD0" w:rsidRPr="00352DE4">
        <w:t xml:space="preserve">, operată de </w:t>
      </w:r>
      <w:proofErr w:type="spellStart"/>
      <w:r w:rsidR="00C70BD0" w:rsidRPr="00352DE4">
        <w:t>ByteDance</w:t>
      </w:r>
      <w:proofErr w:type="spellEnd"/>
      <w:r w:rsidR="00C70BD0" w:rsidRPr="00352DE4">
        <w:t xml:space="preserve">, și la ecranele pentru consimțământ instalate pe platforma sa, care se bazează în mare măsură pe tehnici comportamentale pentru a obține consimțământul utilizatorilor; observă că astfel de practici pot submina principiile consimțământului în cunoștință de cauză și liber exprimat și ar putea constitui o încălcare a articolului 5 alineatul (2) din Regulamentul privind piețele digitale; subliniază că mecanismele de acordare a consimțământului trebuie să fie transparente, ușor de utilizat și cu adevărat voluntare, fără proiectare manipulatoare sau presiune psihologică; invită Comisia să monitorizeze îndeaproape practicile platformei </w:t>
      </w:r>
      <w:proofErr w:type="spellStart"/>
      <w:r w:rsidR="00C70BD0" w:rsidRPr="00352DE4">
        <w:t>TikTok</w:t>
      </w:r>
      <w:proofErr w:type="spellEnd"/>
      <w:r w:rsidR="00C70BD0" w:rsidRPr="00352DE4">
        <w:t xml:space="preserve"> în materie de consimțământ și să se asigure că orice mecanism neconform este corectat prompt pentru a susține autonomia utilizatorilor și drepturile digitale;</w:t>
      </w:r>
    </w:p>
    <w:p w14:paraId="09BB9129" w14:textId="14235813" w:rsidR="00C70BD0" w:rsidRPr="00352DE4" w:rsidRDefault="004F3EEF" w:rsidP="00C70BD0">
      <w:pPr>
        <w:pStyle w:val="NormalHanging12a"/>
      </w:pPr>
      <w:r w:rsidRPr="00352DE4">
        <w:t>18</w:t>
      </w:r>
      <w:r w:rsidR="00C70BD0" w:rsidRPr="00352DE4">
        <w:t>.</w:t>
      </w:r>
      <w:r w:rsidR="00C70BD0" w:rsidRPr="00352DE4">
        <w:tab/>
        <w:t xml:space="preserve">remarcă importanța respectării efective de către compania Microsoft a articolului 6 alineatul (3) din Regulamentul privind piețele digitale, în special în ceea ce privește obligația de a permite și de a face posibil din punct de vedere tehnic ca utilizatorii finali să modifice cu ușurință setările implicite ale sistemului său de operare Windows pentru calculatoare și să acceseze servicii concurente fără fricțiuni nejustificate; observă că integrarea Bing ca furnizor implicit de rezultate ale căutărilor online în bara de activități Windows și dificultatea de a schimba furnizorul pot orienta în mod nejustificat utilizatorii către serviciile proprii ale companiei Microsoft și pot limita posibilitatea efectivă de alegere a utilizatorilor; reamintește că Microsoft a prezentat Comisiei măsuri </w:t>
      </w:r>
      <w:r w:rsidR="00C70BD0" w:rsidRPr="00352DE4">
        <w:lastRenderedPageBreak/>
        <w:t>de conformitate, dar își exprimă îngrijorarea cu privire la efectele practice ale acestora, inclusiv cu privire la posibilele bariere în calea interoperabilității efective în cadrul ecosistemului Windows; reamintește că aceste măsuri ar trebui să fie evaluate în continuare îndeaproape de către Comisie pentru a asigura în practică posibilitatea efectivă de alegere a utilizatorilor și un mediu echitabil și contestabil pentru furnizorii terți, în special în cazul în care activarea limitată sau lentă a interfețelor de programare a aplicațiilor (API) pentru servicii altele decât cele din ecosistemul Microsoft poate împiedica dezvoltatorii terți să ofere utilizatorilor finali o paritate comparabilă de experiență;</w:t>
      </w:r>
    </w:p>
    <w:p w14:paraId="7BBC7A34" w14:textId="2AF699E2" w:rsidR="00C70BD0" w:rsidRPr="00352DE4" w:rsidRDefault="004F3EEF" w:rsidP="00C70BD0">
      <w:pPr>
        <w:pStyle w:val="NormalHanging12a"/>
      </w:pPr>
      <w:r w:rsidRPr="00352DE4">
        <w:t>19</w:t>
      </w:r>
      <w:r w:rsidR="00C70BD0" w:rsidRPr="00352DE4">
        <w:t>.</w:t>
      </w:r>
      <w:r w:rsidR="00C70BD0" w:rsidRPr="00352DE4">
        <w:tab/>
        <w:t>ia act cu îngrijorare de rapoartele diferitelor părți interesate din sectorul călătoriilor privind ratele constant ridicate ale comisioanelor și utilizarea în continuare de către platforma Booking.com a unor practici care par echivalente cu clauzele de paritate interzise, inclusiv programe de funcționare pentru hoteluri bazate pe criterii netransparente și dificultăți continue în a renunța la sistemele de plată sponsorizate de platforma Booking.com; reamintește că autoritățile naționale de concurență, inclusiv cele din Franța și Spania, au sancționat platforma Booking.com în legătură cu clauzele de paritate; invită Comisia să evalueze nivelul actual de contestabilitate în sectorul online al călătoriilor de la desemnarea platformei Booking.com drept controlor de acces și să ia măsuri decisive în consecință;</w:t>
      </w:r>
    </w:p>
    <w:p w14:paraId="08A91275" w14:textId="517A49CB" w:rsidR="00C70BD0" w:rsidRPr="00352DE4" w:rsidRDefault="004F3EEF" w:rsidP="00C70BD0">
      <w:pPr>
        <w:pStyle w:val="NormalHanging12a"/>
      </w:pPr>
      <w:r w:rsidRPr="00352DE4">
        <w:t>20</w:t>
      </w:r>
      <w:r w:rsidR="00C70BD0" w:rsidRPr="00352DE4">
        <w:t>.</w:t>
      </w:r>
      <w:r w:rsidR="00C70BD0" w:rsidRPr="00352DE4">
        <w:tab/>
        <w:t>ia act de punerea în aplicare de către Meta a noii sale opțiuni de „plată sau consimțământ”, a treia la număr, care limitează reclamele personalizate, opțiune lansată în iulie 2025 în urma amenzii aplicate de Comisie în aprilie 2025; invită Comisia să se asigure că Meta oferă acum cu adevărat utilizatorilor o alegere neutră, că accesul terților la serviciile Meta este echitabil și neobstrucționat și că orice eludare a cerințelor Regulamentului privind piețele digitale este examinată riguros și, după caz, sancționată;</w:t>
      </w:r>
    </w:p>
    <w:p w14:paraId="5935C5D4" w14:textId="5B6DD0A7" w:rsidR="00C70BD0" w:rsidRPr="00352DE4" w:rsidRDefault="004F3EEF" w:rsidP="00C70BD0">
      <w:pPr>
        <w:pStyle w:val="NormalHanging12a"/>
      </w:pPr>
      <w:r w:rsidRPr="00352DE4">
        <w:t>21</w:t>
      </w:r>
      <w:r w:rsidR="00C70BD0" w:rsidRPr="00352DE4">
        <w:t>.</w:t>
      </w:r>
      <w:r w:rsidR="00C70BD0" w:rsidRPr="00352DE4">
        <w:tab/>
        <w:t>își exprimă îngrijorarea cu privire la practicile privind televizoarele conectate care reproduc practicile necompetitive aplicate anterior de către Android telefoanelor inteligente; subliniază că accesul la serviciile mass-media audiovizuale prin intermediul televizoarelor conectate nu trebuie să fie controlat de un număr mic de companii tehnologice mari și că o piață deschisă, echitabilă și contestabilă este esențială pentru un peisaj mediatic pluralist și divers; în ceea ce privește sistemele de operare pentru televizoarele conectate, subliniază că principalii furnizori de astfel de sisteme de operare controlează accesul la piețele multilaterale pentru audiență, publicitate și date; observă că un control similar al controlorilor de acces asupra punctelor de acces ale utilizatorilor poate apărea în alte medii conectate în care sistemele de operare sau asistenții virtuali mediază accesul la servicii, inclusiv la sistemele de informații și divertisment încorporate în vehicule; invită Comisia să monitorizeze cu atenție acest segment al pieței și să ia măsuri adecvate atunci când este necesar;</w:t>
      </w:r>
    </w:p>
    <w:p w14:paraId="7EF3401C" w14:textId="1EEA83B1" w:rsidR="00C70BD0" w:rsidRPr="00352DE4" w:rsidRDefault="004F3EEF" w:rsidP="00C70BD0">
      <w:pPr>
        <w:pStyle w:val="NormalHanging12a"/>
      </w:pPr>
      <w:r w:rsidRPr="00352DE4">
        <w:t>22</w:t>
      </w:r>
      <w:r w:rsidR="00C70BD0" w:rsidRPr="00352DE4">
        <w:t>.</w:t>
      </w:r>
      <w:r w:rsidR="00C70BD0" w:rsidRPr="00352DE4">
        <w:tab/>
        <w:t>subliniază rolul important al utilizatorilor finali în atingerea obiectivelor Regulamentului privind piețele digitale și adaugă că este important să se asigure că interfețele pentru utilizatori, mecanismele de consimțământ și structurile de exprimare a opțiunilor sunt neutre, ușor de utilizat, ușor de înțeles și nemanipulatoare, astfel încât utilizatorii să își poată exercita drepturile în mod eficace și fără fricțiuni nejustificate;</w:t>
      </w:r>
    </w:p>
    <w:p w14:paraId="54EF7A2A" w14:textId="25CADBCB" w:rsidR="00C70BD0" w:rsidRPr="00352DE4" w:rsidRDefault="004F3EEF" w:rsidP="00C70BD0">
      <w:pPr>
        <w:pStyle w:val="NormalHanging12a"/>
      </w:pPr>
      <w:r w:rsidRPr="00352DE4">
        <w:t>23</w:t>
      </w:r>
      <w:r w:rsidR="00C70BD0" w:rsidRPr="00352DE4">
        <w:t>.</w:t>
      </w:r>
      <w:r w:rsidR="00C70BD0" w:rsidRPr="00352DE4">
        <w:tab/>
        <w:t xml:space="preserve">invită Comisia să asigure o aplicare consecventă și adaptată exigențelor viitorului a Regulamentului privind piețele digitale în raport cu evoluțiile tehnologice, abordând în timp util problema serviciilor bazate pe IA și a infrastructurilor bazate pe </w:t>
      </w:r>
      <w:proofErr w:type="spellStart"/>
      <w:r w:rsidR="00C70BD0" w:rsidRPr="00352DE4">
        <w:t>cloud</w:t>
      </w:r>
      <w:proofErr w:type="spellEnd"/>
      <w:r w:rsidR="00C70BD0" w:rsidRPr="00352DE4">
        <w:t xml:space="preserve">, pentru a preveni apariția unor noi forme de practici de blocare, de împiedicare a accesului pe </w:t>
      </w:r>
      <w:r w:rsidR="00C70BD0" w:rsidRPr="00352DE4">
        <w:lastRenderedPageBreak/>
        <w:t>piață sau de control al accesului, inclusiv în cazul în care controlorii de acces își exercită controlul asupra datelor, resurselor de calcul sau serviciilor integrate în detrimentul dezvoltatorilor emergenți de IA și al operatorilor inovatori intrați pe piață;</w:t>
      </w:r>
    </w:p>
    <w:p w14:paraId="022E912D" w14:textId="725EC0F3" w:rsidR="00C70BD0" w:rsidRPr="00352DE4" w:rsidRDefault="004F3EEF" w:rsidP="00C70BD0">
      <w:pPr>
        <w:pStyle w:val="NormalHanging12a"/>
      </w:pPr>
      <w:r w:rsidRPr="00352DE4">
        <w:t>24</w:t>
      </w:r>
      <w:r w:rsidR="00C70BD0" w:rsidRPr="00352DE4">
        <w:t>.</w:t>
      </w:r>
      <w:r w:rsidR="00C70BD0" w:rsidRPr="00352DE4">
        <w:tab/>
        <w:t>invită Comisia să asigure complementaritatea, coerența și securitatea juridică între Regulamentul privind piețele digitale, Regulamentul privind datele și Regulamentul privind inteligența artificială</w:t>
      </w:r>
      <w:r w:rsidR="00C70BD0" w:rsidRPr="00352DE4">
        <w:rPr>
          <w:rStyle w:val="FootnoteReference"/>
        </w:rPr>
        <w:footnoteReference w:id="13"/>
      </w:r>
      <w:r w:rsidR="00C70BD0" w:rsidRPr="00352DE4">
        <w:t>, inclusiv prin orientări și puneri în aplicare coordonate;</w:t>
      </w:r>
    </w:p>
    <w:p w14:paraId="4F841EBF" w14:textId="5B99B799" w:rsidR="00C70BD0" w:rsidRPr="00352DE4" w:rsidRDefault="004F3EEF" w:rsidP="00C70BD0">
      <w:pPr>
        <w:pStyle w:val="NormalHanging12a"/>
      </w:pPr>
      <w:r w:rsidRPr="00352DE4">
        <w:t>25</w:t>
      </w:r>
      <w:r w:rsidR="00C70BD0" w:rsidRPr="00352DE4">
        <w:t>.</w:t>
      </w:r>
      <w:r w:rsidR="00C70BD0" w:rsidRPr="00352DE4">
        <w:tab/>
        <w:t>salută primele decizii de neconformitate ale Comisiei în temeiul Regulamentului privind piețele digitale ca un pas important în direcția asigurării unei puneri în aplicare eficace, dar regretă că aceste decizii rămân limitate în ceea ce privește domeniul de aplicare și nu abordează încă întreaga gamă de practici problematice legate de controlorii de acces identificate de utilizatorii comerciali și de alte părți interesate; regretă, de asemenea, că amenzile impuse sunt relativ modeste în comparație cu amploarea încălcărilor și cu puterea economică a controlorilor de acces desemnați, riscând să aibă un efect disuasiv insuficient și nereflectând ambiția regulamentului; subliniază că cadrul general de punere în aplicare ar trebui să garanteze că costul preconizat al neconformității, inclusiv amenzile și penalitățile cu titlu cominatoriu, depășește în mod sistematic costul conformității încă de la început, astfel încât să se prevină întârzierile strategice și să se asigure o descurajare reală;</w:t>
      </w:r>
    </w:p>
    <w:p w14:paraId="1A9C7675" w14:textId="33254FC2" w:rsidR="00C70BD0" w:rsidRPr="00352DE4" w:rsidRDefault="004F3EEF" w:rsidP="00C70BD0">
      <w:pPr>
        <w:pStyle w:val="NormalHanging12a"/>
      </w:pPr>
      <w:r w:rsidRPr="00352DE4">
        <w:t>26</w:t>
      </w:r>
      <w:r w:rsidR="00C70BD0" w:rsidRPr="00352DE4">
        <w:t>.</w:t>
      </w:r>
      <w:r w:rsidR="00C70BD0" w:rsidRPr="00352DE4">
        <w:tab/>
        <w:t xml:space="preserve">având în vedere importanța strategică tot mai mare a serviciilor de </w:t>
      </w:r>
      <w:proofErr w:type="spellStart"/>
      <w:r w:rsidR="00C70BD0" w:rsidRPr="00352DE4">
        <w:t>cloud</w:t>
      </w:r>
      <w:proofErr w:type="spellEnd"/>
      <w:r w:rsidR="00C70BD0" w:rsidRPr="00352DE4">
        <w:t xml:space="preserve"> </w:t>
      </w:r>
      <w:proofErr w:type="spellStart"/>
      <w:r w:rsidR="00C70BD0" w:rsidRPr="00352DE4">
        <w:t>computing</w:t>
      </w:r>
      <w:proofErr w:type="spellEnd"/>
      <w:r w:rsidR="00C70BD0" w:rsidRPr="00352DE4">
        <w:t xml:space="preserve"> și rolul acestora în ecosistemele digitale și de IA, invită Comisia să evalueze îndeaproape dacă furnizorii de astfel de servicii îndeplinesc criteriile pentru desemnarea lor drept controlori de acces în temeiul Regulamentului privind piețele digitale, inclusiv prin utilizarea investigațiilor de piață; invită Comisia ca, atunci când efectuează investigații de piață și evaluează posibilele desemnări în </w:t>
      </w:r>
      <w:proofErr w:type="spellStart"/>
      <w:r w:rsidR="00C70BD0" w:rsidRPr="00352DE4">
        <w:t>cloud</w:t>
      </w:r>
      <w:proofErr w:type="spellEnd"/>
      <w:r w:rsidR="00C70BD0" w:rsidRPr="00352DE4">
        <w:t xml:space="preserve"> </w:t>
      </w:r>
      <w:proofErr w:type="spellStart"/>
      <w:r w:rsidR="00C70BD0" w:rsidRPr="00352DE4">
        <w:t>computing</w:t>
      </w:r>
      <w:proofErr w:type="spellEnd"/>
      <w:r w:rsidR="00C70BD0" w:rsidRPr="00352DE4">
        <w:t xml:space="preserve">, să aplice criteriile Regulamentului privind piețele digitale într-un mod coerent, transparent și bazat pe dovezi în rândul furnizorilor, atunci când indicatorii de piață justifică acest lucru, pentru a evita denaturarea concurenței și pentru a menține inovarea; salută recentele investigații de piață ale Comisiei cu privire la furnizorii de servicii de </w:t>
      </w:r>
      <w:proofErr w:type="spellStart"/>
      <w:r w:rsidR="00C70BD0" w:rsidRPr="00352DE4">
        <w:t>cloud</w:t>
      </w:r>
      <w:proofErr w:type="spellEnd"/>
      <w:r w:rsidR="00C70BD0" w:rsidRPr="00352DE4">
        <w:t xml:space="preserve">, cum ar fi Amazon Web Services și Microsoft </w:t>
      </w:r>
      <w:proofErr w:type="spellStart"/>
      <w:r w:rsidR="00C70BD0" w:rsidRPr="00352DE4">
        <w:t>Azure</w:t>
      </w:r>
      <w:proofErr w:type="spellEnd"/>
      <w:r w:rsidR="00C70BD0" w:rsidRPr="00352DE4">
        <w:t>;</w:t>
      </w:r>
    </w:p>
    <w:p w14:paraId="7F7934A7" w14:textId="3971A3E3" w:rsidR="00C70BD0" w:rsidRPr="00352DE4" w:rsidRDefault="004F3EEF" w:rsidP="00C70BD0">
      <w:pPr>
        <w:pStyle w:val="NormalHanging12a"/>
      </w:pPr>
      <w:r w:rsidRPr="00352DE4">
        <w:t>27</w:t>
      </w:r>
      <w:r w:rsidR="00C70BD0" w:rsidRPr="00352DE4">
        <w:t>.</w:t>
      </w:r>
      <w:r w:rsidR="00C70BD0" w:rsidRPr="00352DE4">
        <w:tab/>
        <w:t xml:space="preserve">subliniază că instrumentele de căutare și asistență bazate pe IA, atunci când sunt oferite ca servicii de platformă esențiale desemnate sau în cadrul acestora, cum ar fi AI </w:t>
      </w:r>
      <w:proofErr w:type="spellStart"/>
      <w:r w:rsidR="00C70BD0" w:rsidRPr="00352DE4">
        <w:t>Overviews</w:t>
      </w:r>
      <w:proofErr w:type="spellEnd"/>
      <w:r w:rsidR="00C70BD0" w:rsidRPr="00352DE4">
        <w:t xml:space="preserve"> și </w:t>
      </w:r>
      <w:proofErr w:type="spellStart"/>
      <w:r w:rsidR="00C70BD0" w:rsidRPr="00352DE4">
        <w:t>Gemini</w:t>
      </w:r>
      <w:proofErr w:type="spellEnd"/>
      <w:r w:rsidR="00C70BD0" w:rsidRPr="00352DE4">
        <w:t xml:space="preserve"> deținute de Google, </w:t>
      </w:r>
      <w:proofErr w:type="spellStart"/>
      <w:r w:rsidR="00C70BD0" w:rsidRPr="00352DE4">
        <w:t>Siri</w:t>
      </w:r>
      <w:proofErr w:type="spellEnd"/>
      <w:r w:rsidR="00C70BD0" w:rsidRPr="00352DE4">
        <w:t xml:space="preserve"> deținut de Apple, componenta IA a aplicației </w:t>
      </w:r>
      <w:proofErr w:type="spellStart"/>
      <w:r w:rsidR="00C70BD0" w:rsidRPr="00352DE4">
        <w:t>WhatsApp</w:t>
      </w:r>
      <w:proofErr w:type="spellEnd"/>
      <w:r w:rsidR="00C70BD0" w:rsidRPr="00352DE4">
        <w:t xml:space="preserve"> deținută de Meta, </w:t>
      </w:r>
      <w:proofErr w:type="spellStart"/>
      <w:r w:rsidR="00C70BD0" w:rsidRPr="00352DE4">
        <w:t>Rufus</w:t>
      </w:r>
      <w:proofErr w:type="spellEnd"/>
      <w:r w:rsidR="00C70BD0" w:rsidRPr="00352DE4">
        <w:t xml:space="preserve"> deținut de Amazon sau Copilot deținut de Microsoft, devin din ce în ce mai mult puncte noi de acces la informații, comerț și servicii digitale; invită Comisia să examineze, în timp util, dacă și în ce mod aceste funcționalități sunt utilizate de controlorii de acces în moduri care pot submina contestabilitatea și echitatea, inclusiv prin setări implicite, selecție anterioară, prezentarea sau selectarea discriminatorie a rezultatelor;</w:t>
      </w:r>
    </w:p>
    <w:p w14:paraId="67E5D5D0" w14:textId="57A91035" w:rsidR="00C70BD0" w:rsidRPr="00352DE4" w:rsidRDefault="004F3EEF" w:rsidP="00C70BD0">
      <w:pPr>
        <w:pStyle w:val="NormalHanging12a"/>
      </w:pPr>
      <w:r w:rsidRPr="00352DE4">
        <w:t>28</w:t>
      </w:r>
      <w:r w:rsidR="00C70BD0" w:rsidRPr="00352DE4">
        <w:t>.</w:t>
      </w:r>
      <w:r w:rsidR="00C70BD0" w:rsidRPr="00352DE4">
        <w:tab/>
        <w:t xml:space="preserve">subliniază că ecosistemele digitale integrate ale anumitor controlori de acces, compuse </w:t>
      </w:r>
      <w:r w:rsidR="00C70BD0" w:rsidRPr="00352DE4">
        <w:lastRenderedPageBreak/>
        <w:t>din mai multe servicii de platformă esențiale și servicii conexe, le pot oferi un avantaj competitiv structural în dezvoltarea, antrenarea și implementarea sistemelor de IA, în special în cazul în care accesul la fluxuri de date care includ mai multe servicii, interfețe cu utilizatorul, canale de distribuție sau servicii complementare la scară largă poate fi valorificat în toate ecosistemele; evidențiază, prin urmare, necesitatea aplicării riguroase a articolului 6 alineatul (10) din Regulamentul privind piețele digitale, pentru a asigura drepturi efective de acces la date pentru utilizatorii comerciali și pentru a preveni valorificarea avantajelor în materie de date la nivelul întregului ecosistem în moduri care subminează contestabilitatea și echitatea, inclusiv în cazul în care funcționalitățile IA sunt integrate în serviciile de platformă esențiale sau pot deveni noi puncte de acces la informații, comerț și servicii digitale;</w:t>
      </w:r>
    </w:p>
    <w:p w14:paraId="7748832C" w14:textId="0BDFABCE" w:rsidR="00C70BD0" w:rsidRPr="00352DE4" w:rsidRDefault="004F3EEF" w:rsidP="00C70BD0">
      <w:pPr>
        <w:pStyle w:val="NormalHanging12a"/>
      </w:pPr>
      <w:r w:rsidRPr="00352DE4">
        <w:t>29</w:t>
      </w:r>
      <w:r w:rsidR="00C70BD0" w:rsidRPr="00352DE4">
        <w:t>.</w:t>
      </w:r>
      <w:r w:rsidR="00C70BD0" w:rsidRPr="00352DE4">
        <w:tab/>
        <w:t>invită Comisia să asigure resurse umane și financiare suficiente pentru punerea în aplicare a Regulamentului privind piețele digitale, în conformitate cu domeniul de aplicare, complexitatea și importanța strategică a regulamentului, și solicită o consolidare semnificativă a personalului;</w:t>
      </w:r>
    </w:p>
    <w:p w14:paraId="33DD1D6E" w14:textId="1ECEBC8E" w:rsidR="00C70BD0" w:rsidRPr="00352DE4" w:rsidRDefault="004F3EEF" w:rsidP="00C70BD0">
      <w:pPr>
        <w:pStyle w:val="NormalHanging12a"/>
      </w:pPr>
      <w:r w:rsidRPr="00352DE4">
        <w:t>30</w:t>
      </w:r>
      <w:r w:rsidR="00C70BD0" w:rsidRPr="00352DE4">
        <w:t>.</w:t>
      </w:r>
      <w:r w:rsidR="00C70BD0" w:rsidRPr="00352DE4">
        <w:tab/>
        <w:t>se așteaptă ca viitoarea revizuire a Regulamentului privind piețele digitale să fie transparentă și să se bazeze ferm pe experiența în materie de asigurare a respectării legii și pe dovezile rezultate în urma aplicării sale, inclusiv pe o evaluare a rezultatelor în condiții reale pentru utilizatori și piețe, precum și a impactului practic asupra consumatorilor al punerii în aplicare, în special în ceea ce privește accesul la inovare, ușurința de utilizare, viața privată și securitatea, ținând seama în mod corespunzător de evoluțiile tehnologice și de necesitatea de a se asigura că acest cadru rămâne adaptat exigențelor viitorului; invită Comisia să țină seama în special de feedbackul primit de la IMM-uri pe parcursul procesului de revizuire;</w:t>
      </w:r>
    </w:p>
    <w:p w14:paraId="44BED4E9" w14:textId="7C244855" w:rsidR="00C70BD0" w:rsidRPr="00352DE4" w:rsidRDefault="004F3EEF" w:rsidP="00C70BD0">
      <w:pPr>
        <w:pStyle w:val="NormalHanging12a"/>
      </w:pPr>
      <w:r w:rsidRPr="00352DE4">
        <w:t>31</w:t>
      </w:r>
      <w:r w:rsidR="00C70BD0" w:rsidRPr="00352DE4">
        <w:t>.</w:t>
      </w:r>
      <w:r w:rsidR="00C70BD0" w:rsidRPr="00352DE4">
        <w:tab/>
        <w:t>subliniază că revizuirea ar trebui să se concentreze pe consolidarea eficacității și a aplicabilității cadrului existent, abordând în același timp provocările generate de tehnologiile și ecosistemele care evoluează rapid prin utilizarea deplină a competențelor disponibile în temeiul cadrului actual, inclusiv prin clarificări și orientări, dacă este necesar, și ar trebui să evite redeschiderea obiectivelor principale, a domeniului de aplicare sau a arhitecturii Regulamentului privind piețele digitale, cu excepția cazului în care acest lucru este justificat în mod clar de lacune demonstrate în materie de asigurare a respectării legislației sau de evoluții semnificative ale pieței;</w:t>
      </w:r>
    </w:p>
    <w:p w14:paraId="7F5509A0" w14:textId="20D65853" w:rsidR="00662100" w:rsidRPr="00352DE4" w:rsidRDefault="004F3EEF" w:rsidP="0033274D">
      <w:pPr>
        <w:pStyle w:val="NormalHanging12a"/>
      </w:pPr>
      <w:r w:rsidRPr="00352DE4">
        <w:t>32</w:t>
      </w:r>
      <w:r w:rsidR="00662100" w:rsidRPr="00352DE4">
        <w:t>.</w:t>
      </w:r>
      <w:r w:rsidR="00662100" w:rsidRPr="00352DE4">
        <w:tab/>
        <w:t xml:space="preserve">subliniază că asigurarea respectării eficace a Regulamentului privind piețele digitale necesită utilizarea complementară a politicii generale în domeniul concurenței și a tuturor celorlalte instrumente ale UE de apărare comercială și de supraveghere a pieței, deoarece riscurile sistemice la adresa echității și a securității economice pot rezulta și din tranzacții care nu intră în domeniul de aplicare al Regulamentului privind piețele digitale; ia act, în acest context, de preocupările legate de achiziționarea </w:t>
      </w:r>
      <w:proofErr w:type="spellStart"/>
      <w:r w:rsidR="00662100" w:rsidRPr="00352DE4">
        <w:t>Ceconomy</w:t>
      </w:r>
      <w:proofErr w:type="spellEnd"/>
      <w:r w:rsidR="00662100" w:rsidRPr="00352DE4">
        <w:t xml:space="preserve"> AG de către JD.com, care ar transfera controlul asupra unei rețele europene majore de comerț cu amănuntul și de distribuție către o entitate din afara UE, ceea ce ar crește riscurile de acces al statelor din afara UE la date sensibile privind consumatorii și de posibile denaturări legate de sprijinul financiar acordat de stat; invită Comisia să aplice în mod riguros Regulamentul privind subvențiile străine</w:t>
      </w:r>
      <w:r w:rsidR="00662100" w:rsidRPr="00352DE4">
        <w:rPr>
          <w:rStyle w:val="FootnoteReference"/>
        </w:rPr>
        <w:footnoteReference w:id="14"/>
      </w:r>
      <w:r w:rsidR="00662100" w:rsidRPr="00352DE4">
        <w:t xml:space="preserve"> și să examineze toate subvențiile străine care stau atât la baza acestei tranzacții, cât și a celor viitoare; invită </w:t>
      </w:r>
      <w:r w:rsidR="00662100" w:rsidRPr="00352DE4">
        <w:lastRenderedPageBreak/>
        <w:t>Comisia să evalueze riscurile pentru datele consumatorilor europeni în temeiul Regulamentului privind examinarea investițiilor străine directe</w:t>
      </w:r>
      <w:r w:rsidR="00662100" w:rsidRPr="00352DE4">
        <w:rPr>
          <w:rStyle w:val="FootnoteReference"/>
        </w:rPr>
        <w:footnoteReference w:id="15"/>
      </w:r>
      <w:r w:rsidR="00662100" w:rsidRPr="00352DE4">
        <w:t xml:space="preserve"> și să asigure localizarea eficace a datelor în conformitate cu suveranitatea UE în materie de date și cu cadrul de asigurare a respectării Regulamentului privind piețele digitale;</w:t>
      </w:r>
    </w:p>
    <w:p w14:paraId="67FAC137" w14:textId="16F7E04A" w:rsidR="0033274D" w:rsidRPr="00352DE4" w:rsidRDefault="004F3EEF" w:rsidP="0033274D">
      <w:pPr>
        <w:pStyle w:val="NormalHanging12a"/>
      </w:pPr>
      <w:r w:rsidRPr="00352DE4">
        <w:t>33</w:t>
      </w:r>
      <w:r w:rsidR="00C70BD0" w:rsidRPr="00352DE4">
        <w:t>.</w:t>
      </w:r>
      <w:r w:rsidR="00C70BD0" w:rsidRPr="00352DE4">
        <w:tab/>
        <w:t>încredințează Președintei sarcina de a transmite prezenta rezoluție Comisiei.</w:t>
      </w:r>
    </w:p>
    <w:p w14:paraId="5B11605B" w14:textId="2A6EE218" w:rsidR="00E365E1" w:rsidRPr="00352DE4" w:rsidRDefault="00E365E1" w:rsidP="001C3856"/>
    <w:sectPr w:rsidR="00E365E1" w:rsidRPr="00352DE4" w:rsidSect="0033274D">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BCEE84" w14:textId="77777777" w:rsidR="001C3856" w:rsidRPr="0033274D" w:rsidRDefault="001C3856">
      <w:r w:rsidRPr="0033274D">
        <w:separator/>
      </w:r>
    </w:p>
  </w:endnote>
  <w:endnote w:type="continuationSeparator" w:id="0">
    <w:p w14:paraId="3ECA6EFA" w14:textId="77777777" w:rsidR="001C3856" w:rsidRPr="0033274D" w:rsidRDefault="001C3856">
      <w:r w:rsidRPr="0033274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8D63EB" w14:textId="77777777" w:rsidR="001C3856" w:rsidRPr="0033274D" w:rsidRDefault="001C3856">
      <w:r w:rsidRPr="0033274D">
        <w:separator/>
      </w:r>
    </w:p>
  </w:footnote>
  <w:footnote w:type="continuationSeparator" w:id="0">
    <w:p w14:paraId="0F2B53D3" w14:textId="77777777" w:rsidR="001C3856" w:rsidRPr="0033274D" w:rsidRDefault="001C3856">
      <w:r w:rsidRPr="0033274D">
        <w:continuationSeparator/>
      </w:r>
    </w:p>
  </w:footnote>
  <w:footnote w:id="1">
    <w:p w14:paraId="554A4523" w14:textId="1574D794" w:rsidR="00C70BD0" w:rsidRPr="00DC4DCC" w:rsidRDefault="00C70BD0" w:rsidP="0033274D">
      <w:pPr>
        <w:pStyle w:val="FootnoteText"/>
        <w:ind w:left="567" w:hanging="567"/>
        <w:rPr>
          <w:sz w:val="24"/>
          <w:lang w:val="ro-RO"/>
        </w:rPr>
      </w:pPr>
      <w:r w:rsidRPr="00DC4DCC">
        <w:rPr>
          <w:rStyle w:val="FootnoteReference"/>
          <w:sz w:val="24"/>
          <w:lang w:val="ro-RO"/>
        </w:rPr>
        <w:footnoteRef/>
      </w:r>
      <w:r w:rsidR="0033274D" w:rsidRPr="00DC4DCC">
        <w:rPr>
          <w:sz w:val="24"/>
          <w:lang w:val="ro-RO"/>
        </w:rPr>
        <w:t xml:space="preserve"> </w:t>
      </w:r>
      <w:r w:rsidR="0033274D" w:rsidRPr="00DC4DCC">
        <w:rPr>
          <w:sz w:val="24"/>
          <w:lang w:val="ro-RO"/>
        </w:rPr>
        <w:tab/>
      </w:r>
      <w:r w:rsidRPr="00DC4DCC">
        <w:rPr>
          <w:sz w:val="24"/>
          <w:lang w:val="ro-RO"/>
        </w:rPr>
        <w:t>JO L 265, 12.10.2022, p. 1, ELI: </w:t>
      </w:r>
      <w:hyperlink r:id="rId1" w:tooltip="Oferă acces la acest document prin identificatorul său uniform de resurse ELI." w:history="1">
        <w:r w:rsidRPr="00DC4DCC">
          <w:rPr>
            <w:rStyle w:val="Hyperlink"/>
            <w:sz w:val="24"/>
            <w:lang w:val="ro-RO"/>
          </w:rPr>
          <w:t>http://data.europa.eu/eli/reg/2022/1925/oj</w:t>
        </w:r>
      </w:hyperlink>
      <w:r w:rsidRPr="00DC4DCC">
        <w:rPr>
          <w:sz w:val="24"/>
          <w:lang w:val="ro-RO"/>
        </w:rPr>
        <w:t>.</w:t>
      </w:r>
    </w:p>
  </w:footnote>
  <w:footnote w:id="2">
    <w:p w14:paraId="1D4B45E1" w14:textId="2A041829" w:rsidR="00C70BD0" w:rsidRPr="00DC4DCC" w:rsidRDefault="00C70BD0" w:rsidP="0033274D">
      <w:pPr>
        <w:pStyle w:val="FootnoteText"/>
        <w:ind w:left="567" w:hanging="567"/>
        <w:rPr>
          <w:sz w:val="24"/>
          <w:lang w:val="ro-RO"/>
        </w:rPr>
      </w:pPr>
      <w:r w:rsidRPr="00DC4DCC">
        <w:rPr>
          <w:rStyle w:val="FootnoteReference"/>
          <w:sz w:val="24"/>
          <w:lang w:val="ro-RO"/>
        </w:rPr>
        <w:footnoteRef/>
      </w:r>
      <w:r w:rsidR="0033274D" w:rsidRPr="00DC4DCC">
        <w:rPr>
          <w:sz w:val="24"/>
          <w:lang w:val="ro-RO"/>
        </w:rPr>
        <w:t xml:space="preserve"> </w:t>
      </w:r>
      <w:r w:rsidR="0033274D" w:rsidRPr="00DC4DCC">
        <w:rPr>
          <w:sz w:val="24"/>
          <w:lang w:val="ro-RO"/>
        </w:rPr>
        <w:tab/>
      </w:r>
      <w:r w:rsidRPr="00DC4DCC">
        <w:rPr>
          <w:sz w:val="24"/>
          <w:lang w:val="ro-RO"/>
        </w:rPr>
        <w:t>JO C, C/2023/549, 27.10.2023, ELI: </w:t>
      </w:r>
      <w:r>
        <w:fldChar w:fldCharType="begin"/>
      </w:r>
      <w:r w:rsidRPr="000E30E4">
        <w:rPr>
          <w:lang w:val="fi-FI"/>
        </w:rPr>
        <w:instrText>HYPERLINK "http://data.europa.eu/eli/C/2023/549/oj" \t "_blank" \o "Oferă acces la acest document prin identificatorul său uniform de resurse ELI."</w:instrText>
      </w:r>
      <w:r>
        <w:fldChar w:fldCharType="separate"/>
      </w:r>
      <w:r w:rsidRPr="00DC4DCC">
        <w:rPr>
          <w:rStyle w:val="Hyperlink"/>
          <w:sz w:val="24"/>
          <w:lang w:val="ro-RO"/>
        </w:rPr>
        <w:t>http://data.europa.eu/eli/C/2023/549/oj</w:t>
      </w:r>
      <w:r>
        <w:fldChar w:fldCharType="end"/>
      </w:r>
      <w:r w:rsidRPr="00DC4DCC">
        <w:rPr>
          <w:sz w:val="24"/>
          <w:lang w:val="ro-RO"/>
        </w:rPr>
        <w:t>.</w:t>
      </w:r>
    </w:p>
  </w:footnote>
  <w:footnote w:id="3">
    <w:p w14:paraId="6BC48D5F" w14:textId="2BC971F5" w:rsidR="00C70BD0" w:rsidRPr="00DC4DCC" w:rsidRDefault="00C70BD0" w:rsidP="0033274D">
      <w:pPr>
        <w:pStyle w:val="FootnoteText"/>
        <w:ind w:left="567" w:hanging="567"/>
        <w:rPr>
          <w:sz w:val="24"/>
          <w:lang w:val="ro-RO"/>
        </w:rPr>
      </w:pPr>
      <w:r w:rsidRPr="00DC4DCC">
        <w:rPr>
          <w:rStyle w:val="FootnoteReference"/>
          <w:sz w:val="24"/>
          <w:lang w:val="ro-RO"/>
        </w:rPr>
        <w:footnoteRef/>
      </w:r>
      <w:r w:rsidR="0033274D" w:rsidRPr="00DC4DCC">
        <w:rPr>
          <w:sz w:val="24"/>
          <w:lang w:val="ro-RO"/>
        </w:rPr>
        <w:t xml:space="preserve"> </w:t>
      </w:r>
      <w:r w:rsidR="0033274D" w:rsidRPr="00DC4DCC">
        <w:rPr>
          <w:sz w:val="24"/>
          <w:lang w:val="ro-RO"/>
        </w:rPr>
        <w:tab/>
      </w:r>
      <w:r w:rsidRPr="00DC4DCC">
        <w:rPr>
          <w:sz w:val="24"/>
          <w:lang w:val="ro-RO"/>
        </w:rPr>
        <w:t>JO C, C/2023/905, 15.11.2023, ELI: </w:t>
      </w:r>
      <w:r>
        <w:fldChar w:fldCharType="begin"/>
      </w:r>
      <w:r w:rsidRPr="000E30E4">
        <w:rPr>
          <w:lang w:val="fi-FI"/>
        </w:rPr>
        <w:instrText>HYPERLINK "http://data.europa.eu/eli/C/2023/905/oj" \t "_blank" \o "Oferă acces la acest document prin identificatorul său uniform de resurse ELI."</w:instrText>
      </w:r>
      <w:r>
        <w:fldChar w:fldCharType="separate"/>
      </w:r>
      <w:r w:rsidRPr="00DC4DCC">
        <w:rPr>
          <w:rStyle w:val="Hyperlink"/>
          <w:sz w:val="24"/>
          <w:lang w:val="ro-RO"/>
        </w:rPr>
        <w:t>http://data.europa.eu/eli/C/2023/905/oj</w:t>
      </w:r>
      <w:r>
        <w:fldChar w:fldCharType="end"/>
      </w:r>
      <w:r w:rsidRPr="00DC4DCC">
        <w:rPr>
          <w:sz w:val="24"/>
          <w:lang w:val="ro-RO"/>
        </w:rPr>
        <w:t>.</w:t>
      </w:r>
    </w:p>
  </w:footnote>
  <w:footnote w:id="4">
    <w:p w14:paraId="6E705E09" w14:textId="3BD56ACD" w:rsidR="00C70BD0" w:rsidRPr="00DC4DCC" w:rsidRDefault="00C70BD0" w:rsidP="0033274D">
      <w:pPr>
        <w:pStyle w:val="FootnoteText"/>
        <w:ind w:left="567" w:hanging="567"/>
        <w:rPr>
          <w:sz w:val="24"/>
          <w:lang w:val="ro-RO"/>
        </w:rPr>
      </w:pPr>
      <w:r w:rsidRPr="00DC4DCC">
        <w:rPr>
          <w:rStyle w:val="FootnoteReference"/>
          <w:sz w:val="24"/>
          <w:lang w:val="ro-RO"/>
        </w:rPr>
        <w:footnoteRef/>
      </w:r>
      <w:r w:rsidR="0033274D" w:rsidRPr="00DC4DCC">
        <w:rPr>
          <w:sz w:val="24"/>
          <w:lang w:val="ro-RO"/>
        </w:rPr>
        <w:t xml:space="preserve"> </w:t>
      </w:r>
      <w:r w:rsidR="0033274D" w:rsidRPr="00DC4DCC">
        <w:rPr>
          <w:sz w:val="24"/>
          <w:lang w:val="ro-RO"/>
        </w:rPr>
        <w:tab/>
      </w:r>
      <w:r w:rsidRPr="00DC4DCC">
        <w:rPr>
          <w:sz w:val="24"/>
          <w:lang w:val="ro-RO"/>
        </w:rPr>
        <w:t>JO C, C/2025/4646, 14.8.2025, ELI: </w:t>
      </w:r>
      <w:r>
        <w:fldChar w:fldCharType="begin"/>
      </w:r>
      <w:r w:rsidRPr="000E30E4">
        <w:rPr>
          <w:lang w:val="fi-FI"/>
        </w:rPr>
        <w:instrText>HYPERLINK "http://data.europa.eu/eli/C/2025/4646/oj" \t "_blank" \o "Oferă acces la acest document prin identificatorul său uniform de resurse ELI."</w:instrText>
      </w:r>
      <w:r>
        <w:fldChar w:fldCharType="separate"/>
      </w:r>
      <w:r w:rsidRPr="00DC4DCC">
        <w:rPr>
          <w:rStyle w:val="Hyperlink"/>
          <w:sz w:val="24"/>
          <w:lang w:val="ro-RO"/>
        </w:rPr>
        <w:t>http://data.europa.eu/eli/C/2025/4646/oj</w:t>
      </w:r>
      <w:r>
        <w:fldChar w:fldCharType="end"/>
      </w:r>
      <w:r w:rsidRPr="00DC4DCC">
        <w:rPr>
          <w:sz w:val="24"/>
          <w:lang w:val="ro-RO"/>
        </w:rPr>
        <w:t>.</w:t>
      </w:r>
    </w:p>
  </w:footnote>
  <w:footnote w:id="5">
    <w:p w14:paraId="67D46818" w14:textId="12C9C2F6" w:rsidR="00C70BD0" w:rsidRPr="00DC4DCC" w:rsidRDefault="00C70BD0" w:rsidP="0033274D">
      <w:pPr>
        <w:pStyle w:val="FootnoteText"/>
        <w:ind w:left="567" w:hanging="567"/>
        <w:rPr>
          <w:sz w:val="24"/>
          <w:lang w:val="ro-RO"/>
        </w:rPr>
      </w:pPr>
      <w:r w:rsidRPr="00DC4DCC">
        <w:rPr>
          <w:rStyle w:val="FootnoteReference"/>
          <w:sz w:val="24"/>
          <w:lang w:val="ro-RO"/>
        </w:rPr>
        <w:footnoteRef/>
      </w:r>
      <w:r w:rsidR="0033274D" w:rsidRPr="00DC4DCC">
        <w:rPr>
          <w:sz w:val="24"/>
          <w:lang w:val="ro-RO"/>
        </w:rPr>
        <w:t xml:space="preserve"> </w:t>
      </w:r>
      <w:r w:rsidR="0033274D" w:rsidRPr="00DC4DCC">
        <w:rPr>
          <w:sz w:val="24"/>
          <w:lang w:val="ro-RO"/>
        </w:rPr>
        <w:tab/>
      </w:r>
      <w:r w:rsidRPr="00DC4DCC">
        <w:rPr>
          <w:sz w:val="24"/>
          <w:lang w:val="ro-RO"/>
        </w:rPr>
        <w:t>JO C, C/2023/552, 27.10.2023, ELI: </w:t>
      </w:r>
      <w:r>
        <w:fldChar w:fldCharType="begin"/>
      </w:r>
      <w:r w:rsidRPr="000E30E4">
        <w:rPr>
          <w:lang w:val="fi-FI"/>
        </w:rPr>
        <w:instrText>HYPERLINK "http://data.europa.eu/eli/C/2023/552/oj" \t "_blank" \o "Oferă acces la acest document prin identificatorul său uniform de resurse ELI."</w:instrText>
      </w:r>
      <w:r>
        <w:fldChar w:fldCharType="separate"/>
      </w:r>
      <w:r w:rsidRPr="00DC4DCC">
        <w:rPr>
          <w:rStyle w:val="Hyperlink"/>
          <w:sz w:val="24"/>
          <w:lang w:val="ro-RO"/>
        </w:rPr>
        <w:t>http://data.europa.eu/eli/C/2023/552/oj</w:t>
      </w:r>
      <w:r>
        <w:fldChar w:fldCharType="end"/>
      </w:r>
      <w:r w:rsidRPr="00DC4DCC">
        <w:rPr>
          <w:sz w:val="24"/>
          <w:lang w:val="ro-RO"/>
        </w:rPr>
        <w:t>.</w:t>
      </w:r>
    </w:p>
  </w:footnote>
  <w:footnote w:id="6">
    <w:p w14:paraId="5AAA3F0D" w14:textId="498559E6" w:rsidR="00C70BD0" w:rsidRPr="00DC4DCC" w:rsidRDefault="00C70BD0" w:rsidP="0033274D">
      <w:pPr>
        <w:pStyle w:val="FootnoteText"/>
        <w:ind w:left="567" w:hanging="567"/>
        <w:rPr>
          <w:sz w:val="24"/>
          <w:lang w:val="ro-RO"/>
        </w:rPr>
      </w:pPr>
      <w:r w:rsidRPr="00DC4DCC">
        <w:rPr>
          <w:rStyle w:val="FootnoteReference"/>
          <w:sz w:val="24"/>
          <w:lang w:val="ro-RO"/>
        </w:rPr>
        <w:footnoteRef/>
      </w:r>
      <w:r w:rsidR="0033274D" w:rsidRPr="00DC4DCC">
        <w:rPr>
          <w:sz w:val="24"/>
          <w:lang w:val="ro-RO"/>
        </w:rPr>
        <w:t xml:space="preserve"> </w:t>
      </w:r>
      <w:r w:rsidR="0033274D" w:rsidRPr="00DC4DCC">
        <w:rPr>
          <w:sz w:val="24"/>
          <w:lang w:val="ro-RO"/>
        </w:rPr>
        <w:tab/>
      </w:r>
      <w:r w:rsidRPr="00DC4DCC">
        <w:rPr>
          <w:sz w:val="24"/>
          <w:lang w:val="ro-RO"/>
        </w:rPr>
        <w:t>JO C, C/2023/1092, 23.11.2023, ELI: </w:t>
      </w:r>
      <w:r>
        <w:fldChar w:fldCharType="begin"/>
      </w:r>
      <w:r w:rsidRPr="000E30E4">
        <w:rPr>
          <w:lang w:val="fi-FI"/>
        </w:rPr>
        <w:instrText>HYPERLINK "http://data.europa.eu/eli/C/2023/1092/oj" \t "_blank" \o "Oferă acces la acest document prin identificatorul său uniform de resurse ELI."</w:instrText>
      </w:r>
      <w:r>
        <w:fldChar w:fldCharType="separate"/>
      </w:r>
      <w:r w:rsidRPr="00DC4DCC">
        <w:rPr>
          <w:rStyle w:val="Hyperlink"/>
          <w:sz w:val="24"/>
          <w:lang w:val="ro-RO"/>
        </w:rPr>
        <w:t>http://data.europa.eu/eli/C/2023/1092/oj</w:t>
      </w:r>
      <w:r>
        <w:fldChar w:fldCharType="end"/>
      </w:r>
      <w:r w:rsidRPr="00DC4DCC">
        <w:rPr>
          <w:sz w:val="24"/>
          <w:lang w:val="ro-RO"/>
        </w:rPr>
        <w:t xml:space="preserve">. </w:t>
      </w:r>
    </w:p>
  </w:footnote>
  <w:footnote w:id="7">
    <w:p w14:paraId="5041C9DC" w14:textId="173865A8" w:rsidR="00C70BD0" w:rsidRPr="00DC4DCC" w:rsidRDefault="00C70BD0" w:rsidP="0033274D">
      <w:pPr>
        <w:pStyle w:val="FootnoteText"/>
        <w:ind w:left="567" w:hanging="567"/>
        <w:rPr>
          <w:sz w:val="24"/>
          <w:lang w:val="ro-RO"/>
        </w:rPr>
      </w:pPr>
      <w:r w:rsidRPr="00DC4DCC">
        <w:rPr>
          <w:rStyle w:val="FootnoteReference"/>
          <w:sz w:val="24"/>
          <w:lang w:val="ro-RO"/>
        </w:rPr>
        <w:footnoteRef/>
      </w:r>
      <w:r w:rsidR="0033274D" w:rsidRPr="00DC4DCC">
        <w:rPr>
          <w:sz w:val="24"/>
          <w:lang w:val="ro-RO"/>
        </w:rPr>
        <w:t xml:space="preserve"> </w:t>
      </w:r>
      <w:r w:rsidR="0033274D" w:rsidRPr="00DC4DCC">
        <w:rPr>
          <w:sz w:val="24"/>
          <w:lang w:val="ro-RO"/>
        </w:rPr>
        <w:tab/>
      </w:r>
      <w:r w:rsidRPr="00DC4DCC">
        <w:rPr>
          <w:sz w:val="24"/>
          <w:lang w:val="ro-RO"/>
        </w:rPr>
        <w:t>JO C, C/2023/551, 27.10.2023, ELI: </w:t>
      </w:r>
      <w:r>
        <w:fldChar w:fldCharType="begin"/>
      </w:r>
      <w:r w:rsidRPr="000E30E4">
        <w:rPr>
          <w:lang w:val="fi-FI"/>
        </w:rPr>
        <w:instrText>HYPERLINK "http://data.europa.eu/eli/C/2023/551/oj" \t "_blank" \o "Oferă acces la acest document prin identificatorul său uniform de resurse ELI."</w:instrText>
      </w:r>
      <w:r>
        <w:fldChar w:fldCharType="separate"/>
      </w:r>
      <w:r w:rsidRPr="00DC4DCC">
        <w:rPr>
          <w:rStyle w:val="Hyperlink"/>
          <w:sz w:val="24"/>
          <w:lang w:val="ro-RO"/>
        </w:rPr>
        <w:t>http://data.europa.eu/eli/C/2023/551/oj</w:t>
      </w:r>
      <w:r>
        <w:fldChar w:fldCharType="end"/>
      </w:r>
      <w:r w:rsidRPr="00DC4DCC">
        <w:rPr>
          <w:sz w:val="24"/>
          <w:lang w:val="ro-RO"/>
        </w:rPr>
        <w:t xml:space="preserve">. </w:t>
      </w:r>
    </w:p>
  </w:footnote>
  <w:footnote w:id="8">
    <w:p w14:paraId="06E9EB98" w14:textId="50C9F096" w:rsidR="00C70BD0" w:rsidRPr="00DC4DCC" w:rsidRDefault="00C70BD0" w:rsidP="0033274D">
      <w:pPr>
        <w:pStyle w:val="FootnoteText"/>
        <w:ind w:left="567" w:hanging="567"/>
        <w:rPr>
          <w:sz w:val="24"/>
          <w:lang w:val="ro-RO"/>
        </w:rPr>
      </w:pPr>
      <w:r w:rsidRPr="00DC4DCC">
        <w:rPr>
          <w:rStyle w:val="FootnoteReference"/>
          <w:sz w:val="24"/>
          <w:lang w:val="ro-RO"/>
        </w:rPr>
        <w:footnoteRef/>
      </w:r>
      <w:r w:rsidR="0033274D" w:rsidRPr="00DC4DCC">
        <w:rPr>
          <w:sz w:val="24"/>
          <w:lang w:val="ro-RO"/>
        </w:rPr>
        <w:t xml:space="preserve"> </w:t>
      </w:r>
      <w:r w:rsidR="0033274D" w:rsidRPr="00DC4DCC">
        <w:rPr>
          <w:sz w:val="24"/>
          <w:lang w:val="ro-RO"/>
        </w:rPr>
        <w:tab/>
      </w:r>
      <w:r w:rsidRPr="00DC4DCC">
        <w:rPr>
          <w:sz w:val="24"/>
          <w:lang w:val="ro-RO"/>
        </w:rPr>
        <w:t>JO C, C/2024/4374, 4.7.2024, ELI: </w:t>
      </w:r>
      <w:r>
        <w:fldChar w:fldCharType="begin"/>
      </w:r>
      <w:r w:rsidRPr="000E30E4">
        <w:rPr>
          <w:lang w:val="fi-FI"/>
        </w:rPr>
        <w:instrText>HYPERLINK "http://data.europa.eu/eli/C/2024/4374/oj" \t "_blank" \o "Oferă acces la acest document prin identificatorul său uniform de resurse ELI."</w:instrText>
      </w:r>
      <w:r>
        <w:fldChar w:fldCharType="separate"/>
      </w:r>
      <w:r w:rsidRPr="00DC4DCC">
        <w:rPr>
          <w:rStyle w:val="Hyperlink"/>
          <w:sz w:val="24"/>
          <w:lang w:val="ro-RO"/>
        </w:rPr>
        <w:t>http://data.europa.eu/eli/C/2024/4374/oj</w:t>
      </w:r>
      <w:r>
        <w:fldChar w:fldCharType="end"/>
      </w:r>
      <w:r w:rsidRPr="00DC4DCC">
        <w:rPr>
          <w:sz w:val="24"/>
          <w:lang w:val="ro-RO"/>
        </w:rPr>
        <w:t xml:space="preserve">. </w:t>
      </w:r>
    </w:p>
  </w:footnote>
  <w:footnote w:id="9">
    <w:p w14:paraId="56FFE48F" w14:textId="4B9A31BD" w:rsidR="00C70BD0" w:rsidRPr="00DC4DCC" w:rsidRDefault="00C70BD0" w:rsidP="0033274D">
      <w:pPr>
        <w:pStyle w:val="FootnoteText"/>
        <w:ind w:left="567" w:hanging="567"/>
        <w:rPr>
          <w:sz w:val="24"/>
          <w:lang w:val="ro-RO"/>
        </w:rPr>
      </w:pPr>
      <w:r w:rsidRPr="00DC4DCC">
        <w:rPr>
          <w:rStyle w:val="FootnoteReference"/>
          <w:sz w:val="24"/>
          <w:lang w:val="ro-RO"/>
        </w:rPr>
        <w:footnoteRef/>
      </w:r>
      <w:r w:rsidR="0033274D" w:rsidRPr="00DC4DCC">
        <w:rPr>
          <w:sz w:val="24"/>
          <w:lang w:val="ro-RO"/>
        </w:rPr>
        <w:t xml:space="preserve"> </w:t>
      </w:r>
      <w:r w:rsidR="0033274D" w:rsidRPr="00DC4DCC">
        <w:rPr>
          <w:sz w:val="24"/>
          <w:lang w:val="ro-RO"/>
        </w:rPr>
        <w:tab/>
      </w:r>
      <w:r w:rsidRPr="00DC4DCC">
        <w:rPr>
          <w:sz w:val="24"/>
          <w:lang w:val="ro-RO"/>
        </w:rPr>
        <w:t>JO C, C/2024/4360, 4.7.2024, ELI: </w:t>
      </w:r>
      <w:r>
        <w:fldChar w:fldCharType="begin"/>
      </w:r>
      <w:r w:rsidRPr="000E30E4">
        <w:rPr>
          <w:lang w:val="fi-FI"/>
        </w:rPr>
        <w:instrText>HYPERLINK "http://data.europa.eu/eli/C/2024/4360/oj" \t "_blank" \o "Oferă acces la acest document prin identificatorul său uniform de resurse ELI."</w:instrText>
      </w:r>
      <w:r>
        <w:fldChar w:fldCharType="separate"/>
      </w:r>
      <w:r w:rsidRPr="00DC4DCC">
        <w:rPr>
          <w:rStyle w:val="Hyperlink"/>
          <w:sz w:val="24"/>
          <w:lang w:val="ro-RO"/>
        </w:rPr>
        <w:t>http://data.europa.eu/eli/C/2024/4360/oj</w:t>
      </w:r>
      <w:r>
        <w:fldChar w:fldCharType="end"/>
      </w:r>
      <w:r w:rsidRPr="00DC4DCC">
        <w:rPr>
          <w:sz w:val="24"/>
          <w:lang w:val="ro-RO"/>
        </w:rPr>
        <w:t>.</w:t>
      </w:r>
    </w:p>
  </w:footnote>
  <w:footnote w:id="10">
    <w:p w14:paraId="31F02096" w14:textId="56FCF39E" w:rsidR="00C70BD0" w:rsidRPr="00DC4DCC" w:rsidRDefault="00C70BD0" w:rsidP="0033274D">
      <w:pPr>
        <w:pStyle w:val="FootnoteText"/>
        <w:ind w:left="567" w:hanging="567"/>
        <w:rPr>
          <w:sz w:val="24"/>
          <w:lang w:val="ro-RO"/>
        </w:rPr>
      </w:pPr>
      <w:r w:rsidRPr="00DC4DCC">
        <w:rPr>
          <w:rStyle w:val="FootnoteReference"/>
          <w:sz w:val="24"/>
          <w:lang w:val="ro-RO"/>
        </w:rPr>
        <w:footnoteRef/>
      </w:r>
      <w:r w:rsidR="0033274D" w:rsidRPr="00DC4DCC">
        <w:rPr>
          <w:sz w:val="24"/>
          <w:lang w:val="ro-RO"/>
        </w:rPr>
        <w:t xml:space="preserve"> </w:t>
      </w:r>
      <w:r w:rsidR="0033274D" w:rsidRPr="00DC4DCC">
        <w:rPr>
          <w:sz w:val="24"/>
          <w:lang w:val="ro-RO"/>
        </w:rPr>
        <w:tab/>
      </w:r>
      <w:r w:rsidRPr="00DC4DCC">
        <w:rPr>
          <w:sz w:val="24"/>
          <w:lang w:val="ro-RO"/>
        </w:rPr>
        <w:t>JO C, C/2025/3466, 27.6.2025, ELI: </w:t>
      </w:r>
      <w:r>
        <w:fldChar w:fldCharType="begin"/>
      </w:r>
      <w:r w:rsidRPr="000E30E4">
        <w:rPr>
          <w:lang w:val="fi-FI"/>
        </w:rPr>
        <w:instrText>HYPERLINK "http://data.europa.eu/eli/C/2025/3466/oj" \t "_blank" \o "Oferă acces la acest document prin identificatorul său uniform de resurse ELI."</w:instrText>
      </w:r>
      <w:r>
        <w:fldChar w:fldCharType="separate"/>
      </w:r>
      <w:r w:rsidRPr="00DC4DCC">
        <w:rPr>
          <w:rStyle w:val="Hyperlink"/>
          <w:sz w:val="24"/>
          <w:lang w:val="ro-RO"/>
        </w:rPr>
        <w:t>http://data.europa.eu/eli/C/2025/3466/oj</w:t>
      </w:r>
      <w:r>
        <w:fldChar w:fldCharType="end"/>
      </w:r>
      <w:r w:rsidRPr="00DC4DCC">
        <w:rPr>
          <w:sz w:val="24"/>
          <w:lang w:val="ro-RO"/>
        </w:rPr>
        <w:t xml:space="preserve">. </w:t>
      </w:r>
    </w:p>
  </w:footnote>
  <w:footnote w:id="11">
    <w:p w14:paraId="641EDDC7" w14:textId="40719D46" w:rsidR="00C70BD0" w:rsidRPr="00DC4DCC" w:rsidRDefault="00C70BD0" w:rsidP="0033274D">
      <w:pPr>
        <w:pStyle w:val="FootnoteText"/>
        <w:ind w:left="567" w:hanging="567"/>
        <w:rPr>
          <w:sz w:val="24"/>
          <w:lang w:val="ro-RO"/>
        </w:rPr>
      </w:pPr>
      <w:r w:rsidRPr="00DC4DCC">
        <w:rPr>
          <w:rStyle w:val="FootnoteReference"/>
          <w:sz w:val="24"/>
          <w:lang w:val="ro-RO"/>
        </w:rPr>
        <w:footnoteRef/>
      </w:r>
      <w:r w:rsidR="0033274D" w:rsidRPr="00DC4DCC">
        <w:rPr>
          <w:sz w:val="24"/>
          <w:lang w:val="ro-RO"/>
        </w:rPr>
        <w:t xml:space="preserve"> </w:t>
      </w:r>
      <w:r w:rsidR="0033274D" w:rsidRPr="00DC4DCC">
        <w:rPr>
          <w:sz w:val="24"/>
          <w:lang w:val="ro-RO"/>
        </w:rPr>
        <w:tab/>
      </w:r>
      <w:r w:rsidRPr="00DC4DCC">
        <w:rPr>
          <w:sz w:val="24"/>
          <w:lang w:val="ro-RO"/>
        </w:rPr>
        <w:t>JO L 102, 17.4.2023, p. 6, ELI: </w:t>
      </w:r>
      <w:r>
        <w:fldChar w:fldCharType="begin"/>
      </w:r>
      <w:r w:rsidRPr="000E30E4">
        <w:rPr>
          <w:lang w:val="fi-FI"/>
        </w:rPr>
        <w:instrText>HYPERLINK "http://data.europa.eu/eli/reg_impl/2023/814/oj" \o "Oferă acces la acest document prin identificatorul său uniform de resurse ELI."</w:instrText>
      </w:r>
      <w:r>
        <w:fldChar w:fldCharType="separate"/>
      </w:r>
      <w:r w:rsidRPr="00DC4DCC">
        <w:rPr>
          <w:rStyle w:val="Hyperlink"/>
          <w:sz w:val="24"/>
          <w:lang w:val="ro-RO"/>
        </w:rPr>
        <w:t>http://data.europa.eu/eli/reg_impl/2023/814/oj</w:t>
      </w:r>
      <w:r>
        <w:fldChar w:fldCharType="end"/>
      </w:r>
      <w:r w:rsidRPr="00DC4DCC">
        <w:rPr>
          <w:sz w:val="24"/>
          <w:lang w:val="ro-RO"/>
        </w:rPr>
        <w:t xml:space="preserve">. </w:t>
      </w:r>
    </w:p>
  </w:footnote>
  <w:footnote w:id="12">
    <w:p w14:paraId="0F2EF97B" w14:textId="397616DC" w:rsidR="00C70BD0" w:rsidRPr="00DC4DCC" w:rsidRDefault="00C70BD0" w:rsidP="0033274D">
      <w:pPr>
        <w:pStyle w:val="FootnoteText"/>
        <w:ind w:left="567" w:hanging="567"/>
        <w:rPr>
          <w:sz w:val="24"/>
          <w:lang w:val="ro-RO"/>
        </w:rPr>
      </w:pPr>
      <w:r w:rsidRPr="00DC4DCC">
        <w:rPr>
          <w:rStyle w:val="FootnoteReference"/>
          <w:sz w:val="24"/>
          <w:lang w:val="ro-RO"/>
        </w:rPr>
        <w:footnoteRef/>
      </w:r>
      <w:r w:rsidR="0033274D" w:rsidRPr="00DC4DCC">
        <w:rPr>
          <w:sz w:val="24"/>
          <w:lang w:val="ro-RO"/>
        </w:rPr>
        <w:t xml:space="preserve"> </w:t>
      </w:r>
      <w:r w:rsidR="0033274D" w:rsidRPr="00DC4DCC">
        <w:rPr>
          <w:sz w:val="24"/>
          <w:lang w:val="ro-RO"/>
        </w:rPr>
        <w:tab/>
      </w:r>
      <w:r w:rsidRPr="00DC4DCC">
        <w:rPr>
          <w:sz w:val="24"/>
          <w:lang w:val="ro-RO"/>
        </w:rPr>
        <w:t>Regulamentul (UE) 2023/2854 al Parlamentului European și al Consiliului din 13 decembrie 2023 privind norme armonizate pentru un acces echitabil la date și o utilizare corectă a acestora și de modificare a Regulamentului (UE) 2017/2394 și a Directivei (UE) 2020/1828 (Regulamentul privind datele) (JO L, 2023/2854, 22.12.2023, ELI:</w:t>
      </w:r>
      <w:r w:rsidR="00DC4DCC" w:rsidRPr="00DC4DCC">
        <w:rPr>
          <w:sz w:val="24"/>
          <w:lang w:val="ro-RO"/>
        </w:rPr>
        <w:t> </w:t>
      </w:r>
      <w:r>
        <w:fldChar w:fldCharType="begin"/>
      </w:r>
      <w:r w:rsidRPr="000E30E4">
        <w:rPr>
          <w:lang w:val="ro-RO"/>
        </w:rPr>
        <w:instrText>HYPERLINK "http://data.europa.eu/eli/reg/2023/2854/oj"</w:instrText>
      </w:r>
      <w:r>
        <w:fldChar w:fldCharType="separate"/>
      </w:r>
      <w:r w:rsidRPr="00DC4DCC">
        <w:rPr>
          <w:rStyle w:val="Hyperlink"/>
          <w:sz w:val="24"/>
          <w:lang w:val="ro-RO"/>
        </w:rPr>
        <w:t>http://data.europa.eu/eli/reg/2023/2854/oj</w:t>
      </w:r>
      <w:r>
        <w:fldChar w:fldCharType="end"/>
      </w:r>
      <w:r w:rsidRPr="00DC4DCC">
        <w:rPr>
          <w:sz w:val="24"/>
          <w:lang w:val="ro-RO"/>
        </w:rPr>
        <w:t>).</w:t>
      </w:r>
    </w:p>
  </w:footnote>
  <w:footnote w:id="13">
    <w:p w14:paraId="1825A386" w14:textId="0257B8B0" w:rsidR="00C70BD0" w:rsidRPr="0033274D" w:rsidRDefault="00C70BD0" w:rsidP="0033274D">
      <w:pPr>
        <w:pStyle w:val="FootnoteText"/>
        <w:ind w:left="567" w:hanging="567"/>
        <w:rPr>
          <w:sz w:val="24"/>
          <w:lang w:val="ro-RO"/>
        </w:rPr>
      </w:pPr>
      <w:r w:rsidRPr="00DC4DCC">
        <w:rPr>
          <w:rStyle w:val="FootnoteReference"/>
          <w:sz w:val="24"/>
          <w:lang w:val="ro-RO"/>
        </w:rPr>
        <w:footnoteRef/>
      </w:r>
      <w:r w:rsidR="0033274D" w:rsidRPr="00DC4DCC">
        <w:rPr>
          <w:sz w:val="24"/>
          <w:lang w:val="ro-RO"/>
        </w:rPr>
        <w:t xml:space="preserve"> </w:t>
      </w:r>
      <w:r w:rsidR="0033274D" w:rsidRPr="00DC4DCC">
        <w:rPr>
          <w:sz w:val="24"/>
          <w:lang w:val="ro-RO"/>
        </w:rPr>
        <w:tab/>
      </w:r>
      <w:r w:rsidRPr="00DC4DCC">
        <w:rPr>
          <w:sz w:val="24"/>
          <w:lang w:val="ro-RO"/>
        </w:rPr>
        <w:t>Regulamentul (UE) 2024/1689 al Parlamentului European și al Consiliului din 13 iunie 2024 de stabilire a unor norme armonizate privind inteligența artificială și de modificare a Regulamentelor (CE) nr. 300/2008, (UE) nr. 167/2013, (UE) nr. 168/2013, (UE) 2018/858, (UE) 2018/1139 și (UE) 2019/2144 și a Directivelor 2014/90/UE, (UE) 2016/797 și (UE) 2020/1828 (Regulamentul privind inteligența artificială), PE/24/2024/REV/1 (JO L, 2024/1689, 12.7.2024, ELI:</w:t>
      </w:r>
      <w:r w:rsidR="00DC4DCC" w:rsidRPr="00DC4DCC">
        <w:rPr>
          <w:sz w:val="24"/>
          <w:lang w:val="ro-RO"/>
        </w:rPr>
        <w:t> </w:t>
      </w:r>
      <w:r>
        <w:fldChar w:fldCharType="begin"/>
      </w:r>
      <w:r w:rsidRPr="000E30E4">
        <w:rPr>
          <w:lang w:val="ro-RO"/>
        </w:rPr>
        <w:instrText>HYPERLINK "http://data.europa.eu/eli/reg/2024/1689/oj"</w:instrText>
      </w:r>
      <w:r>
        <w:fldChar w:fldCharType="separate"/>
      </w:r>
      <w:r w:rsidRPr="00DC4DCC">
        <w:rPr>
          <w:rStyle w:val="Hyperlink"/>
          <w:sz w:val="24"/>
          <w:lang w:val="ro-RO"/>
        </w:rPr>
        <w:t>http://data.europa.eu/eli/reg/2024/1689/oj</w:t>
      </w:r>
      <w:r>
        <w:fldChar w:fldCharType="end"/>
      </w:r>
      <w:r w:rsidRPr="00DC4DCC">
        <w:rPr>
          <w:sz w:val="24"/>
          <w:lang w:val="ro-RO"/>
        </w:rPr>
        <w:t>).</w:t>
      </w:r>
    </w:p>
  </w:footnote>
  <w:footnote w:id="14">
    <w:p w14:paraId="7B093B64" w14:textId="35F33FFC" w:rsidR="00662100" w:rsidRPr="00352DE4" w:rsidRDefault="00662100" w:rsidP="00662100">
      <w:pPr>
        <w:pStyle w:val="FootnoteText"/>
        <w:ind w:left="567" w:hanging="567"/>
        <w:rPr>
          <w:sz w:val="24"/>
          <w:szCs w:val="22"/>
          <w:lang w:val="ro-RO"/>
        </w:rPr>
      </w:pPr>
      <w:r w:rsidRPr="00662100">
        <w:rPr>
          <w:rStyle w:val="FootnoteReference"/>
          <w:sz w:val="24"/>
          <w:szCs w:val="22"/>
        </w:rPr>
        <w:footnoteRef/>
      </w:r>
      <w:r w:rsidRPr="00352DE4">
        <w:rPr>
          <w:sz w:val="24"/>
          <w:szCs w:val="22"/>
          <w:lang w:val="ro-RO"/>
        </w:rPr>
        <w:t xml:space="preserve"> </w:t>
      </w:r>
      <w:r w:rsidRPr="00662100">
        <w:rPr>
          <w:sz w:val="24"/>
          <w:szCs w:val="22"/>
          <w:lang w:val="ro-RO"/>
        </w:rPr>
        <w:tab/>
        <w:t xml:space="preserve">Regulamentul (UE) 2022/2560 al Parlamentului European și al Consiliului din 14 decembrie 2022 privind subvențiile străine care denaturează piața internă (JO L 330, 23.12.2022, p. 1, ELI: </w:t>
      </w:r>
      <w:r>
        <w:fldChar w:fldCharType="begin"/>
      </w:r>
      <w:r w:rsidRPr="000E30E4">
        <w:rPr>
          <w:lang w:val="ro-RO"/>
        </w:rPr>
        <w:instrText>HYPERLINK "http://data.europa.eu/eli/reg/2022/2560/oj"</w:instrText>
      </w:r>
      <w:r>
        <w:fldChar w:fldCharType="separate"/>
      </w:r>
      <w:r w:rsidRPr="006760CA">
        <w:rPr>
          <w:rStyle w:val="Hyperlink"/>
          <w:sz w:val="24"/>
          <w:szCs w:val="22"/>
          <w:lang w:val="ro-RO"/>
        </w:rPr>
        <w:t>http://data.europa.eu/eli/reg/2022/2560/oj</w:t>
      </w:r>
      <w:r>
        <w:fldChar w:fldCharType="end"/>
      </w:r>
      <w:r>
        <w:rPr>
          <w:sz w:val="24"/>
          <w:szCs w:val="22"/>
          <w:lang w:val="ro-RO"/>
        </w:rPr>
        <w:t xml:space="preserve"> </w:t>
      </w:r>
      <w:r w:rsidRPr="00662100">
        <w:rPr>
          <w:sz w:val="24"/>
          <w:szCs w:val="22"/>
          <w:lang w:val="ro-RO"/>
        </w:rPr>
        <w:t>).</w:t>
      </w:r>
    </w:p>
  </w:footnote>
  <w:footnote w:id="15">
    <w:p w14:paraId="121B1F44" w14:textId="10813C74" w:rsidR="00662100" w:rsidRPr="00352DE4" w:rsidRDefault="00662100" w:rsidP="00662100">
      <w:pPr>
        <w:pStyle w:val="FootnoteText"/>
        <w:ind w:left="567" w:hanging="567"/>
        <w:rPr>
          <w:sz w:val="24"/>
          <w:szCs w:val="22"/>
          <w:lang w:val="ro-RO"/>
        </w:rPr>
      </w:pPr>
      <w:r w:rsidRPr="00662100">
        <w:rPr>
          <w:rStyle w:val="FootnoteReference"/>
          <w:sz w:val="24"/>
          <w:szCs w:val="22"/>
        </w:rPr>
        <w:footnoteRef/>
      </w:r>
      <w:r w:rsidRPr="00352DE4">
        <w:rPr>
          <w:sz w:val="24"/>
          <w:szCs w:val="22"/>
          <w:lang w:val="ro-RO"/>
        </w:rPr>
        <w:t xml:space="preserve"> </w:t>
      </w:r>
      <w:r w:rsidRPr="00662100">
        <w:rPr>
          <w:sz w:val="24"/>
          <w:szCs w:val="22"/>
          <w:lang w:val="ro-RO"/>
        </w:rPr>
        <w:tab/>
      </w:r>
      <w:r w:rsidRPr="00662100">
        <w:rPr>
          <w:sz w:val="24"/>
          <w:szCs w:val="22"/>
          <w:lang w:val="ro-RO"/>
        </w:rPr>
        <w:t>Regulamentul (UE) 2019/452 al Parlamentului European și al Consiliului din 19 martie 2019 de stabilire a unui cadru pentru examinarea investițiilor străine directe în Uniune (JO L 79</w:t>
      </w:r>
      <w:r w:rsidR="000E30E4">
        <w:rPr>
          <w:sz w:val="24"/>
          <w:szCs w:val="22"/>
          <w:lang w:val="ro-RO"/>
        </w:rPr>
        <w:t> </w:t>
      </w:r>
      <w:r w:rsidRPr="00662100">
        <w:rPr>
          <w:sz w:val="24"/>
          <w:szCs w:val="22"/>
          <w:lang w:val="ro-RO"/>
        </w:rPr>
        <w:t xml:space="preserve">I, 21.3.2019, p. 1, ELI: </w:t>
      </w:r>
      <w:r>
        <w:fldChar w:fldCharType="begin"/>
      </w:r>
      <w:r w:rsidRPr="000E30E4">
        <w:rPr>
          <w:lang w:val="ro-RO"/>
        </w:rPr>
        <w:instrText>HYPERLINK "http://data.europa.eu/eli/reg/2019/452/oj"</w:instrText>
      </w:r>
      <w:r>
        <w:fldChar w:fldCharType="separate"/>
      </w:r>
      <w:r w:rsidRPr="006760CA">
        <w:rPr>
          <w:rStyle w:val="Hyperlink"/>
          <w:sz w:val="24"/>
          <w:szCs w:val="22"/>
          <w:lang w:val="ro-RO"/>
        </w:rPr>
        <w:t>http://data.europa.eu/eli/reg/2019/452/oj</w:t>
      </w:r>
      <w:r>
        <w:fldChar w:fldCharType="end"/>
      </w:r>
      <w:r>
        <w:rPr>
          <w:sz w:val="24"/>
          <w:szCs w:val="22"/>
          <w:lang w:val="ro-RO"/>
        </w:rPr>
        <w:t xml:space="preserve"> </w:t>
      </w:r>
      <w:r w:rsidRPr="00662100">
        <w:rPr>
          <w:sz w:val="24"/>
          <w:szCs w:val="22"/>
          <w:lang w:val="ro-RO"/>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3671346">
    <w:abstractNumId w:val="9"/>
  </w:num>
  <w:num w:numId="2" w16cid:durableId="1102412357">
    <w:abstractNumId w:val="9"/>
  </w:num>
  <w:num w:numId="3" w16cid:durableId="84113840">
    <w:abstractNumId w:val="7"/>
  </w:num>
  <w:num w:numId="4" w16cid:durableId="1578829404">
    <w:abstractNumId w:val="7"/>
  </w:num>
  <w:num w:numId="5" w16cid:durableId="506141847">
    <w:abstractNumId w:val="6"/>
  </w:num>
  <w:num w:numId="6" w16cid:durableId="1976794909">
    <w:abstractNumId w:val="6"/>
  </w:num>
  <w:num w:numId="7" w16cid:durableId="316155039">
    <w:abstractNumId w:val="5"/>
  </w:num>
  <w:num w:numId="8" w16cid:durableId="1595743441">
    <w:abstractNumId w:val="5"/>
  </w:num>
  <w:num w:numId="9" w16cid:durableId="45182381">
    <w:abstractNumId w:val="4"/>
  </w:num>
  <w:num w:numId="10" w16cid:durableId="654261425">
    <w:abstractNumId w:val="4"/>
  </w:num>
  <w:num w:numId="11" w16cid:durableId="1317370038">
    <w:abstractNumId w:val="8"/>
  </w:num>
  <w:num w:numId="12" w16cid:durableId="1648783583">
    <w:abstractNumId w:val="8"/>
  </w:num>
  <w:num w:numId="13" w16cid:durableId="1070232255">
    <w:abstractNumId w:val="3"/>
  </w:num>
  <w:num w:numId="14" w16cid:durableId="2050495724">
    <w:abstractNumId w:val="3"/>
  </w:num>
  <w:num w:numId="15" w16cid:durableId="1058673863">
    <w:abstractNumId w:val="2"/>
  </w:num>
  <w:num w:numId="16" w16cid:durableId="1072892796">
    <w:abstractNumId w:val="2"/>
  </w:num>
  <w:num w:numId="17" w16cid:durableId="100343861">
    <w:abstractNumId w:val="1"/>
  </w:num>
  <w:num w:numId="18" w16cid:durableId="1259830810">
    <w:abstractNumId w:val="1"/>
  </w:num>
  <w:num w:numId="19" w16cid:durableId="2010600688">
    <w:abstractNumId w:val="0"/>
  </w:num>
  <w:num w:numId="20" w16cid:durableId="356732812">
    <w:abstractNumId w:val="0"/>
  </w:num>
  <w:num w:numId="21" w16cid:durableId="1941716072">
    <w:abstractNumId w:val="9"/>
  </w:num>
  <w:num w:numId="22" w16cid:durableId="52702417">
    <w:abstractNumId w:val="7"/>
  </w:num>
  <w:num w:numId="23" w16cid:durableId="1902137136">
    <w:abstractNumId w:val="6"/>
  </w:num>
  <w:num w:numId="24" w16cid:durableId="751241524">
    <w:abstractNumId w:val="5"/>
  </w:num>
  <w:num w:numId="25" w16cid:durableId="1271278653">
    <w:abstractNumId w:val="4"/>
  </w:num>
  <w:num w:numId="26" w16cid:durableId="1530950978">
    <w:abstractNumId w:val="8"/>
  </w:num>
  <w:num w:numId="27" w16cid:durableId="1321272448">
    <w:abstractNumId w:val="3"/>
  </w:num>
  <w:num w:numId="28" w16cid:durableId="1741709526">
    <w:abstractNumId w:val="2"/>
  </w:num>
  <w:num w:numId="29" w16cid:durableId="1546720045">
    <w:abstractNumId w:val="1"/>
  </w:num>
  <w:num w:numId="30" w16cid:durableId="441803407">
    <w:abstractNumId w:val="0"/>
  </w:num>
  <w:num w:numId="31" w16cid:durableId="170221058">
    <w:abstractNumId w:val="9"/>
  </w:num>
  <w:num w:numId="32" w16cid:durableId="10493876">
    <w:abstractNumId w:val="7"/>
  </w:num>
  <w:num w:numId="33" w16cid:durableId="1958247453">
    <w:abstractNumId w:val="6"/>
  </w:num>
  <w:num w:numId="34" w16cid:durableId="1973175018">
    <w:abstractNumId w:val="5"/>
  </w:num>
  <w:num w:numId="35" w16cid:durableId="1921326244">
    <w:abstractNumId w:val="4"/>
  </w:num>
  <w:num w:numId="36" w16cid:durableId="1599752590">
    <w:abstractNumId w:val="8"/>
  </w:num>
  <w:num w:numId="37" w16cid:durableId="382750128">
    <w:abstractNumId w:val="3"/>
  </w:num>
  <w:num w:numId="38" w16cid:durableId="463085652">
    <w:abstractNumId w:val="2"/>
  </w:num>
  <w:num w:numId="39" w16cid:durableId="179200561">
    <w:abstractNumId w:val="1"/>
  </w:num>
  <w:num w:numId="40" w16cid:durableId="472019959">
    <w:abstractNumId w:val="0"/>
  </w:num>
  <w:num w:numId="41" w16cid:durableId="104689439">
    <w:abstractNumId w:val="10"/>
  </w:num>
  <w:num w:numId="42" w16cid:durableId="302777170">
    <w:abstractNumId w:val="10"/>
  </w:num>
  <w:num w:numId="43" w16cid:durableId="1750231478">
    <w:abstractNumId w:val="10"/>
  </w:num>
  <w:num w:numId="44" w16cid:durableId="124899762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90/2026"/>
    <w:docVar w:name="dvlangue" w:val="RO"/>
    <w:docVar w:name="dvnumam" w:val="0"/>
    <w:docVar w:name="dvpe" w:val="785.295"/>
    <w:docVar w:name="dvtitre" w:val="Rezoluția Parlamentului European din ... aprilie 2026 referitoare la asigurarea respectării Regulamentului privind piețele digitale(2026/2596(RSP))"/>
  </w:docVars>
  <w:rsids>
    <w:rsidRoot w:val="001C3856"/>
    <w:rsid w:val="00002272"/>
    <w:rsid w:val="000169CA"/>
    <w:rsid w:val="00064002"/>
    <w:rsid w:val="000677B9"/>
    <w:rsid w:val="000831BA"/>
    <w:rsid w:val="000A42CC"/>
    <w:rsid w:val="000E30E4"/>
    <w:rsid w:val="000E7DD9"/>
    <w:rsid w:val="0010095E"/>
    <w:rsid w:val="00112F05"/>
    <w:rsid w:val="00125B37"/>
    <w:rsid w:val="00187494"/>
    <w:rsid w:val="001C3856"/>
    <w:rsid w:val="001F32AE"/>
    <w:rsid w:val="002767FF"/>
    <w:rsid w:val="002B18FE"/>
    <w:rsid w:val="002B5493"/>
    <w:rsid w:val="0033274D"/>
    <w:rsid w:val="00343214"/>
    <w:rsid w:val="00352DE4"/>
    <w:rsid w:val="00361C00"/>
    <w:rsid w:val="00395FA1"/>
    <w:rsid w:val="003E15D4"/>
    <w:rsid w:val="00411CCE"/>
    <w:rsid w:val="0041666E"/>
    <w:rsid w:val="00421060"/>
    <w:rsid w:val="00470C5F"/>
    <w:rsid w:val="00471C19"/>
    <w:rsid w:val="004867E3"/>
    <w:rsid w:val="00494A28"/>
    <w:rsid w:val="004C0004"/>
    <w:rsid w:val="004C5D52"/>
    <w:rsid w:val="004F3EEF"/>
    <w:rsid w:val="0050519A"/>
    <w:rsid w:val="005072A1"/>
    <w:rsid w:val="00514517"/>
    <w:rsid w:val="00545827"/>
    <w:rsid w:val="00560270"/>
    <w:rsid w:val="005C2568"/>
    <w:rsid w:val="005F1B17"/>
    <w:rsid w:val="006037C0"/>
    <w:rsid w:val="0066210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E4E98"/>
    <w:rsid w:val="00AF3B82"/>
    <w:rsid w:val="00B12E95"/>
    <w:rsid w:val="00B22876"/>
    <w:rsid w:val="00B33ABC"/>
    <w:rsid w:val="00B558F0"/>
    <w:rsid w:val="00BD48FE"/>
    <w:rsid w:val="00BD7BD8"/>
    <w:rsid w:val="00BE6ADC"/>
    <w:rsid w:val="00C05BFE"/>
    <w:rsid w:val="00C23CD4"/>
    <w:rsid w:val="00C61C0C"/>
    <w:rsid w:val="00C70BD0"/>
    <w:rsid w:val="00C941CB"/>
    <w:rsid w:val="00CC2357"/>
    <w:rsid w:val="00CF071A"/>
    <w:rsid w:val="00D058B8"/>
    <w:rsid w:val="00D56C11"/>
    <w:rsid w:val="00D834A0"/>
    <w:rsid w:val="00D872DF"/>
    <w:rsid w:val="00D91E21"/>
    <w:rsid w:val="00DA7FCD"/>
    <w:rsid w:val="00DC4DCC"/>
    <w:rsid w:val="00E365E1"/>
    <w:rsid w:val="00E820A4"/>
    <w:rsid w:val="00EB006A"/>
    <w:rsid w:val="00EB4772"/>
    <w:rsid w:val="00ED169E"/>
    <w:rsid w:val="00ED4235"/>
    <w:rsid w:val="00F04346"/>
    <w:rsid w:val="00F075DC"/>
    <w:rsid w:val="00F149E9"/>
    <w:rsid w:val="00F5134D"/>
    <w:rsid w:val="00F726F8"/>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B25F12"/>
  <w15:chartTrackingRefBased/>
  <w15:docId w15:val="{F99F9951-5763-410B-A66D-9E9DF0B883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C70BD0"/>
    <w:pPr>
      <w:spacing w:before="480" w:after="240"/>
    </w:pPr>
  </w:style>
  <w:style w:type="paragraph" w:customStyle="1" w:styleId="NormalHanging12a">
    <w:name w:val="NormalHanging12a"/>
    <w:basedOn w:val="Normal"/>
    <w:rsid w:val="00C70BD0"/>
    <w:pPr>
      <w:spacing w:after="240"/>
      <w:ind w:left="567" w:hanging="567"/>
    </w:pPr>
  </w:style>
  <w:style w:type="character" w:styleId="Hyperlink">
    <w:name w:val="Hyperlink"/>
    <w:basedOn w:val="DefaultParagraphFont"/>
    <w:uiPriority w:val="99"/>
    <w:unhideWhenUsed/>
    <w:rsid w:val="00C70BD0"/>
    <w:rPr>
      <w:color w:val="0563C1" w:themeColor="hyperlink"/>
      <w:u w:val="single"/>
    </w:rPr>
  </w:style>
  <w:style w:type="paragraph" w:styleId="Revision">
    <w:name w:val="Revision"/>
    <w:hidden/>
    <w:uiPriority w:val="99"/>
    <w:semiHidden/>
    <w:rsid w:val="000169CA"/>
    <w:rPr>
      <w:sz w:val="24"/>
      <w:lang w:val="ro-RO"/>
    </w:rPr>
  </w:style>
  <w:style w:type="character" w:styleId="UnresolvedMention">
    <w:name w:val="Unresolved Mention"/>
    <w:basedOn w:val="DefaultParagraphFont"/>
    <w:uiPriority w:val="99"/>
    <w:semiHidden/>
    <w:unhideWhenUsed/>
    <w:rsid w:val="0066210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22/192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4847</Words>
  <Characters>30135</Characters>
  <Application>Microsoft Office Word</Application>
  <DocSecurity>0</DocSecurity>
  <Lines>717</Lines>
  <Paragraphs>181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34801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DRAGU Fiona</dc:creator>
  <cp:keywords/>
  <cp:lastModifiedBy>OBADA Liliana</cp:lastModifiedBy>
  <cp:revision>2</cp:revision>
  <cp:lastPrinted>2004-11-19T15:42:00Z</cp:lastPrinted>
  <dcterms:created xsi:type="dcterms:W3CDTF">2026-06-05T08:34:00Z</dcterms:created>
  <dcterms:modified xsi:type="dcterms:W3CDTF">2026-06-05T08:34:00Z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B10-0190/2026</vt:lpwstr>
  </property>
  <property fmtid="{D5CDD505-2E9C-101B-9397-08002B2CF9AE}" pid="4" name="&lt;Type&gt;">
    <vt:lpwstr>RR</vt:lpwstr>
  </property>
</Properties>
</file>