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2419ED2" w14:textId="77777777" w:rsidTr="0010095E">
        <w:tblPrEx>
          <w:tblW w:w="9072" w:type="dxa"/>
          <w:tblLook w:val="01E0"/>
        </w:tblPrEx>
        <w:trPr>
          <w:trHeight w:hRule="exact" w:val="1418"/>
        </w:trPr>
        <w:tc>
          <w:tcPr>
            <w:tcW w:w="6804" w:type="dxa"/>
            <w:shd w:val="clear" w:color="auto" w:fill="auto"/>
            <w:vAlign w:val="center"/>
          </w:tcPr>
          <w:p w:rsidR="00751A4A" w:rsidRPr="004F5FF1" w:rsidP="0010095E" w14:paraId="748DA79E" w14:textId="77777777">
            <w:pPr>
              <w:pStyle w:val="EPName"/>
            </w:pPr>
            <w:r w:rsidRPr="004F5FF1">
              <w:t>Európsky parlament</w:t>
            </w:r>
          </w:p>
          <w:p w:rsidR="00751A4A" w:rsidRPr="004F5FF1" w:rsidP="005F1B17" w14:paraId="79643C5A" w14:textId="77777777">
            <w:pPr>
              <w:pStyle w:val="EPTerm"/>
              <w:rPr>
                <w:rStyle w:val="HideTWBExt"/>
                <w:noProof w:val="0"/>
                <w:vanish w:val="0"/>
                <w:color w:val="auto"/>
              </w:rPr>
            </w:pPr>
            <w:r w:rsidRPr="004F5FF1">
              <w:t>2024</w:t>
            </w:r>
            <w:r w:rsidRPr="004F5FF1" w:rsidR="00817416">
              <w:t>-202</w:t>
            </w:r>
            <w:r w:rsidRPr="004F5FF1">
              <w:t>9</w:t>
            </w:r>
          </w:p>
        </w:tc>
        <w:tc>
          <w:tcPr>
            <w:tcW w:w="2268" w:type="dxa"/>
            <w:shd w:val="clear" w:color="auto" w:fill="auto"/>
          </w:tcPr>
          <w:p w:rsidR="00751A4A" w:rsidRPr="004F5FF1" w:rsidP="0010095E" w14:paraId="156C2E87" w14:textId="77777777">
            <w:pPr>
              <w:pStyle w:val="EPLogo"/>
            </w:pPr>
            <w:r w:rsidRPr="004F5FF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F5FF1" w:rsidP="004C5D52" w14:paraId="5A76DDD1" w14:textId="77777777">
      <w:pPr>
        <w:pStyle w:val="LineTop"/>
      </w:pPr>
    </w:p>
    <w:p w:rsidR="00680577" w:rsidRPr="004F5FF1" w:rsidP="00680577" w14:paraId="1D287AC3" w14:textId="77777777">
      <w:pPr>
        <w:pStyle w:val="EPBodyTA1"/>
      </w:pPr>
      <w:r w:rsidRPr="004F5FF1">
        <w:t>PRIJATÉ TEXTY</w:t>
      </w:r>
    </w:p>
    <w:p w:rsidR="00D058B8" w:rsidRPr="004F5FF1" w:rsidP="00D058B8" w14:paraId="34FA4A88" w14:textId="77777777">
      <w:pPr>
        <w:pStyle w:val="LineBottom"/>
      </w:pPr>
    </w:p>
    <w:p w:rsidR="00B13C79" w:rsidRPr="004F5FF1" w:rsidP="00B13C79" w14:paraId="010A0606" w14:textId="4D9B759D">
      <w:pPr>
        <w:pStyle w:val="ATHeading1"/>
      </w:pPr>
      <w:bookmarkStart w:id="0" w:name="TANumber"/>
      <w:r w:rsidRPr="004F5FF1">
        <w:t>P10_TA(2026)</w:t>
      </w:r>
      <w:r w:rsidR="00DC0C92">
        <w:t>0</w:t>
      </w:r>
      <w:r w:rsidRPr="004F5FF1" w:rsidR="00BA7AC3">
        <w:t>160</w:t>
      </w:r>
      <w:bookmarkEnd w:id="0"/>
    </w:p>
    <w:p w:rsidR="00B13C79" w:rsidRPr="004F5FF1" w:rsidP="00B13C79" w14:paraId="7895B3A5" w14:textId="77777777">
      <w:pPr>
        <w:pStyle w:val="ATHeading2"/>
      </w:pPr>
      <w:bookmarkStart w:id="1" w:name="title"/>
      <w:r w:rsidRPr="004F5FF1">
        <w:t>Presadzovanie aktu o digitálnych trhoch</w:t>
      </w:r>
      <w:bookmarkEnd w:id="1"/>
    </w:p>
    <w:p w:rsidR="00B13C79" w:rsidRPr="004F5FF1" w:rsidP="00B13C79" w14:paraId="2219CC3D" w14:textId="77777777">
      <w:pPr>
        <w:rPr>
          <w:i/>
          <w:vanish/>
        </w:rPr>
      </w:pPr>
      <w:r>
        <w:rPr>
          <w:i/>
        </w:rPr>
        <w:fldChar w:fldCharType="begin"/>
      </w:r>
      <w:r w:rsidRPr="004F5FF1">
        <w:rPr>
          <w:i/>
        </w:rPr>
        <w:instrText xml:space="preserve"> TC"(</w:instrText>
      </w:r>
      <w:bookmarkStart w:id="2" w:name="DocNumber"/>
      <w:r w:rsidRPr="004F5FF1">
        <w:rPr>
          <w:i/>
        </w:rPr>
        <w:instrText>B10-0190/2026</w:instrText>
      </w:r>
      <w:bookmarkEnd w:id="2"/>
      <w:r w:rsidRPr="004F5FF1">
        <w:rPr>
          <w:i/>
        </w:rPr>
        <w:instrText xml:space="preserve">)"\l3 \n&gt; \* MERGEFORMAT </w:instrText>
      </w:r>
      <w:r>
        <w:rPr>
          <w:i/>
        </w:rPr>
        <w:fldChar w:fldCharType="end"/>
      </w:r>
    </w:p>
    <w:p w:rsidR="00B13C79" w:rsidRPr="004F5FF1" w:rsidP="00B13C79" w14:paraId="52BCF296" w14:textId="77777777">
      <w:pPr>
        <w:rPr>
          <w:vanish/>
        </w:rPr>
      </w:pPr>
      <w:bookmarkStart w:id="3" w:name="PE"/>
      <w:r w:rsidRPr="004F5FF1">
        <w:rPr>
          <w:vanish/>
        </w:rPr>
        <w:t>PE785.295</w:t>
      </w:r>
      <w:bookmarkEnd w:id="3"/>
    </w:p>
    <w:p w:rsidR="00B13C79" w:rsidRPr="004F5FF1" w:rsidP="00B13C79" w14:paraId="35B347B3" w14:textId="4391598B">
      <w:pPr>
        <w:pStyle w:val="ATHeading3"/>
      </w:pPr>
      <w:bookmarkStart w:id="4" w:name="Sujet"/>
      <w:r w:rsidRPr="004F5FF1">
        <w:t>Uznesenie Európskeho parlamentu z</w:t>
      </w:r>
      <w:r w:rsidRPr="004F5FF1" w:rsidR="00E160B4">
        <w:t> 30. apríla</w:t>
      </w:r>
      <w:r w:rsidRPr="004F5FF1">
        <w:t xml:space="preserve"> 2026 o presadzovaní aktu o digitálnych trhoch</w:t>
      </w:r>
      <w:bookmarkEnd w:id="4"/>
      <w:r w:rsidRPr="004F5FF1">
        <w:t xml:space="preserve"> </w:t>
      </w:r>
      <w:bookmarkStart w:id="5" w:name="References"/>
      <w:r w:rsidRPr="004F5FF1">
        <w:t>(2026/2596(RSP))</w:t>
      </w:r>
      <w:bookmarkEnd w:id="5"/>
    </w:p>
    <w:p w:rsidR="00184446" w:rsidRPr="004F5FF1" w:rsidP="00184446" w14:paraId="7CD933BF" w14:textId="77777777">
      <w:pPr>
        <w:pStyle w:val="EPComma"/>
      </w:pPr>
      <w:bookmarkStart w:id="6" w:name="TextBodyBegin"/>
      <w:bookmarkEnd w:id="6"/>
      <w:r w:rsidRPr="004F5FF1">
        <w:rPr>
          <w:i/>
        </w:rPr>
        <w:t>Európsky parlament</w:t>
      </w:r>
      <w:r w:rsidRPr="004F5FF1">
        <w:t>,</w:t>
      </w:r>
    </w:p>
    <w:p w:rsidR="00184446" w:rsidRPr="004F5FF1" w:rsidP="00184446" w14:paraId="33A310A3" w14:textId="77777777">
      <w:pPr>
        <w:pStyle w:val="NormalHanging12a"/>
      </w:pPr>
      <w:r w:rsidRPr="004F5FF1">
        <w:t>–</w:t>
      </w:r>
      <w:r w:rsidRPr="004F5FF1">
        <w:tab/>
        <w:t>so zreteľom na nariadenie Európskeho parlamentu a Rady (EÚ) 2022/1925 zo 14. septembra 2022 o </w:t>
      </w:r>
      <w:r w:rsidRPr="004F5FF1">
        <w:t>súťažeschopných</w:t>
      </w:r>
      <w:r w:rsidRPr="004F5FF1">
        <w:t xml:space="preserve"> a spravodlivých trhoch digitálneho sektora a o zmene smerníc (EÚ) 2019/1937 a (EÚ) 2020/1828 (akt o digitálnych trhoch)</w:t>
      </w:r>
      <w:r>
        <w:rPr>
          <w:rStyle w:val="FootnoteReference"/>
        </w:rPr>
        <w:footnoteReference w:id="2"/>
      </w:r>
      <w:r w:rsidRPr="004F5FF1">
        <w:t>, najmä článku 53,</w:t>
      </w:r>
    </w:p>
    <w:p w:rsidR="00184446" w:rsidRPr="004F5FF1" w:rsidP="00184446" w14:paraId="11C20693" w14:textId="3DC4CD74">
      <w:pPr>
        <w:pStyle w:val="NormalHanging12a"/>
      </w:pPr>
      <w:r w:rsidRPr="004F5FF1">
        <w:t>–</w:t>
      </w:r>
      <w:r w:rsidRPr="004F5FF1">
        <w:tab/>
        <w:t>so zreteľom na otázku Komisii o presadzovaní aktu o digitálnych trhoch (O-0000</w:t>
      </w:r>
      <w:r w:rsidRPr="004F5FF1" w:rsidR="0047391E">
        <w:t>16/2026</w:t>
      </w:r>
      <w:r w:rsidRPr="004F5FF1">
        <w:t xml:space="preserve"> – B10</w:t>
      </w:r>
      <w:r w:rsidRPr="004F5FF1">
        <w:noBreakHyphen/>
      </w:r>
      <w:r w:rsidRPr="004F5FF1" w:rsidR="0047391E">
        <w:t>0010</w:t>
      </w:r>
      <w:r w:rsidRPr="004F5FF1">
        <w:t>/2026),</w:t>
      </w:r>
    </w:p>
    <w:p w:rsidR="00184446" w:rsidRPr="004F5FF1" w:rsidP="00184446" w14:paraId="5B82E235" w14:textId="77777777">
      <w:pPr>
        <w:pStyle w:val="NormalHanging12a"/>
        <w:rPr>
          <w:rFonts w:eastAsia="Aptos"/>
          <w:kern w:val="2"/>
          <w:szCs w:val="24"/>
          <w14:ligatures w14:val="standardContextual"/>
        </w:rPr>
      </w:pPr>
      <w:r w:rsidRPr="004F5FF1">
        <w:t>–</w:t>
      </w:r>
      <w:r w:rsidRPr="004F5FF1">
        <w:tab/>
        <w:t xml:space="preserve">so zreteľom na rozhodnutia Komisie zo 6. septembra 2023 prijaté podľa článku 3 nariadenia (EÚ) 2022/1925, ktorými sa spoločnosti </w:t>
      </w:r>
      <w:r w:rsidRPr="004F5FF1">
        <w:t>Alphabet</w:t>
      </w:r>
      <w:r>
        <w:rPr>
          <w:rFonts w:eastAsia="MS Mincho"/>
          <w:vertAlign w:val="superscript"/>
          <w:lang w:eastAsia="en-US"/>
        </w:rPr>
        <w:footnoteReference w:id="3"/>
      </w:r>
      <w:r w:rsidRPr="004F5FF1">
        <w:t>, Amazon</w:t>
      </w:r>
      <w:r>
        <w:rPr>
          <w:rFonts w:eastAsia="MS Mincho"/>
          <w:vertAlign w:val="superscript"/>
          <w:lang w:eastAsia="en-US"/>
        </w:rPr>
        <w:footnoteReference w:id="4"/>
      </w:r>
      <w:r w:rsidRPr="004F5FF1">
        <w:t>, Apple</w:t>
      </w:r>
      <w:r>
        <w:rPr>
          <w:rFonts w:eastAsia="MS Mincho"/>
          <w:vertAlign w:val="superscript"/>
          <w:lang w:eastAsia="en-US"/>
        </w:rPr>
        <w:footnoteReference w:id="5"/>
      </w:r>
      <w:r w:rsidRPr="004F5FF1">
        <w:t xml:space="preserve">, </w:t>
      </w:r>
      <w:r w:rsidRPr="004F5FF1">
        <w:t>ByteDance</w:t>
      </w:r>
      <w:r>
        <w:rPr>
          <w:rFonts w:eastAsia="MS Mincho"/>
          <w:vertAlign w:val="superscript"/>
          <w:lang w:eastAsia="en-US"/>
        </w:rPr>
        <w:footnoteReference w:id="6"/>
      </w:r>
      <w:r w:rsidRPr="004F5FF1">
        <w:t xml:space="preserve">, </w:t>
      </w:r>
      <w:r w:rsidRPr="004F5FF1">
        <w:t>Meta</w:t>
      </w:r>
      <w:r>
        <w:rPr>
          <w:rFonts w:eastAsia="MS Mincho"/>
          <w:vertAlign w:val="superscript"/>
          <w:lang w:eastAsia="en-US"/>
        </w:rPr>
        <w:footnoteReference w:id="7"/>
      </w:r>
      <w:r w:rsidRPr="004F5FF1">
        <w:t xml:space="preserve"> a Microsoft</w:t>
      </w:r>
      <w:r>
        <w:rPr>
          <w:rFonts w:eastAsia="MS Mincho"/>
          <w:vertAlign w:val="superscript"/>
          <w:lang w:eastAsia="en-US"/>
        </w:rPr>
        <w:footnoteReference w:id="8"/>
      </w:r>
      <w:r w:rsidRPr="004F5FF1">
        <w:t xml:space="preserve"> označujú za strážcov prístupu v súvislosti s niektorými základnými platformovými službami,</w:t>
      </w:r>
    </w:p>
    <w:p w:rsidR="00184446" w:rsidRPr="004F5FF1" w:rsidP="00184446" w14:paraId="472CFCEC" w14:textId="77777777">
      <w:pPr>
        <w:pStyle w:val="NormalHanging12a"/>
        <w:rPr>
          <w:rFonts w:eastAsia="Aptos"/>
          <w:kern w:val="2"/>
          <w:szCs w:val="24"/>
          <w14:ligatures w14:val="standardContextual"/>
        </w:rPr>
      </w:pPr>
      <w:r w:rsidRPr="004F5FF1">
        <w:t>–</w:t>
      </w:r>
      <w:r w:rsidRPr="004F5FF1">
        <w:tab/>
        <w:t>so zreteľom na rozhodnutie Komisie z 29. apríla 2024</w:t>
      </w:r>
      <w:r>
        <w:rPr>
          <w:rFonts w:eastAsia="MS Mincho"/>
          <w:szCs w:val="24"/>
          <w:vertAlign w:val="superscript"/>
          <w:lang w:eastAsia="en-US"/>
        </w:rPr>
        <w:footnoteReference w:id="9"/>
      </w:r>
      <w:r w:rsidRPr="004F5FF1">
        <w:t xml:space="preserve">, prijaté podľa článku 3 nariadenia (EÚ) 2022/1925, ktorým sa operačný systém </w:t>
      </w:r>
      <w:r w:rsidRPr="004F5FF1">
        <w:t>iPadOS</w:t>
      </w:r>
      <w:r w:rsidRPr="004F5FF1">
        <w:t xml:space="preserve"> spoločnosti Apple označuje za základnú platformovú službu,</w:t>
      </w:r>
    </w:p>
    <w:p w:rsidR="00184446" w:rsidRPr="004F5FF1" w:rsidP="00184446" w14:paraId="23EFB244" w14:textId="77777777">
      <w:pPr>
        <w:pStyle w:val="NormalHanging12a"/>
        <w:rPr>
          <w:rFonts w:eastAsia="Aptos"/>
          <w:kern w:val="2"/>
          <w:szCs w:val="24"/>
          <w14:ligatures w14:val="standardContextual"/>
        </w:rPr>
      </w:pPr>
      <w:r w:rsidRPr="004F5FF1">
        <w:t>–</w:t>
      </w:r>
      <w:r w:rsidRPr="004F5FF1">
        <w:tab/>
        <w:t>so zreteľom na rozhodnutie Komisie z 13. mája 2024</w:t>
      </w:r>
      <w:r>
        <w:rPr>
          <w:rFonts w:eastAsia="MS Mincho"/>
          <w:szCs w:val="24"/>
          <w:vertAlign w:val="superscript"/>
          <w:lang w:eastAsia="en-US"/>
        </w:rPr>
        <w:footnoteReference w:id="10"/>
      </w:r>
      <w:r w:rsidRPr="004F5FF1">
        <w:t>, prijaté podľa článku 3 nariadenia (EÚ) 2022/1925, ktorým sa spoločnosť Booking.com označuje za strážcu prístupu, pokiaľ ide o jej online sprostredkovateľské služby,</w:t>
      </w:r>
    </w:p>
    <w:p w:rsidR="00184446" w:rsidRPr="004F5FF1" w:rsidP="00184446" w14:paraId="3D96ADF3" w14:textId="77777777">
      <w:pPr>
        <w:pStyle w:val="NormalHanging12a"/>
        <w:rPr>
          <w:rFonts w:eastAsia="Aptos"/>
          <w:kern w:val="2"/>
          <w:szCs w:val="24"/>
          <w14:ligatures w14:val="standardContextual"/>
        </w:rPr>
      </w:pPr>
      <w:r w:rsidRPr="004F5FF1">
        <w:t>–</w:t>
      </w:r>
      <w:r w:rsidRPr="004F5FF1">
        <w:tab/>
        <w:t>so zreteľom na rozhodnutie Komisie z 23. apríla 2025</w:t>
      </w:r>
      <w:r>
        <w:rPr>
          <w:rFonts w:eastAsia="MS Mincho"/>
          <w:szCs w:val="24"/>
          <w:vertAlign w:val="superscript"/>
          <w:lang w:eastAsia="en-US"/>
        </w:rPr>
        <w:footnoteReference w:id="11"/>
      </w:r>
      <w:r w:rsidRPr="004F5FF1">
        <w:t xml:space="preserve">, prijaté podľa článku 29 ods. 1 písm. a), článku 30 ods. 1 písm. a) a článku 31 ods. 1 písm. h) nariadenia (EÚ) 2022/1925, ktorým sa odvoláva označenie služby Facebook Marketplace spoločnosti </w:t>
      </w:r>
      <w:r w:rsidRPr="004F5FF1">
        <w:t>Meta</w:t>
      </w:r>
      <w:r w:rsidRPr="004F5FF1">
        <w:t xml:space="preserve"> ako základnej platformovej služby,</w:t>
      </w:r>
    </w:p>
    <w:p w:rsidR="00184446" w:rsidRPr="004F5FF1" w:rsidP="00184446" w14:paraId="589C158C" w14:textId="77777777">
      <w:pPr>
        <w:pStyle w:val="NormalHanging12a"/>
        <w:rPr>
          <w:rFonts w:eastAsia="Aptos"/>
          <w:kern w:val="2"/>
          <w:szCs w:val="24"/>
          <w14:ligatures w14:val="standardContextual"/>
        </w:rPr>
      </w:pPr>
      <w:r w:rsidRPr="004F5FF1">
        <w:t>–</w:t>
      </w:r>
      <w:r w:rsidRPr="004F5FF1">
        <w:tab/>
        <w:t>so zreteľom na vykonávacie nariadenie Komisie (EÚ) 2023/814 zo 14. apríla 2023 o podrobných pravidlách vedenia určitých konaní Komisiou podľa nariadenia Európskeho parlamentu a Rady (EÚ) 2022/1925</w:t>
      </w:r>
      <w:r>
        <w:rPr>
          <w:rFonts w:eastAsia="MS Mincho"/>
          <w:szCs w:val="24"/>
          <w:vertAlign w:val="superscript"/>
          <w:lang w:eastAsia="en-US"/>
        </w:rPr>
        <w:footnoteReference w:id="12"/>
      </w:r>
      <w:r w:rsidRPr="004F5FF1">
        <w:t>,</w:t>
      </w:r>
    </w:p>
    <w:p w:rsidR="00184446" w:rsidRPr="004F5FF1" w:rsidP="00184446" w14:paraId="7780C878" w14:textId="77777777">
      <w:pPr>
        <w:pStyle w:val="NormalHanging12a"/>
      </w:pPr>
      <w:r w:rsidRPr="004F5FF1">
        <w:t>–</w:t>
      </w:r>
      <w:r w:rsidRPr="004F5FF1">
        <w:tab/>
        <w:t>so zreteľom na článok 142 ods. 5 a článok 136 ods. 2 rokovacieho poriadku,</w:t>
      </w:r>
    </w:p>
    <w:p w:rsidR="00184446" w:rsidRPr="004F5FF1" w:rsidP="00184446" w14:paraId="229798B5" w14:textId="77777777">
      <w:pPr>
        <w:pStyle w:val="NormalHanging12a"/>
      </w:pPr>
      <w:r w:rsidRPr="004F5FF1">
        <w:t>A.</w:t>
      </w:r>
      <w:r w:rsidRPr="004F5FF1">
        <w:tab/>
        <w:t xml:space="preserve">keďže aktom o digitálnych trhoch sa zavádza harmonizovaný regulačný rámec ex </w:t>
      </w:r>
      <w:r w:rsidRPr="004F5FF1">
        <w:t>ante</w:t>
      </w:r>
      <w:r w:rsidRPr="004F5FF1">
        <w:t xml:space="preserve"> s cieľom zabezpečiť spravodlivé, otvorené a </w:t>
      </w:r>
      <w:r w:rsidRPr="004F5FF1">
        <w:t>súťažeschopné</w:t>
      </w:r>
      <w:r w:rsidRPr="004F5FF1">
        <w:t xml:space="preserve"> digitálne trhy v celej EÚ, zabrániť nekalým praktikám strážcov prístupu, zabezpečiť integritu a riadne fungovanie jednotného trhu, zabezpečiť účinné a nediskriminačné uplatňovanie povinností voči všetkým označeným strážcom prístupu, odstrániť prekážky vstupu na trh a podporiť cezhraničné digitálne služby, inovácie, možnosť výberu pre spotrebiteľov a spravodlivú hospodársku súťaž v celej EÚ;</w:t>
      </w:r>
    </w:p>
    <w:p w:rsidR="00184446" w:rsidRPr="004F5FF1" w:rsidP="00184446" w14:paraId="2CCA2DFF" w14:textId="77777777">
      <w:pPr>
        <w:pStyle w:val="NormalHanging12a"/>
      </w:pPr>
      <w:r w:rsidRPr="004F5FF1">
        <w:t>B.</w:t>
      </w:r>
      <w:r w:rsidRPr="004F5FF1">
        <w:tab/>
        <w:t>keďže cieľom aktu o digitálnych trhoch je priniesť skutočné výhody pre digitálne trhy, zabezpečiť, aby komerční a koncoví používatelia mohli účinne uplatňovať svoje práva vyplývajúce z nariadenia a aby praktiky strážcu prístupu už nevytvárali štrukturálne prekážky vstupu na jednotný trh alebo možnosti rastu či inovácie a aby sa zabránilo odkázanosti na poskytovateľov, ktorá spotrebiteľov odrádza od prechodu na inú službu;</w:t>
      </w:r>
    </w:p>
    <w:p w:rsidR="00184446" w:rsidRPr="004F5FF1" w:rsidP="00184446" w14:paraId="63536C19" w14:textId="420A9F07">
      <w:pPr>
        <w:pStyle w:val="NormalHanging12a"/>
      </w:pPr>
      <w:r w:rsidRPr="004F5FF1">
        <w:t>C.</w:t>
      </w:r>
      <w:r w:rsidRPr="004F5FF1">
        <w:tab/>
        <w:t xml:space="preserve">keďže </w:t>
      </w:r>
      <w:r w:rsidRPr="004F5FF1" w:rsidR="00E160B4">
        <w:t>Európsky p</w:t>
      </w:r>
      <w:r w:rsidRPr="004F5FF1">
        <w:t>arlament vykonáva demokratickú kontrolu vykonávania a presadzovania aktu o digitálnych trhoch, najmä prostredníctvom svojho Výboru pre vnútorný trh a ochranu spotrebiteľa (</w:t>
      </w:r>
      <w:r w:rsidRPr="004F5FF1" w:rsidR="00E160B4">
        <w:t>ďalej len „</w:t>
      </w:r>
      <w:r w:rsidRPr="004F5FF1">
        <w:t>IMCO</w:t>
      </w:r>
      <w:r w:rsidRPr="004F5FF1" w:rsidR="00E160B4">
        <w:t>“</w:t>
      </w:r>
      <w:r w:rsidRPr="004F5FF1">
        <w:t>);</w:t>
      </w:r>
    </w:p>
    <w:p w:rsidR="00184446" w:rsidRPr="004F5FF1" w:rsidP="00184446" w14:paraId="1266DA78" w14:textId="77777777">
      <w:pPr>
        <w:pStyle w:val="NormalHanging12a"/>
      </w:pPr>
      <w:r w:rsidRPr="004F5FF1">
        <w:t>D.</w:t>
      </w:r>
      <w:r w:rsidRPr="004F5FF1">
        <w:tab/>
        <w:t>keďže skoré zavedenie aktu o digitálnych trhoch potvrdzuje jeho význam ako kľúčového nástroja na zlepšenie otvorenosti a spravodlivosti trhu, hospodárskej súťaže a možnosti výberu pre používateľov v EÚ a zdôrazňuje, že všetky podniky pôsobiace v EÚ bez ohľadu na ich veľkosť alebo pôvod musia plne rešpektovať a dodržiavať právne predpisy EÚ;</w:t>
      </w:r>
    </w:p>
    <w:p w:rsidR="00184446" w:rsidRPr="004F5FF1" w:rsidP="00184446" w14:paraId="0ED7E9D7" w14:textId="77777777">
      <w:pPr>
        <w:pStyle w:val="NormalHanging12a"/>
      </w:pPr>
      <w:r w:rsidRPr="004F5FF1">
        <w:t>E.</w:t>
      </w:r>
      <w:r w:rsidRPr="004F5FF1">
        <w:tab/>
        <w:t>keďže vykonávanie aktu o digitálnych trhoch je stále v počiatočnom štádiu a prináša so sebou výzvy týkajúce sa včasného a účinného presadzovania, kapacity monitorovania a praktickej účinnosti niektorých riešení na zabezpečenie súladu, najmä vzhľadom na zložitosť základných technológií, návrhu používateľského rozhrania a štruktúry výberu;</w:t>
      </w:r>
    </w:p>
    <w:p w:rsidR="00184446" w:rsidRPr="004F5FF1" w:rsidP="00184446" w14:paraId="0C329215" w14:textId="77777777">
      <w:pPr>
        <w:pStyle w:val="NormalHanging12a"/>
      </w:pPr>
      <w:r w:rsidRPr="004F5FF1">
        <w:t>F.</w:t>
      </w:r>
      <w:r w:rsidRPr="004F5FF1">
        <w:tab/>
        <w:t xml:space="preserve">keďže menšie podniky vrátane startupov a inovatívnych </w:t>
      </w:r>
      <w:r w:rsidRPr="004F5FF1">
        <w:t>scaleupov</w:t>
      </w:r>
      <w:r w:rsidRPr="004F5FF1">
        <w:t xml:space="preserve"> naďalej čelia bariéram a nespravodlivým prekážkam na digitálnych trhoch vrátane diskriminačných praktík a obmedzení uložených strážcami prístupu, ktoré môžu brániť inováciám, obmedzovať hospodársku súťaž a znižovať príležitosti na rast a v konečnom dôsledku znižovať možnosti výberu pre spotrebiteľov;</w:t>
      </w:r>
    </w:p>
    <w:p w:rsidR="00184446" w:rsidRPr="004F5FF1" w:rsidP="00184446" w14:paraId="0B1AF338" w14:textId="77777777">
      <w:pPr>
        <w:pStyle w:val="NormalHanging12a"/>
      </w:pPr>
      <w:r w:rsidRPr="004F5FF1">
        <w:t>G.</w:t>
      </w:r>
      <w:r w:rsidRPr="004F5FF1">
        <w:tab/>
        <w:t xml:space="preserve">keďže informačná asymetria medzi strážcami prístupu a regulačnými orgánmi, ako aj obmedzená transparentnosť, pokiaľ ide o opatrenia na zabezpečenie plnenia povinností, predstavujú riziko oslabenia účinného dohľadu, zodpovednosti a dôvery </w:t>
      </w:r>
      <w:r w:rsidRPr="004F5FF1">
        <w:t>v presadzovanie aktu o digitálnych trhoch;</w:t>
      </w:r>
    </w:p>
    <w:p w:rsidR="00184446" w:rsidRPr="004F5FF1" w:rsidP="00184446" w14:paraId="23F158AD" w14:textId="77777777">
      <w:pPr>
        <w:pStyle w:val="NormalHanging12a"/>
      </w:pPr>
      <w:r w:rsidRPr="004F5FF1">
        <w:t>H.</w:t>
      </w:r>
      <w:r w:rsidRPr="004F5FF1">
        <w:tab/>
        <w:t xml:space="preserve">keďže </w:t>
      </w:r>
      <w:r w:rsidRPr="004F5FF1">
        <w:t>interoperabilita</w:t>
      </w:r>
      <w:r w:rsidRPr="004F5FF1">
        <w:t xml:space="preserve">, prístup k údajom, prenosnosť údajov a zabránenie </w:t>
      </w:r>
      <w:r w:rsidRPr="004F5FF1">
        <w:t>sebauprednostňovaniu</w:t>
      </w:r>
      <w:r w:rsidRPr="004F5FF1">
        <w:t xml:space="preserve"> predstavujú základné prvky aktu o digitálnych trhoch a vyžadujú si trvalé a prísne presadzovanie, a to aj v prípadoch, keď na základe predvolených nastavení, technickej integrácie alebo účinkov na ekosystém dochádza k narušeniu hospodárskej súťaže;</w:t>
      </w:r>
    </w:p>
    <w:p w:rsidR="00184446" w:rsidRPr="004F5FF1" w:rsidP="00184446" w14:paraId="7CE3BA90" w14:textId="77777777">
      <w:pPr>
        <w:pStyle w:val="NormalHanging12a"/>
      </w:pPr>
      <w:r w:rsidRPr="004F5FF1">
        <w:t>I.</w:t>
      </w:r>
      <w:r w:rsidRPr="004F5FF1">
        <w:tab/>
        <w:t>keďže viaceré povinnosti vyplývajúce z aktu o digitálnych trhoch sa opierajú o aktívne rozhodnutia používateľov vrátane odmietnutia súhlasu, odinštalovania predinštalovaných aplikácií, zmeny predvolených nastavení a prenosu údajov, čím sa informovanosť používateľov a návrh rozhrania stávajú kľúčovými pre účinnosť nariadenia;</w:t>
      </w:r>
    </w:p>
    <w:p w:rsidR="00184446" w:rsidRPr="004F5FF1" w:rsidP="00184446" w14:paraId="47791EB9" w14:textId="77777777">
      <w:pPr>
        <w:pStyle w:val="NormalHanging12a"/>
      </w:pPr>
      <w:r w:rsidRPr="004F5FF1">
        <w:t>J.</w:t>
      </w:r>
      <w:r w:rsidRPr="004F5FF1">
        <w:tab/>
        <w:t>keďže od nadobudnutia účinnosti aktu o digitálnych trhoch sa zaznamenali hmatateľné výsledky pri vytváraní spravodlivých, otvorených a konkurencieschopných digitálnych trhov, keďže spotrebiteľom sa teraz ponúkajú vylepšené a neutrálnejšie obrazovky s možnosťami výberu predvolených prehliadačov a aplikácií, a to aj počas nastavovania zariadenia a prostredníctvom systémových nastavení, a môžu si nastaviť služby tretích strán ako predvolené v kategóriách, ktoré boli predtým obmedzené na predinštalované služby;</w:t>
      </w:r>
    </w:p>
    <w:p w:rsidR="00184446" w:rsidRPr="004F5FF1" w:rsidP="00184446" w14:paraId="0C9C7527" w14:textId="77777777">
      <w:pPr>
        <w:pStyle w:val="NormalHanging12a"/>
      </w:pPr>
      <w:r w:rsidRPr="004F5FF1">
        <w:t>K.</w:t>
      </w:r>
      <w:r w:rsidRPr="004F5FF1">
        <w:tab/>
        <w:t xml:space="preserve">keďže zvýšené požiadavky na </w:t>
      </w:r>
      <w:r w:rsidRPr="004F5FF1">
        <w:t>interoperabilitu</w:t>
      </w:r>
      <w:r w:rsidRPr="004F5FF1">
        <w:t xml:space="preserve"> tiež rozširujú možnosti výberu pre spotrebiteľa tým, že umožňujú fungovanie širšej škály pripojených a nositeľných zariadení a služieb so základnými platformovými službami, čím sa znižuje závislosť od predinštalovaných ekosystémov a prispieva k väčšej </w:t>
      </w:r>
      <w:r w:rsidRPr="004F5FF1">
        <w:t>súťažeschopnosti</w:t>
      </w:r>
      <w:r w:rsidRPr="004F5FF1">
        <w:t xml:space="preserve"> a autonómii spotrebiteľov;</w:t>
      </w:r>
    </w:p>
    <w:p w:rsidR="00184446" w:rsidRPr="004F5FF1" w:rsidP="00184446" w14:paraId="694719C1" w14:textId="77777777">
      <w:pPr>
        <w:pStyle w:val="NormalHanging12a"/>
      </w:pPr>
      <w:r w:rsidRPr="004F5FF1">
        <w:t>L.</w:t>
      </w:r>
      <w:r w:rsidRPr="004F5FF1">
        <w:tab/>
        <w:t>keďže úspešnosť aktu o digitálnych trhoch by sa mala posudzovať nielen na základe formálneho dodržiavania povinností, ale aj na základe toho, či sa jeho ciele dosahujú v praxi a či ich koncoví používatelia, komerční používatelia a širšia verejnosť vnímajú ako legitímne;</w:t>
      </w:r>
    </w:p>
    <w:p w:rsidR="00184446" w:rsidRPr="004F5FF1" w:rsidP="00184446" w14:paraId="67B3F0FB" w14:textId="77777777">
      <w:pPr>
        <w:pStyle w:val="NormalHanging12a"/>
      </w:pPr>
      <w:r w:rsidRPr="004F5FF1">
        <w:t>M.</w:t>
      </w:r>
      <w:r w:rsidRPr="004F5FF1">
        <w:tab/>
        <w:t xml:space="preserve">keďže v akte o digitálnych trhoch sa stanovuje celý rad nástrojov na presadzovanie vrátane regulačného dialógu, prieskumov trhu a konaní o neplnení povinností s cieľom odhaliť a riešiť porušenia a ukladať za </w:t>
      </w:r>
      <w:r w:rsidRPr="004F5FF1">
        <w:t>ne</w:t>
      </w:r>
      <w:r w:rsidRPr="004F5FF1">
        <w:t xml:space="preserve"> pokuty; keďže účinné a primerané pokuty sú nevyhnutné na zabezpečenie odrádzajúceho účinku a zachovanie účinnosti aktu o digitálnych trhoch; keďže technologický vývoj vrátane funkcií založených na umelej inteligencii a cloudových služieb prináša nové výzvy pre </w:t>
      </w:r>
      <w:r w:rsidRPr="004F5FF1">
        <w:t>súťažeschopnosť</w:t>
      </w:r>
      <w:r w:rsidRPr="004F5FF1">
        <w:t xml:space="preserve"> a spravodlivosť, ktoré sa musia riešiť včasným, jednotným a konzistentným uplatňovaním ustanovení aktu o digitálnych trhoch;</w:t>
      </w:r>
    </w:p>
    <w:p w:rsidR="00184446" w:rsidRPr="004F5FF1" w:rsidP="00184446" w14:paraId="7D30AE4A" w14:textId="77777777">
      <w:pPr>
        <w:pStyle w:val="NormalHanging12a"/>
      </w:pPr>
      <w:r w:rsidRPr="004F5FF1">
        <w:t>N.</w:t>
      </w:r>
      <w:r w:rsidRPr="004F5FF1">
        <w:tab/>
        <w:t xml:space="preserve">keďže rýchly vývoj generatívnych systémov umelej inteligencie a virtuálnych asistentov riadených umelou inteligenciou výrazne mení dynamiku hospodárskej súťaže, trhové štruktúry, hodnotové reťazce a prístup používateľov k digitálnym službám v celej EÚ, čo môže mať vplyv na </w:t>
      </w:r>
      <w:r w:rsidRPr="004F5FF1">
        <w:t>súťažeschopnosť</w:t>
      </w:r>
      <w:r w:rsidRPr="004F5FF1">
        <w:t xml:space="preserve"> a spravodlivosť na digitálnych trhoch;</w:t>
      </w:r>
    </w:p>
    <w:p w:rsidR="00184446" w:rsidRPr="004F5FF1" w:rsidP="00184446" w14:paraId="4F9B364E" w14:textId="77777777">
      <w:pPr>
        <w:pStyle w:val="NormalHanging12a"/>
      </w:pPr>
      <w:r w:rsidRPr="004F5FF1">
        <w:t>O.</w:t>
      </w:r>
      <w:r w:rsidRPr="004F5FF1">
        <w:tab/>
        <w:t>keďže akt o digitálnych trhoch obsahuje niekoľko ustanovení, ktoré sú relevantné na zabránenie tomu, aby strážcovia prístupu obmedzovali schopnosť nových vývojárov umelej inteligencie súťažiť a inovovať, vrátane povinností týkajúcich sa spravodlivého a nediskriminačného poradia, transparentnosti reklamných služieb a prístupu k údajom;</w:t>
      </w:r>
    </w:p>
    <w:p w:rsidR="00184446" w:rsidRPr="004F5FF1" w:rsidP="00184446" w14:paraId="107F3E0F" w14:textId="77777777">
      <w:pPr>
        <w:pStyle w:val="NormalHanging12a"/>
      </w:pPr>
      <w:r w:rsidRPr="004F5FF1">
        <w:t>P.</w:t>
      </w:r>
      <w:r w:rsidRPr="004F5FF1">
        <w:tab/>
        <w:t xml:space="preserve">keďže služby </w:t>
      </w:r>
      <w:r w:rsidRPr="004F5FF1">
        <w:t>cloud</w:t>
      </w:r>
      <w:r w:rsidRPr="004F5FF1">
        <w:t xml:space="preserve"> </w:t>
      </w:r>
      <w:r w:rsidRPr="004F5FF1">
        <w:t>computingu</w:t>
      </w:r>
      <w:r w:rsidRPr="004F5FF1">
        <w:t xml:space="preserve"> v niektorých prípadoch čoraz viac predstavujú kritickú vrstvu digitálnych ekosystémov vrátane vývoja, zavedenia a škálovania aplikácií umelej inteligencie; keďže vysoká úroveň koncentrácie, náklady na zmenu poskytovateľa, obmedzenia </w:t>
      </w:r>
      <w:r w:rsidRPr="004F5FF1">
        <w:t>interoperability</w:t>
      </w:r>
      <w:r w:rsidRPr="004F5FF1">
        <w:t xml:space="preserve"> a riziká závislosti v určitých segmentoch trhu s cloudovými službami môžu vyvolávať obavy podobné tým, ktorými sa zaoberá akt o digitálnych trhoch; keďže v novembri 2025 sa začalo vyšetrovanie s cieľom posúdiť, či by spoločnosti Amazon a Microsoft mali byť označené za strážcov prístupu svojich služieb </w:t>
      </w:r>
      <w:r w:rsidRPr="004F5FF1">
        <w:t>cloud</w:t>
      </w:r>
      <w:r w:rsidRPr="004F5FF1">
        <w:t xml:space="preserve"> </w:t>
      </w:r>
      <w:r w:rsidRPr="004F5FF1">
        <w:t>computingu</w:t>
      </w:r>
      <w:r w:rsidRPr="004F5FF1">
        <w:t xml:space="preserve"> Amazon Web </w:t>
      </w:r>
      <w:r w:rsidRPr="004F5FF1">
        <w:t>Services</w:t>
      </w:r>
      <w:r w:rsidRPr="004F5FF1">
        <w:t xml:space="preserve"> a Microsoft </w:t>
      </w:r>
      <w:r w:rsidRPr="004F5FF1">
        <w:t>Azure</w:t>
      </w:r>
      <w:r w:rsidRPr="004F5FF1">
        <w:t xml:space="preserve">, a keďže sa začalo ďalšie vyšetrovanie s cieľom posúdiť, či sú súčasné povinnosti vyplývajúce z aktu o digitálnych trhoch účinné pri riešení praktík, ktoré obmedzujú konkurencieschopnosť alebo sú nekalé v sektore </w:t>
      </w:r>
      <w:r w:rsidRPr="004F5FF1">
        <w:t>cloudu</w:t>
      </w:r>
      <w:r w:rsidRPr="004F5FF1">
        <w:t xml:space="preserve">; keďže doteraz neboli žiadni poskytovatelia služieb </w:t>
      </w:r>
      <w:r w:rsidRPr="004F5FF1">
        <w:t>cloud</w:t>
      </w:r>
      <w:r w:rsidRPr="004F5FF1">
        <w:t xml:space="preserve"> </w:t>
      </w:r>
      <w:r w:rsidRPr="004F5FF1">
        <w:t>computingu</w:t>
      </w:r>
      <w:r w:rsidRPr="004F5FF1">
        <w:t xml:space="preserve"> podľa nariadenia označení za strážcov prístupu;</w:t>
      </w:r>
    </w:p>
    <w:p w:rsidR="00184446" w:rsidRPr="004F5FF1" w:rsidP="00184446" w14:paraId="7C7C7241" w14:textId="77777777">
      <w:pPr>
        <w:pStyle w:val="NormalHanging12a"/>
      </w:pPr>
      <w:r w:rsidRPr="004F5FF1">
        <w:t>Q.</w:t>
      </w:r>
      <w:r w:rsidRPr="004F5FF1">
        <w:tab/>
        <w:t xml:space="preserve">keďže prístup k rozsiahlej výpočtovej kapacite, pokročilým modelom umelej inteligencie a dátovej a cloudovej infraštruktúre môže vytvoriť nové štrukturálne závislosti a účinky odkázanosti ekosystému na poskytovateľov, ktoré by mohli obmedziť </w:t>
      </w:r>
      <w:r w:rsidRPr="004F5FF1">
        <w:t>súťažeschopnosť</w:t>
      </w:r>
      <w:r w:rsidRPr="004F5FF1">
        <w:t>, ak sa nebudú riadne riešiť v regulačnom rámci EÚ;</w:t>
      </w:r>
    </w:p>
    <w:p w:rsidR="00184446" w:rsidRPr="004F5FF1" w:rsidP="00184446" w14:paraId="4D381947" w14:textId="77777777">
      <w:pPr>
        <w:pStyle w:val="NormalHanging12a"/>
      </w:pPr>
      <w:r w:rsidRPr="004F5FF1">
        <w:t>R.</w:t>
      </w:r>
      <w:r w:rsidRPr="004F5FF1">
        <w:tab/>
        <w:t>keďže na zabezpečenie účinného, nezávislého a včasného presadzovania aktu o digitálnych trhoch a na zachovanie jeho dôveryhodnosti a odrádzajúceho účinku sú nevyhnutné primerané inštitucionálne kapacity, technické znalosti a zdroje v rámci Komisie;</w:t>
      </w:r>
    </w:p>
    <w:p w:rsidR="00184446" w:rsidRPr="004F5FF1" w:rsidP="00184446" w14:paraId="7C2EA7C2" w14:textId="77777777">
      <w:pPr>
        <w:pStyle w:val="NormalHanging12a"/>
      </w:pPr>
      <w:r w:rsidRPr="004F5FF1">
        <w:t>S.</w:t>
      </w:r>
      <w:r w:rsidRPr="004F5FF1">
        <w:tab/>
        <w:t>keďže podľa aktu o digitálnych trhoch sa od Komisie vyžaduje, aby vykonávala pravidelné preskúmanie nariadenia, ktoré poskytne príležitosť posúdiť účinnosť presadzovania a jeho prínosy pre spotrebiteľov, identifikovať problémy pri vykonávaní a zabezpečiť, aby akt o digitálnych trhoch naďalej spĺňal svoj účel vzhľadom na technologický a trhový vývoj a vyvíjajúce sa formy ekosystémov založených na umelej inteligencii;</w:t>
      </w:r>
    </w:p>
    <w:p w:rsidR="00184446" w:rsidRPr="004F5FF1" w:rsidP="00184446" w14:paraId="24E6BE0E" w14:textId="77777777">
      <w:pPr>
        <w:pStyle w:val="NormalHanging12a"/>
      </w:pPr>
      <w:r w:rsidRPr="004F5FF1">
        <w:t>1.</w:t>
      </w:r>
      <w:r w:rsidRPr="004F5FF1">
        <w:tab/>
        <w:t>opätovne potvrdzuje, že účinné, včasné a dôsledné presadzovanie aktu o digitálnych trhoch, ako aj politická podpora Komisie sú nevyhnutné na zabezpečenie fungovania jednotného trhu a na zabezpečenie hmatateľných výhod pre spotrebiteľov, komerčných používateľov a inovátorov v celej EÚ;</w:t>
      </w:r>
    </w:p>
    <w:p w:rsidR="00184446" w:rsidRPr="004F5FF1" w:rsidP="00184446" w14:paraId="4315ED3C" w14:textId="77777777">
      <w:pPr>
        <w:pStyle w:val="NormalHanging12a"/>
      </w:pPr>
      <w:r w:rsidRPr="004F5FF1">
        <w:t>2.</w:t>
      </w:r>
      <w:r w:rsidRPr="004F5FF1">
        <w:tab/>
        <w:t>vyjadruje znepokojenie nad politickým tlakom tretích krajín, ktoré naliehajú na EÚ, aby prehodnotila alebo oslabila akt o digitálnych trhoch, a zdôrazňuje, že takéto vonkajšie zásahy nesmú ohroziť suverenitu EÚ a jej autonómiu pri definovaní a presadzovaní vlastných pravidiel; zdôrazňuje, že povinnosti aktu o digitálnych trhoch sa vzťahujú rovnako na všetkých označených strážcov prístupu poskytujúcich služby v EÚ bez ohľadu na ich sídlo alebo štátnu príslušnosť;</w:t>
      </w:r>
    </w:p>
    <w:p w:rsidR="00184446" w:rsidRPr="004F5FF1" w:rsidP="00184446" w14:paraId="3B3B01F2" w14:textId="77777777">
      <w:pPr>
        <w:pStyle w:val="NormalHanging12a"/>
      </w:pPr>
      <w:r w:rsidRPr="004F5FF1">
        <w:t>3.</w:t>
      </w:r>
      <w:r w:rsidRPr="004F5FF1">
        <w:tab/>
        <w:t>vyzýva Komisiu, aby v plnej miere a proaktívne využívala všetky nástroje na presadzovanie stanovené v akte o digitálnych trhoch, prieskumy trhu vrátane konaní o neplnení povinností, inšpekcie, predbežné opatrenia, pokuty a pravidelné platby penále s cieľom zabrániť obchádzaniu a zabezpečiť účinné dodržiavanie povinností;</w:t>
      </w:r>
    </w:p>
    <w:p w:rsidR="00184446" w:rsidRPr="004F5FF1" w:rsidP="00184446" w14:paraId="61C67103" w14:textId="77777777">
      <w:pPr>
        <w:pStyle w:val="NormalHanging12a"/>
      </w:pPr>
      <w:r w:rsidRPr="004F5FF1">
        <w:t>4.</w:t>
      </w:r>
      <w:r w:rsidRPr="004F5FF1">
        <w:tab/>
        <w:t xml:space="preserve">zdôrazňuje, že hoci si Komisia ponecháva výlučnú právomoc na presadzovanie aktu o digitálnych trhoch, účinné, včasné a konzistentné uplatňovanie nariadenia v celej EÚ si vyžaduje štruktúrovanú a úzku spoluprácu s vnútroštátnymi orgánmi pre hospodársku súťaž a inými príslušnými vnútroštátnymi verejnými orgánmi; zdôrazňuje, že v rámci </w:t>
      </w:r>
      <w:r w:rsidRPr="004F5FF1">
        <w:t>stanovenom v akte o digitálnych trhoch zohrávajú tieto orgány zásadnú podpornú úlohu, a to aj tým, že pomáhajú pri vyšetrovaniach a kontrolách, prispievajú k monitorovaniu trhu a uľahčujú výmenu informácií, čím posilňujú účinné a jednotné presadzovanie aktu o digitálnych trhoch a zabezpečujú spravodlivé a </w:t>
      </w:r>
      <w:r w:rsidRPr="004F5FF1">
        <w:t>súťažeschopné</w:t>
      </w:r>
      <w:r w:rsidRPr="004F5FF1">
        <w:t xml:space="preserve"> digitálne trhy v celej EÚ;</w:t>
      </w:r>
    </w:p>
    <w:p w:rsidR="00184446" w:rsidRPr="004F5FF1" w:rsidP="00184446" w14:paraId="14EA609A" w14:textId="77777777">
      <w:pPr>
        <w:pStyle w:val="NormalHanging12a"/>
      </w:pPr>
      <w:r w:rsidRPr="004F5FF1">
        <w:t>5.</w:t>
      </w:r>
      <w:r w:rsidRPr="004F5FF1">
        <w:tab/>
        <w:t xml:space="preserve">zdôrazňuje, že zabezpečenie otvorenosti trhu, a to aj prostredníctvom účinného uplatňovania aktu o digitálnych trhoch, je základným prvkom úspechu Stratégie využívania umelej inteligencie zameranej na podporu zavádzania umelej inteligencie a inovácií v celej Európe, keďže účinná </w:t>
      </w:r>
      <w:r w:rsidRPr="004F5FF1">
        <w:t>súťažeschopnosť</w:t>
      </w:r>
      <w:r w:rsidRPr="004F5FF1">
        <w:t xml:space="preserve"> na digitálnych trhoch je predpokladom otvoreného a spravodlivého európskeho ekosystému umelej inteligencie;</w:t>
      </w:r>
    </w:p>
    <w:p w:rsidR="00184446" w:rsidRPr="004F5FF1" w:rsidP="00184446" w14:paraId="7E88A59F" w14:textId="4F87C2FC">
      <w:pPr>
        <w:pStyle w:val="NormalHanging12a"/>
      </w:pPr>
      <w:r w:rsidRPr="004F5FF1">
        <w:t>6.</w:t>
      </w:r>
      <w:r w:rsidRPr="004F5FF1">
        <w:tab/>
        <w:t xml:space="preserve">vyzýva Komisiu, aby bez zbytočného odkladu ukončila konanie o neplnení povinností a zabezpečila včasné presadzovanie podľa aktu o digitálnych trhoch, najmä dodržiavaním záväzných aj orientačných lehôt, a aby riadne informovala </w:t>
      </w:r>
      <w:r w:rsidRPr="004F5FF1" w:rsidR="00E160B4">
        <w:t>Európsky p</w:t>
      </w:r>
      <w:r w:rsidRPr="004F5FF1">
        <w:t xml:space="preserve">arlament o pokroku v presadzovaní; zdôrazňuje, že je potrebná väčšia transparentnosť procesných krokov a časových harmonogramov, aby mohol </w:t>
      </w:r>
      <w:r w:rsidRPr="004F5FF1" w:rsidR="00E160B4">
        <w:t>Európsky p</w:t>
      </w:r>
      <w:r w:rsidRPr="004F5FF1">
        <w:t>arlament, a najmä pracovná skupina IMCO pre akt o digitálnych trhoch, vykonávať svoje kontrolné právomoci; vyzýva Komisiu, aby proaktívne a pravidelne informovala Európsky parlament o stave presadzovania aktu o digitálnych trhoch vrátane vývoja v regulačnom dialógu, o činnostiach a programe skupiny na vysokej úrovni, o príslušných štúdiách, ktoré zadala Komisia, a o všetkých ďalších informáciách, ktoré Európsky parlament potrebuje na výkon svojej funkcie dohľadu;</w:t>
      </w:r>
    </w:p>
    <w:p w:rsidR="00184446" w:rsidRPr="004F5FF1" w:rsidP="00184446" w14:paraId="5B46AF02" w14:textId="77777777">
      <w:pPr>
        <w:pStyle w:val="NormalHanging12a"/>
      </w:pPr>
      <w:r w:rsidRPr="004F5FF1">
        <w:t>7.</w:t>
      </w:r>
      <w:r w:rsidRPr="004F5FF1">
        <w:tab/>
        <w:t>vyzýva Komisiu, aby plne využívala skupinu na vysokej úrovni; zdôrazňuje význam účinnej koordinácie medzi regulačnými orgánmi vzhľadom na vysoký počet nových pravidiel a regulačných orgánov pôsobiacich na digitálnych trhoch;</w:t>
      </w:r>
    </w:p>
    <w:p w:rsidR="00184446" w:rsidRPr="004F5FF1" w:rsidP="00184446" w14:paraId="41B4CF72" w14:textId="77777777">
      <w:pPr>
        <w:pStyle w:val="NormalHanging12a"/>
      </w:pPr>
      <w:r w:rsidRPr="004F5FF1">
        <w:t>8.</w:t>
      </w:r>
      <w:r w:rsidRPr="004F5FF1">
        <w:tab/>
        <w:t>zdôrazňuje, že súlad s aktom o digitálnych trhoch sa musí posudzovať na základe jeho praktických a reálnych účinkov na otvorenosť trhu, hospodársku súťaž, inovácie a možnosť výberu pre používateľov, čím sa zabezpečí právna istota, predvídateľnosť a rovnaké zaobchádzanie;</w:t>
      </w:r>
    </w:p>
    <w:p w:rsidR="00184446" w:rsidRPr="004F5FF1" w:rsidP="00184446" w14:paraId="50871B95" w14:textId="77777777">
      <w:pPr>
        <w:pStyle w:val="NormalHanging12a"/>
      </w:pPr>
      <w:r w:rsidRPr="004F5FF1">
        <w:t>9.</w:t>
      </w:r>
      <w:r w:rsidRPr="004F5FF1">
        <w:tab/>
        <w:t xml:space="preserve">vyzýva Komisiu, aby riešila informačnú asymetriu posilnením mechanizmov umožňujúcich komerčným a koncovým používateľom účinne uplatňovať svoje práva podľa aktu o digitálnych trhoch vrátane práv týkajúcich sa výberu, prístupu k údajom, </w:t>
      </w:r>
      <w:r w:rsidRPr="004F5FF1">
        <w:t>interoperability</w:t>
      </w:r>
      <w:r w:rsidRPr="004F5FF1">
        <w:t>, nediskriminácie a slobody pred odvetnými opatreniami prostredníctvom prístupných a bezpečných kanálov na podávanie správ a sťažností, záruk proti odvetným opatreniam a lepšej informovanosti o právach a nápravných opatreniach stanovených v akte o digitálnych trhoch, pričom uznáva, že účinnosť aktu o digitálnych trhoch závisí od posilnenia postavenia koncových používateľov;</w:t>
      </w:r>
    </w:p>
    <w:p w:rsidR="00184446" w:rsidRPr="004F5FF1" w:rsidP="00184446" w14:paraId="6A3A14CB" w14:textId="77777777">
      <w:pPr>
        <w:pStyle w:val="NormalHanging12a"/>
      </w:pPr>
      <w:r w:rsidRPr="004F5FF1">
        <w:t>10.</w:t>
      </w:r>
      <w:r w:rsidRPr="004F5FF1">
        <w:tab/>
        <w:t xml:space="preserve">naliehavo vyzýva Komisiu, aby uprednostnila dôsledné presadzovanie povinností v oblasti </w:t>
      </w:r>
      <w:r w:rsidRPr="004F5FF1">
        <w:t>interoperability</w:t>
      </w:r>
      <w:r w:rsidRPr="004F5FF1">
        <w:t>, prístupu k údajom, prenosnosti údajov, boja proti navigovaniu a </w:t>
      </w:r>
      <w:r w:rsidRPr="004F5FF1">
        <w:t>sebauprednostňovaniu</w:t>
      </w:r>
      <w:r w:rsidRPr="004F5FF1">
        <w:t xml:space="preserve">, a to aj v prípadoch, keď na základe predvolených nastavení, technickej integrácie alebo návrhu ekosystémov platforiem dochádza k narušeniu hospodárskej súťaže; vyzýva Komisiu, aby pri stanovovaní priorít v oblasti presadzovania práva náležite zohľadnila príslušný vývoj na trhu a vzájomné pôsobenie </w:t>
      </w:r>
      <w:r w:rsidRPr="004F5FF1">
        <w:t>platných nástrojov EÚ vrátane aktu o údajoch</w:t>
      </w:r>
      <w:r>
        <w:rPr>
          <w:rStyle w:val="FootnoteReference"/>
        </w:rPr>
        <w:footnoteReference w:id="13"/>
      </w:r>
      <w:r w:rsidRPr="004F5FF1">
        <w:t>; konštatuje, že v niektorých prípadoch môže byť účinné vykonávanie a presadzovanie aktu o digitálnych trhoch ovplyvnené interakciami strážcov prístupu s konkurentmi a obchodnými partnermi, najmä v situáciách, keď boli vyjadrené obavy v súvislosti so spravodlivosťou obchodných postupov;</w:t>
      </w:r>
    </w:p>
    <w:p w:rsidR="00184446" w:rsidRPr="004F5FF1" w:rsidP="00184446" w14:paraId="513C9EA4" w14:textId="77777777">
      <w:pPr>
        <w:pStyle w:val="NormalHanging12a"/>
      </w:pPr>
      <w:r w:rsidRPr="004F5FF1">
        <w:t>11.</w:t>
      </w:r>
      <w:r w:rsidRPr="004F5FF1">
        <w:tab/>
        <w:t xml:space="preserve">vyzýva Komisiu, aby pokračovala v práci na umožnení </w:t>
      </w:r>
      <w:r w:rsidRPr="004F5FF1">
        <w:t>interoperability</w:t>
      </w:r>
      <w:r w:rsidRPr="004F5FF1">
        <w:t xml:space="preserve"> služieb zasielania správ s menšími aplikáciami tretích strán na zasielanie správ na požiadanie, čo umožní používateľom vymieňať si text, súbory a hlasové správy/</w:t>
      </w:r>
      <w:r w:rsidRPr="004F5FF1">
        <w:t>videohovory</w:t>
      </w:r>
      <w:r w:rsidRPr="004F5FF1">
        <w:t xml:space="preserve"> na rôznych platformách pri zachovaní šifrovania medzi koncovými bodmi;</w:t>
      </w:r>
    </w:p>
    <w:p w:rsidR="00184446" w:rsidRPr="004F5FF1" w:rsidP="00184446" w14:paraId="1D9ECCD3" w14:textId="77777777">
      <w:pPr>
        <w:pStyle w:val="NormalHanging12a"/>
      </w:pPr>
      <w:r w:rsidRPr="004F5FF1">
        <w:t>12.</w:t>
      </w:r>
      <w:r w:rsidRPr="004F5FF1">
        <w:tab/>
        <w:t xml:space="preserve">vyjadruje vážne znepokojenie nad pretrvávajúcimi praktikami </w:t>
      </w:r>
      <w:r w:rsidRPr="004F5FF1">
        <w:t>sebauprednostňovania</w:t>
      </w:r>
      <w:r w:rsidRPr="004F5FF1">
        <w:t xml:space="preserve"> spoločnosti Google v jej vyhľadávacích, nákupných, cestovných službách a </w:t>
      </w:r>
      <w:r w:rsidRPr="004F5FF1">
        <w:t>videoslužbách</w:t>
      </w:r>
      <w:r w:rsidRPr="004F5FF1">
        <w:t xml:space="preserve">, ktoré naďalej narúšajú hospodársku súťaž a obmedzujú výber spotrebiteľov; konštatuje, že reklamy s ponukou produktov sú aj naďalej umiestnené na popredných miestach vo výsledkoch vyhľadávania, čím sa zachováva model dominancie a nedostatok transparentnosti, ktorý je v rozpore so zámerom aktu o digitálnych trhoch; pripomína, že predbežné zistenia podľa článku 6 ods. 5 aktu o digitálnych trhoch naznačujú, že spoločnosť Google využíva vizuálne výhody a prednostné umiestnenie na uprednostňovanie svojich vlastných služieb vrátane služieb Google pre nákupy, letenky a hotely, čím obmedzuje spravodlivý prístup pre konkurentov a posilňuje svoj vplyv na trhu; pripomína, že nedávne konania na vnútroštátnych súdoch potvrdili, že praktiky </w:t>
      </w:r>
      <w:r w:rsidRPr="004F5FF1">
        <w:t>sebauprednostňovania</w:t>
      </w:r>
      <w:r w:rsidRPr="004F5FF1">
        <w:t xml:space="preserve"> spoločnosti Google vo vyhľadávacích službách poškodzovali konkurenčné porovnávacie platformy, o čom svedčí rozsudok z roku 2025 vo veci </w:t>
      </w:r>
      <w:r w:rsidRPr="004F5FF1">
        <w:rPr>
          <w:i/>
        </w:rPr>
        <w:t>Idealo</w:t>
      </w:r>
      <w:r w:rsidRPr="004F5FF1">
        <w:t>/</w:t>
      </w:r>
      <w:r w:rsidRPr="004F5FF1">
        <w:rPr>
          <w:i/>
        </w:rPr>
        <w:t>Google</w:t>
      </w:r>
      <w:r w:rsidRPr="004F5FF1">
        <w:t>, ktorý bol vyhlásený na Krajinskom súde v Berlíne; zdôrazňuje, že snahy strážcov prístupu zachovať alebo predĺžiť nedodržiavanie aktu o digitálnych trhoch ich môžu následne vystaviť značnej finančnej zodpovednosti prostredníctvom následných žalôb o náhradu škody;</w:t>
      </w:r>
    </w:p>
    <w:p w:rsidR="00184446" w:rsidRPr="004F5FF1" w:rsidP="00184446" w14:paraId="70248CEC" w14:textId="77777777">
      <w:pPr>
        <w:pStyle w:val="NormalHanging12a"/>
      </w:pPr>
      <w:r w:rsidRPr="004F5FF1">
        <w:t>13.</w:t>
      </w:r>
      <w:r w:rsidRPr="004F5FF1">
        <w:tab/>
        <w:t xml:space="preserve">zdôrazňuje, že integrácia umelej inteligencie do procesov vyhľadávania a objavovania spoločnosti Google jej čoraz viac umožňuje kontrolovať celú cestu spotrebiteľa, a to od vyhľadávania a odporúčaní až po zámer nakúpiť, čo ešte viac </w:t>
      </w:r>
      <w:r w:rsidRPr="004F5FF1">
        <w:t>marginalizuje</w:t>
      </w:r>
      <w:r w:rsidRPr="004F5FF1">
        <w:t xml:space="preserve"> konkurenčné služby a znižuje schopnosť spotrebiteľov nezávisle sa rozhodovať; zdôrazňuje, že táto dynamika predstavuje riziko, že sa nezávislí obchodníci premenia na obyčajné distribučné kanály pre spoločnosť Google, čo pripomína predchádzajúce pokusy o ovládnutie obchodu, ktoré boli predtým obmedzené, a že bez jasných záruk v rámci aktu o digitálnych trhoch sa tieto praktiky môžu ešte viac zakoreniť;</w:t>
      </w:r>
    </w:p>
    <w:p w:rsidR="00184446" w:rsidRPr="004F5FF1" w:rsidP="00184446" w14:paraId="453F2482" w14:textId="77777777">
      <w:pPr>
        <w:pStyle w:val="NormalHanging12a"/>
      </w:pPr>
      <w:r w:rsidRPr="004F5FF1">
        <w:t>14.</w:t>
      </w:r>
      <w:r w:rsidRPr="004F5FF1">
        <w:tab/>
        <w:t xml:space="preserve">berie na vedomie vznik alternatívnych trhov s aplikáciami pre systém </w:t>
      </w:r>
      <w:r w:rsidRPr="004F5FF1">
        <w:t>iOS</w:t>
      </w:r>
      <w:r w:rsidRPr="004F5FF1">
        <w:t xml:space="preserve"> na jednotnom trhu, ale vyjadruje obavy, že ich praktická životaschopnosť a škálovateľnosť zostávajú obmedzené v dôsledku koncepcie cesty používateľa a obmedzujúcich ekonomických a zmluvných podmienok; zdôrazňuje, že strážcovia prístupu reštrukturalizujú svoje poplatky tak, že vývojári sú na tom horšie ako pred zavedením aktu o digitálnych trhoch; vyzýva Komisiu, aby posúdila, či sú podmienky prístupu spoločnosti Apple spravodlivé a nediskriminačné, ako sa vyžaduje v článku 6 ods. 12 aktu o digitálnych </w:t>
      </w:r>
      <w:r w:rsidRPr="004F5FF1">
        <w:t>trhoch;</w:t>
      </w:r>
    </w:p>
    <w:p w:rsidR="00F930D7" w:rsidRPr="004F5FF1" w:rsidP="00184446" w14:paraId="0821DFED" w14:textId="032E9053">
      <w:pPr>
        <w:pStyle w:val="NormalHanging12a"/>
        <w:rPr>
          <w:bCs/>
          <w:iCs/>
        </w:rPr>
      </w:pPr>
      <w:r w:rsidRPr="004F5FF1">
        <w:rPr>
          <w:bCs/>
          <w:iCs/>
        </w:rPr>
        <w:t>15</w:t>
      </w:r>
      <w:r w:rsidRPr="004F5FF1">
        <w:rPr>
          <w:bCs/>
          <w:iCs/>
        </w:rPr>
        <w:t>.</w:t>
      </w:r>
      <w:r w:rsidRPr="004F5FF1">
        <w:rPr>
          <w:bCs/>
          <w:iCs/>
        </w:rPr>
        <w:tab/>
        <w:t>konštatuje, že niektorí strážcovia prístupu, ako to nedávno oznámila napríklad aj spoločnosť Google, sa pri ukladaní požiadaviek na registráciu a identifikáciu vývojárom aplikácií odvolávajú na bezpečnosť a kybernetickú bezpečnosť, čím obmedzujú účinný prístup k alternatívnym distribučným kanálom aplikácií spôsobom, ktorý môže byť v rozpore s článkom 6 ods. 4 aktu o digitálnych trhoch; vyzýva preto Komisiu, aby preskúmala, či sú uvedené opatrenia súvisiace s bezpečnosťou nevyhnutne potrebné a primerané, a zabezpečila, že sa nebudú používať ako zámienka na obchádzanie cieľa aktu o digitálnych trhoch, ktorým je umožniť tretím stranám skutočný prístup k softvéru, zabezpečiť spravodlivé, primerané a nediskriminačné podmienky prístupu a zároveň zachovať schopnosť vývojárov nasmerovať používateľov k alternatívnym distribučným kanálom;</w:t>
      </w:r>
    </w:p>
    <w:p w:rsidR="00184446" w:rsidRPr="004F5FF1" w:rsidP="00184446" w14:paraId="226862EC" w14:textId="2C63604C">
      <w:pPr>
        <w:pStyle w:val="NormalHanging12a"/>
      </w:pPr>
      <w:r w:rsidRPr="004F5FF1">
        <w:t>16</w:t>
      </w:r>
      <w:r w:rsidRPr="004F5FF1">
        <w:t>.</w:t>
      </w:r>
      <w:r w:rsidRPr="004F5FF1">
        <w:tab/>
        <w:t xml:space="preserve">pripomína, že podľa článku 5 ods. 4 aktu o digitálnych trhoch by mali mať komerční používatelia možnosť bezplatne informovať koncových používateľov o alternatívnych ponukách, navigovať ich na tieto ponuky a uzavrieť zmluvy; konštatuje, že v odôvodnení 40 aktu o digitálnych trhoch sa uznáva možnosť odmeny za uľahčenie prvotného získania koncového používateľa, pričom sa zdôrazňuje, že každá takáto odmena musí byť prísne obmedzená na prvotné získanie, musí byť primeraná a úmerná a nesmie narúšať navigovanie v praxi; vyzýva Komisiu, aby zabezpečila, že prepracované podmienky spoločnosti Apple budú prísne posúdené na základe požiadavky aktu o digitálnych trhoch pre všetky poplatky spojené s navigovaním a že všetky snahy o obchádzanie budú dôkladne preskúmané a v prípade potreby sankcionované bez toho, aby sa čakalo na výsledok prebiehajúceho súdneho procesu v USA vo veci </w:t>
      </w:r>
      <w:r w:rsidRPr="004F5FF1">
        <w:rPr>
          <w:i/>
        </w:rPr>
        <w:t>Epic</w:t>
      </w:r>
      <w:r w:rsidRPr="004F5FF1">
        <w:rPr>
          <w:i/>
        </w:rPr>
        <w:t xml:space="preserve"> </w:t>
      </w:r>
      <w:r w:rsidRPr="004F5FF1">
        <w:rPr>
          <w:i/>
        </w:rPr>
        <w:t>Games</w:t>
      </w:r>
      <w:r w:rsidRPr="004F5FF1">
        <w:t>/</w:t>
      </w:r>
      <w:r w:rsidRPr="004F5FF1">
        <w:rPr>
          <w:i/>
        </w:rPr>
        <w:t>Apple</w:t>
      </w:r>
      <w:r w:rsidRPr="004F5FF1">
        <w:t>; zdôrazňuje, že presadzovanie práva EÚ by sa malo vykonávať nezávisle od súdnych sporov v tretích krajinách;</w:t>
      </w:r>
    </w:p>
    <w:p w:rsidR="00184446" w:rsidRPr="004F5FF1" w:rsidP="00184446" w14:paraId="19A7CD74" w14:textId="7B721A86">
      <w:pPr>
        <w:pStyle w:val="NormalHanging12a"/>
      </w:pPr>
      <w:r w:rsidRPr="004F5FF1">
        <w:t>17</w:t>
      </w:r>
      <w:r w:rsidRPr="004F5FF1">
        <w:t>.</w:t>
      </w:r>
      <w:r w:rsidRPr="004F5FF1">
        <w:tab/>
        <w:t xml:space="preserve">vyjadruje znepokojenie v súvislosti s platformou </w:t>
      </w:r>
      <w:r w:rsidRPr="004F5FF1">
        <w:t>TikTok</w:t>
      </w:r>
      <w:r w:rsidRPr="004F5FF1">
        <w:t xml:space="preserve">, ktorú prevádzkuje spoločnosť </w:t>
      </w:r>
      <w:r w:rsidRPr="004F5FF1">
        <w:t>ByteDance</w:t>
      </w:r>
      <w:r w:rsidRPr="004F5FF1">
        <w:t xml:space="preserve">, a obrazovkami na vyjadrenie súhlasu, ktoré sú na tejto platforme umiestnené a ktoré sa pri získavaní súhlasu používateľov vo veľkej miere spoliehajú na behaviorálne techniky; konštatuje, že takéto postupy môžu narušiť zásady informovaného a slobodne udeleného súhlasu a mohli by predstavovať porušenie článku 5 ods. 2 aktu o digitálnych trhoch; zdôrazňuje, že mechanizmy súhlasu musia byť transparentné, užívateľsky prívetivé a skutočne dobrovoľné, bez manipulatívneho dizajnu alebo psychologického nátlaku; vyzýva Komisiu, aby pozorne sledovala postupy platformy </w:t>
      </w:r>
      <w:r w:rsidRPr="004F5FF1">
        <w:t>TikTok</w:t>
      </w:r>
      <w:r w:rsidRPr="004F5FF1">
        <w:t xml:space="preserve"> v oblasti udeľovania súhlasu a zabezpečila, aby boli všetky mechanizmy, ktoré nie sú v súlade s predpismi, okamžite opravené s cieľom zachovať autonómiu používateľov a digitálne práva;</w:t>
      </w:r>
    </w:p>
    <w:p w:rsidR="00184446" w:rsidRPr="004F5FF1" w:rsidP="00184446" w14:paraId="5581AD30" w14:textId="6370927E">
      <w:pPr>
        <w:pStyle w:val="NormalHanging12a"/>
      </w:pPr>
      <w:r w:rsidRPr="004F5FF1">
        <w:t>18</w:t>
      </w:r>
      <w:r w:rsidRPr="004F5FF1">
        <w:t>.</w:t>
      </w:r>
      <w:r w:rsidRPr="004F5FF1">
        <w:tab/>
        <w:t xml:space="preserve">konštatuje, že je dôležité, aby spoločnosť Microsoft účinne dodržiavala článok 6 ods. 3 aktu o digitálnych trhoch, najmä pokiaľ ide o povinnosť technicky umožniť koncovým používateľom jednoducho zmeniť štandardné nastavenia operačného systému Windows pre osobné počítače a prístup ku konkurenčným službám bez zbytočných prekážok; konštatuje, že integrácia služby Bing ako predvoleného poskytovateľa výsledkov online vyhľadávania do hlavného panela systému Windows a ťažkosti s prechodom môžu používateľov neprimerane navigovať k vlastným službám spoločnosti Microsoft a obmedziť ich skutočný výber; pripomína, že spoločnosť Microsoft predložila Komisii opatrenia na zabezpečenie plnenia povinností, ale vyjadruje obavy o ich praktické účinky vrátane možných prekážok účinnej </w:t>
      </w:r>
      <w:r w:rsidRPr="004F5FF1">
        <w:t>interoperability</w:t>
      </w:r>
      <w:r w:rsidRPr="004F5FF1">
        <w:t xml:space="preserve"> v rámci ekosystému Windows; pripomína, že Komisia by mala tieto opatrenia naďalej pozorne posudzovať, </w:t>
      </w:r>
      <w:r w:rsidRPr="004F5FF1">
        <w:t>aby sa zabezpečil účinný výber pre používateľov a spravodlivé a </w:t>
      </w:r>
      <w:r w:rsidRPr="004F5FF1">
        <w:t>súťažeschopné</w:t>
      </w:r>
      <w:r w:rsidRPr="004F5FF1">
        <w:t xml:space="preserve"> prostredie pre poskytovateľov tretích strán v praxi, najmä v prípadoch, keď obmedzené alebo pomalé umožnenie aplikačných programovacích rozhraní (API) pre služby iných výrobcov ako spoločnosti Microsoft môže brániť vývojárom tretích strán poskytovať koncovým používateľom porovnateľnú rovnocennú skúsenosť;</w:t>
      </w:r>
    </w:p>
    <w:p w:rsidR="00184446" w:rsidRPr="004F5FF1" w:rsidP="00184446" w14:paraId="6ADDE04E" w14:textId="70B0E9E0">
      <w:pPr>
        <w:pStyle w:val="NormalHanging12a"/>
      </w:pPr>
      <w:r w:rsidRPr="004F5FF1">
        <w:t>19</w:t>
      </w:r>
      <w:r w:rsidRPr="004F5FF1">
        <w:t>.</w:t>
      </w:r>
      <w:r w:rsidRPr="004F5FF1">
        <w:tab/>
        <w:t xml:space="preserve">so znepokojením berie na vedomie správy od rôznych zainteresovaných strán v odvetví cestovného ruchu o pretrvávajúcich vysokých sadzbách provízií a o pokračujúcom používaní týchto postupov spoločnosťou Booking.com, ktoré sa javia ako rovnocenné so zakázanými doložkami o cenovej parite, vrátane výkonnostných programov pre hotely založených na netransparentných kritériách a pretrvávajúcich ťažkostiach pri odmietnutí sponzorovaných platobných systémov spoločnosti Booking.com; pripomína, že vnútroštátne orgány na ochranu hospodárskej súťaže vrátane orgánov vo Francúzsku a Španielsku uložili spoločnosti Booking.com sankcie v súvislosti s doložkami o cenovej parite; vyzýva Komisiu, aby zhodnotila súčasnú úroveň </w:t>
      </w:r>
      <w:r w:rsidRPr="004F5FF1">
        <w:t>súťažeschopnosti</w:t>
      </w:r>
      <w:r w:rsidRPr="004F5FF1">
        <w:t xml:space="preserve"> v online sektore cestovného ruchu po tom, ako bola spoločnosť Booking.com označená za strážcu prístupu, a aby v súlade s tým prijala rozhodné opatrenia;</w:t>
      </w:r>
    </w:p>
    <w:p w:rsidR="00184446" w:rsidRPr="004F5FF1" w:rsidP="00184446" w14:paraId="5CF2F051" w14:textId="4E092B1D">
      <w:pPr>
        <w:pStyle w:val="NormalHanging12a"/>
      </w:pPr>
      <w:r w:rsidRPr="004F5FF1">
        <w:t>20</w:t>
      </w:r>
      <w:r w:rsidRPr="004F5FF1">
        <w:t>.</w:t>
      </w:r>
      <w:r w:rsidRPr="004F5FF1">
        <w:tab/>
        <w:t xml:space="preserve">berie na vedomie, že spoločnosť </w:t>
      </w:r>
      <w:r w:rsidRPr="004F5FF1">
        <w:t>Meta</w:t>
      </w:r>
      <w:r w:rsidRPr="004F5FF1">
        <w:t xml:space="preserve"> zaviedla svoju novú tretiu možnosť „platba alebo súhlas“ obmedzujúcu </w:t>
      </w:r>
      <w:r w:rsidRPr="004F5FF1">
        <w:t>personalizovanú</w:t>
      </w:r>
      <w:r w:rsidRPr="004F5FF1">
        <w:t xml:space="preserve"> reklamu, ktorá bola spustená v júli 2025 po pokute udelenej Komisiou v apríli 2025; vyzýva Komisiu, aby zabezpečila, že spoločnosť </w:t>
      </w:r>
      <w:r w:rsidRPr="004F5FF1">
        <w:t>Meta</w:t>
      </w:r>
      <w:r w:rsidRPr="004F5FF1">
        <w:t xml:space="preserve"> už bude používateľom skutočne poskytovať neutrálnu voľbu, že prístup tretích strán k službám spoločnosti </w:t>
      </w:r>
      <w:r w:rsidRPr="004F5FF1">
        <w:t>Meta</w:t>
      </w:r>
      <w:r w:rsidRPr="004F5FF1">
        <w:t xml:space="preserve"> bude spravodlivý a bez prekážok a že akékoľvek obchádzanie požiadaviek aktu o digitálnych trhoch bude prísne kontrolované a v prípade potreby sankcionované;</w:t>
      </w:r>
    </w:p>
    <w:p w:rsidR="00184446" w:rsidRPr="004F5FF1" w:rsidP="00184446" w14:paraId="6EFA477D" w14:textId="50C7D160">
      <w:pPr>
        <w:pStyle w:val="NormalHanging12a"/>
      </w:pPr>
      <w:r w:rsidRPr="004F5FF1">
        <w:t>21</w:t>
      </w:r>
      <w:r w:rsidRPr="004F5FF1">
        <w:t>.</w:t>
      </w:r>
      <w:r w:rsidRPr="004F5FF1">
        <w:tab/>
        <w:t>vyjadruje obavy, že praktiky v hybridných televíziách kopírujú nekonkurenčné praktiky, ktoré predtým uplatňovala spoločnosť Android v smartfónoch; zdôrazňuje, že prístup k audiovizuálnym mediálnym službám v hybridných televíziách nesmie byť pod kontrolou malého počtu veľkých technologických spoločností a že otvorený, spravodlivý a </w:t>
      </w:r>
      <w:r w:rsidRPr="004F5FF1">
        <w:t>súťažeschopný</w:t>
      </w:r>
      <w:r w:rsidRPr="004F5FF1">
        <w:t xml:space="preserve"> trh je nevyhnutný pre pluralitné a rozmanité mediálne prostredie; zdôrazňuje, že pokiaľ ide o operačné systémy pre hybridné televízie, hlavní poskytovatelia takýchto operačných systémov kontrolujú prístup k viacstranným trhom so sledovanosťou, reklamou a údajmi; poznamenáva, že podobná kontrola prístupových bodov používateľov zo strany strážcu prístupu môže vzniknúť aj v iných pripojených prostrediach, kde operačné systémy alebo virtuálni asistenti sprostredkúvajú prístup k službám, vrátane informačno-zábavných systémov vo vozidlách; vyzýva Komisiu, aby tento segment trhu pozorne sledovala a v prípade potreby prijala vhodné opatrenia;</w:t>
      </w:r>
    </w:p>
    <w:p w:rsidR="00184446" w:rsidRPr="004F5FF1" w:rsidP="00184446" w14:paraId="12956E1D" w14:textId="1CB8218D">
      <w:pPr>
        <w:pStyle w:val="NormalHanging12a"/>
      </w:pPr>
      <w:r w:rsidRPr="004F5FF1">
        <w:t>22</w:t>
      </w:r>
      <w:r w:rsidRPr="004F5FF1">
        <w:t>.</w:t>
      </w:r>
      <w:r w:rsidRPr="004F5FF1">
        <w:tab/>
        <w:t>zdôrazňuje dôležitú úlohu koncových používateľov pri dosahovaní cieľov aktu o digitálnych trhoch a zdôrazňuje, že je dôležité zabezpečiť, aby používateľské rozhrania, mechanizmy súhlasu a štruktúry výberu boli neutrálne, ľahko použiteľné, zrozumiteľné a </w:t>
      </w:r>
      <w:r w:rsidRPr="004F5FF1">
        <w:t>nemanipulatívne</w:t>
      </w:r>
      <w:r w:rsidRPr="004F5FF1">
        <w:t>, aby používatelia mohli účinne a bez zbytočných prekážok uplatňovať svoje práva;</w:t>
      </w:r>
    </w:p>
    <w:p w:rsidR="00184446" w:rsidRPr="004F5FF1" w:rsidP="00184446" w14:paraId="09AE1100" w14:textId="5EEBD13F">
      <w:pPr>
        <w:pStyle w:val="NormalHanging12a"/>
      </w:pPr>
      <w:r w:rsidRPr="004F5FF1">
        <w:t>23</w:t>
      </w:r>
      <w:r w:rsidRPr="004F5FF1">
        <w:t>.</w:t>
      </w:r>
      <w:r w:rsidRPr="004F5FF1">
        <w:tab/>
        <w:t xml:space="preserve">vyzýva Komisiu, aby zabezpečila konzistentné a nadčasové uplatňovanie aktu o digitálnych trhoch na technologický vývoj včasným riešením služieb založených na umelej inteligencii a cloudovej infraštruktúry s cieľom zabrániť novým formám odkázanosti na poskytovateľov, uzavretia trhu alebo praktikám stráženia prístupu vrátane prípadov, keď strážcovia prístupu využívajú kontrolu nad údajmi, výpočtovými zdrojmi alebo integrovanými službami na úkor nových vývojárov umelej inteligencie </w:t>
      </w:r>
      <w:r w:rsidRPr="004F5FF1">
        <w:t>a inovatívnych účastníkov trhu;</w:t>
      </w:r>
    </w:p>
    <w:p w:rsidR="00184446" w:rsidRPr="004F5FF1" w:rsidP="00184446" w14:paraId="75CEE4E5" w14:textId="17C7527A">
      <w:pPr>
        <w:pStyle w:val="NormalHanging12a"/>
      </w:pPr>
      <w:r w:rsidRPr="004F5FF1">
        <w:t>24</w:t>
      </w:r>
      <w:r w:rsidRPr="004F5FF1">
        <w:t>.</w:t>
      </w:r>
      <w:r w:rsidRPr="004F5FF1">
        <w:tab/>
        <w:t>vyzýva Komisiu, aby zabezpečila komplementárnosť, súdržnosť a právnu istotu medzi aktom o digitálnych trhoch, aktom o údajoch a aktom o umelej inteligencii</w:t>
      </w:r>
      <w:r>
        <w:rPr>
          <w:rStyle w:val="FootnoteReference"/>
        </w:rPr>
        <w:footnoteReference w:id="14"/>
      </w:r>
      <w:r w:rsidRPr="004F5FF1">
        <w:t>, a to aj prostredníctvom koordinovaných usmernení a vykonávania;</w:t>
      </w:r>
    </w:p>
    <w:p w:rsidR="00184446" w:rsidRPr="004F5FF1" w:rsidP="00184446" w14:paraId="1D30125D" w14:textId="0ECCFA9E">
      <w:pPr>
        <w:pStyle w:val="NormalHanging12a"/>
      </w:pPr>
      <w:r w:rsidRPr="004F5FF1">
        <w:t>25</w:t>
      </w:r>
      <w:r w:rsidRPr="004F5FF1">
        <w:t>.</w:t>
      </w:r>
      <w:r w:rsidRPr="004F5FF1">
        <w:tab/>
        <w:t>víta prvé rozhodnutia Komisie o neplnení povinností v rámci aktu o digitálnych trhoch ako dôležitý krok k zabezpečeniu účinného presadzovania, ale vyjadruje poľutovanie nad tým, že tieto rozhodnutia majú naďalej obmedzený rozsah pôsobnosti a zatiaľ sa nezaoberajú celou škálou problematických praktík strážcov prístupu, ktoré identifikovali komerční používatelia a iné zainteresované strany; ďalej vyjadruje poľutovanie nad tým, že uložené pokuty sú relatívne nízke v porovnaní s rozsahom porušení a hospodárskou silou označených strážcov prístupu, čo nemusí mať dostatočný odrádzajúci účinok a odrážať ambície nariadenia; zdôrazňuje, že celkový rámec presadzovania by mal zabezpečiť, aby očakávané náklady na neplnenie povinností vrátane pokút a pravidelných platieb penále od začiatku systematicky prevyšovali náklady na plnenie povinností, aby sa zabránilo strategickému odkladu a zabezpečilo skutočné odrádzanie;</w:t>
      </w:r>
    </w:p>
    <w:p w:rsidR="00184446" w:rsidRPr="004F5FF1" w:rsidP="00184446" w14:paraId="583D4649" w14:textId="68B74528">
      <w:pPr>
        <w:pStyle w:val="NormalHanging12a"/>
      </w:pPr>
      <w:r w:rsidRPr="004F5FF1">
        <w:t>26</w:t>
      </w:r>
      <w:r w:rsidRPr="004F5FF1">
        <w:t>.</w:t>
      </w:r>
      <w:r w:rsidRPr="004F5FF1">
        <w:tab/>
        <w:t xml:space="preserve">vyzýva Komisiu, aby vzhľadom na rastúci strategický význam služieb </w:t>
      </w:r>
      <w:r w:rsidRPr="004F5FF1">
        <w:t>cloud</w:t>
      </w:r>
      <w:r w:rsidRPr="004F5FF1">
        <w:t xml:space="preserve"> </w:t>
      </w:r>
      <w:r w:rsidRPr="004F5FF1">
        <w:t>computingu</w:t>
      </w:r>
      <w:r w:rsidRPr="004F5FF1">
        <w:t xml:space="preserve"> a ich úlohu v digitálnych ekosystémoch a ekosystémoch umelej inteligencie dôkladne posúdila, či poskytovatelia takýchto služieb spĺňajú kritériá na ich označenie za strážcov prístupu podľa aktu o digitálnych trhoch, a to aj prostredníctvom prieskumu trhu; vyzýva Komisiu, aby pri vykonávaní prieskumov trhu a posudzovaní možných označení v oblasti </w:t>
      </w:r>
      <w:r w:rsidRPr="004F5FF1">
        <w:t>cloud</w:t>
      </w:r>
      <w:r w:rsidRPr="004F5FF1">
        <w:t xml:space="preserve"> </w:t>
      </w:r>
      <w:r w:rsidRPr="004F5FF1">
        <w:t>computingu</w:t>
      </w:r>
      <w:r w:rsidRPr="004F5FF1">
        <w:t xml:space="preserve"> uplatňovala kritériá aktu o digitálnych trhoch konzistentným a transparentným spôsobom založeným na dôkazoch u všetkých poskytovateľov, ak je to odôvodnené ukazovateľmi trhu, s cieľom zabrániť narušeniu hospodárskej súťaže a zachovať inovácie; víta nedávne vyšetrovania Komisie týkajúce sa poskytovateľov cloudových služieb, ako sú Amazon Web </w:t>
      </w:r>
      <w:r w:rsidRPr="004F5FF1">
        <w:t>Services</w:t>
      </w:r>
      <w:r w:rsidRPr="004F5FF1">
        <w:t xml:space="preserve"> a Microsoft </w:t>
      </w:r>
      <w:r w:rsidRPr="004F5FF1">
        <w:t>Azure</w:t>
      </w:r>
      <w:r w:rsidRPr="004F5FF1">
        <w:t>;</w:t>
      </w:r>
    </w:p>
    <w:p w:rsidR="00184446" w:rsidRPr="004F5FF1" w:rsidP="00184446" w14:paraId="41BE49D1" w14:textId="59E4ED7D">
      <w:pPr>
        <w:pStyle w:val="NormalHanging12a"/>
      </w:pPr>
      <w:r w:rsidRPr="004F5FF1">
        <w:t>27</w:t>
      </w:r>
      <w:r w:rsidRPr="004F5FF1">
        <w:t>.</w:t>
      </w:r>
      <w:r w:rsidRPr="004F5FF1">
        <w:tab/>
        <w:t xml:space="preserve">zdôrazňuje, že nástroje vyhľadávania a asistenta založené na umelej inteligencii, ak sú ponúkané ako označené základné platformové služby alebo v rámci nich, napríklad AI </w:t>
      </w:r>
      <w:r w:rsidRPr="004F5FF1">
        <w:t>Overviews</w:t>
      </w:r>
      <w:r w:rsidRPr="004F5FF1">
        <w:t xml:space="preserve"> (AI Prehľady) od spoločnosti Google, </w:t>
      </w:r>
      <w:r w:rsidRPr="004F5FF1">
        <w:t>Gemini</w:t>
      </w:r>
      <w:r w:rsidRPr="004F5FF1">
        <w:t xml:space="preserve"> od spoločnosti Google, </w:t>
      </w:r>
      <w:r w:rsidRPr="004F5FF1">
        <w:t>Siri</w:t>
      </w:r>
      <w:r w:rsidRPr="004F5FF1">
        <w:t xml:space="preserve"> od spoločnosti Apple, AI v aplikácii WhatsApp od spoločnosti </w:t>
      </w:r>
      <w:r w:rsidRPr="004F5FF1">
        <w:t>Meta</w:t>
      </w:r>
      <w:r w:rsidRPr="004F5FF1">
        <w:t xml:space="preserve">, </w:t>
      </w:r>
      <w:r w:rsidRPr="004F5FF1">
        <w:t>Rufus</w:t>
      </w:r>
      <w:r w:rsidRPr="004F5FF1">
        <w:t xml:space="preserve"> od spoločnosti Amazon alebo </w:t>
      </w:r>
      <w:r w:rsidRPr="004F5FF1">
        <w:t>Copilot</w:t>
      </w:r>
      <w:r w:rsidRPr="004F5FF1">
        <w:t xml:space="preserve"> od spoločnosti Microsoft, sa čoraz viac stávajú novými vstupnými bránami k informáciám, obchodu a digitálnym službám; vyzýva Komisiu, aby včas preskúmala, či a ako takéto funkcie využívajú strážcovia prístupu spôsobom, ktorý môže narušiť </w:t>
      </w:r>
      <w:r w:rsidRPr="004F5FF1">
        <w:t>súťažeschopnosť</w:t>
      </w:r>
      <w:r w:rsidRPr="004F5FF1">
        <w:t xml:space="preserve"> a spravodlivosť, a to aj prostredníctvom predvolených nastavení, predbežného výberu alebo diskriminačnej prezentácie či výberu výsledkov;</w:t>
      </w:r>
    </w:p>
    <w:p w:rsidR="00184446" w:rsidRPr="004F5FF1" w:rsidP="00184446" w14:paraId="3C22B4F6" w14:textId="3E77CC12">
      <w:pPr>
        <w:pStyle w:val="NormalHanging12a"/>
      </w:pPr>
      <w:r w:rsidRPr="004F5FF1">
        <w:t>28</w:t>
      </w:r>
      <w:r w:rsidRPr="004F5FF1">
        <w:t>.</w:t>
      </w:r>
      <w:r w:rsidRPr="004F5FF1">
        <w:tab/>
        <w:t xml:space="preserve">zdôrazňuje, že integrované digitálne ekosystémy niektorých strážcov prístupu, ktoré pozostávajú z viacerých základných platformových služieb a súvisiacich služieb, im </w:t>
      </w:r>
      <w:r w:rsidRPr="004F5FF1">
        <w:t xml:space="preserve">môžu poskytnúť štrukturálnu konkurenčnú výhodu pri vývoji, odbornej príprave a zavádzaní systémov umelej inteligencie, najmä ak možno využiť prístup k rozsiahlym dátovým tokom, používateľským rozhraniam, distribučným kanálom alebo doplnkovým službám v rámci ekosystémov; zdôrazňuje preto potrebu dôsledného presadzovania článku 6 ods. 10 aktu o digitálnych trhoch s cieľom zabezpečiť účinné práva na prístup k údajom pre komerčných používateľov a zabrániť využívaniu výhod údajov v rámci celého ekosystému spôsobmi, ktoré narúšajú </w:t>
      </w:r>
      <w:r w:rsidRPr="004F5FF1">
        <w:t>súťažeschopnosť</w:t>
      </w:r>
      <w:r w:rsidRPr="004F5FF1">
        <w:t xml:space="preserve"> a spravodlivosť, a to aj v prípadoch, keď sú funkcie umelej inteligencie integrované do základných platformových služieb alebo sa môžu stať novými vstupnými bránami k informáciám, obchodu a digitálnym službám;</w:t>
      </w:r>
    </w:p>
    <w:p w:rsidR="00184446" w:rsidRPr="004F5FF1" w:rsidP="00184446" w14:paraId="1A8519A3" w14:textId="14DCAB74">
      <w:pPr>
        <w:pStyle w:val="NormalHanging12a"/>
      </w:pPr>
      <w:r w:rsidRPr="004F5FF1">
        <w:t>29</w:t>
      </w:r>
      <w:r w:rsidRPr="004F5FF1">
        <w:t>.</w:t>
      </w:r>
      <w:r w:rsidRPr="004F5FF1">
        <w:tab/>
        <w:t>vyzýva Komisiu, aby zabezpečila dostatočné ľudské a finančné zdroje na presadzovanie aktu o digitálnych trhoch v súlade s rozsahom pôsobnosti, zložitosťou a strategickým významom nariadenia, a žiada výrazné posilnenie personálu;</w:t>
      </w:r>
    </w:p>
    <w:p w:rsidR="00184446" w:rsidRPr="004F5FF1" w:rsidP="00184446" w14:paraId="7F3534A3" w14:textId="725E35F3">
      <w:pPr>
        <w:pStyle w:val="NormalHanging12a"/>
      </w:pPr>
      <w:r w:rsidRPr="004F5FF1">
        <w:t>30</w:t>
      </w:r>
      <w:r w:rsidRPr="004F5FF1">
        <w:t>.</w:t>
      </w:r>
      <w:r w:rsidRPr="004F5FF1">
        <w:tab/>
        <w:t>očakáva, že nadchádzajúce preskúmanie aktu o digitálnych trhoch bude transparentné a pevne založené na skúsenostiach s presadzovaním práva a dôkazoch z jeho uplatňovania vrátane posúdenia skutočných výsledkov pre používateľov a trhy, ako aj praktického vplyvu vykonávania na spotrebiteľov, najmä pokiaľ ide o prístup k inováciám, použiteľnosť, súkromie a bezpečnosť, pričom sa náležite zohľadní technologický vývoj a potreba zabezpečiť, aby bol tento rámec odolný voči budúcim zmenám; vyzýva Komisiu, aby počas procesu preskúmania zohľadnila najmä spätnú väzbu od MSP;</w:t>
      </w:r>
    </w:p>
    <w:p w:rsidR="00184446" w:rsidRPr="004F5FF1" w:rsidP="00184446" w14:paraId="37315AC9" w14:textId="4E0A538D">
      <w:pPr>
        <w:pStyle w:val="NormalHanging12a"/>
      </w:pPr>
      <w:r w:rsidRPr="004F5FF1">
        <w:t>31</w:t>
      </w:r>
      <w:r w:rsidRPr="004F5FF1">
        <w:t>.</w:t>
      </w:r>
      <w:r w:rsidRPr="004F5FF1">
        <w:tab/>
        <w:t>zdôrazňuje, že preskúmanie by sa malo zamerať na posilnenie účinnosti a vymožiteľnosti existujúceho rámca a zároveň riešiť výzvy, ktoré predstavujú rýchlo sa vyvíjajúce technológie a ekosystémy, a to prostredníctvom plného využitia právomocí dostupných v rámci súčasného rámca, v prípade potreby aj prostredníctvom objasnení a usmernení, a malo by sa vyhnúť opätovnému otvoreniu základných cieľov, rozsahu pôsobnosti alebo štruktúry aktu o digitálnych trhoch, pokiaľ to nie je jasne odôvodnené preukázanými nedostatkami v presadzovaní alebo významným vývojom na trhu;</w:t>
      </w:r>
    </w:p>
    <w:p w:rsidR="009C6838" w:rsidRPr="004F5FF1" w:rsidP="00184446" w14:paraId="2D4E1123" w14:textId="7D3425F4">
      <w:pPr>
        <w:pStyle w:val="NormalHanging12a"/>
      </w:pPr>
      <w:r w:rsidRPr="004F5FF1">
        <w:t>32.</w:t>
      </w:r>
      <w:r w:rsidRPr="004F5FF1">
        <w:tab/>
        <w:t xml:space="preserve">zdôrazňuje, že účinné presadzovanie aktu o digitálnych trhoch si vyžaduje doplnkové využívanie všeobecnej politiky hospodárskej súťaže a všetkých ostatných nástrojov EÚ na ochranu obchodu a dohľad nad trhom, keďže systémové riziká pre spravodlivosť a hospodársku bezpečnosť môžu vyplývať aj z transakcií mimo rozsahu pôsobnosti aktu o digitálnych trhoch; v tejto súvislosti berie na vedomie obavy týkajúce sa akvizície spoločnosti </w:t>
      </w:r>
      <w:r w:rsidRPr="004F5FF1">
        <w:t>Ceconomy</w:t>
      </w:r>
      <w:r w:rsidRPr="004F5FF1">
        <w:t xml:space="preserve"> AG spoločnosťou JD.com, v dôsledku ktorej by sa previedla kontrola nad veľkou európskou maloobchodnou a distribučnou sieťou na subjekt mimo EÚ, čím by sa zvýšili riziká prístupu štátov mimo EÚ k citlivým údajom o spotrebiteľoch a možného narušenia spojeného so štátom podporovanou finančnou podporou; vyzýva Komisiu, aby dôsledne uplatňovala nariadenie o zahraničných subvenciách</w:t>
      </w:r>
      <w:r>
        <w:rPr>
          <w:rStyle w:val="FootnoteReference"/>
        </w:rPr>
        <w:footnoteReference w:id="15"/>
      </w:r>
      <w:r w:rsidRPr="004F5FF1">
        <w:t xml:space="preserve"> a preskúmala všetky zahraničné subvencie, ktoré podporujú túto transakciu aj budúce transakcie; vyzýva Komisiu, aby posúdila riziká pre európske údaje o spotrebiteľoch podľa nariadenia o preverovaní priamych zahraničných </w:t>
      </w:r>
      <w:r w:rsidRPr="004F5FF1">
        <w:t>investícií</w:t>
      </w:r>
      <w:r>
        <w:rPr>
          <w:rStyle w:val="FootnoteReference"/>
        </w:rPr>
        <w:footnoteReference w:id="16"/>
      </w:r>
      <w:r w:rsidRPr="004F5FF1">
        <w:t xml:space="preserve"> a zabezpečila účinnú lokalizáciu údajov v súlade so suverenitou EÚ v oblasti údajov a rámcom presadzovania aktu o digitálnych trhoch;</w:t>
      </w:r>
    </w:p>
    <w:p w:rsidR="00544D9F" w:rsidRPr="004F5FF1" w:rsidP="00544D9F" w14:paraId="7B749760" w14:textId="54A10AC2">
      <w:pPr>
        <w:pStyle w:val="NormalHanging12a"/>
      </w:pPr>
      <w:r w:rsidRPr="004F5FF1">
        <w:t>33</w:t>
      </w:r>
      <w:r w:rsidRPr="004F5FF1" w:rsidR="00184446">
        <w:t>.</w:t>
      </w:r>
      <w:r w:rsidRPr="004F5FF1" w:rsidR="00184446">
        <w:tab/>
        <w:t>poveruje svoju predsedníčku, aby postúpila toto uznesenie Komisii.</w:t>
      </w:r>
    </w:p>
    <w:p w:rsidR="00E365E1" w:rsidRPr="004F5FF1" w:rsidP="00B13C79" w14:paraId="63B2049B" w14:textId="0A1CF1CC"/>
    <w:sectPr w:rsidSect="00544D9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4D9F" w14:paraId="6CFA44E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4D9F" w14:paraId="365BA2F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4D9F" w14:paraId="4290941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13C79" w:rsidRPr="00544D9F" w14:paraId="2F4583A7" w14:textId="77777777">
      <w:r w:rsidRPr="00544D9F">
        <w:separator/>
      </w:r>
    </w:p>
  </w:footnote>
  <w:footnote w:type="continuationSeparator" w:id="1">
    <w:p w:rsidR="00B13C79" w:rsidRPr="00544D9F" w14:paraId="3F62B675" w14:textId="77777777">
      <w:r w:rsidRPr="00544D9F">
        <w:continuationSeparator/>
      </w:r>
    </w:p>
  </w:footnote>
  <w:footnote w:id="2">
    <w:p w:rsidR="00184446" w:rsidRPr="00544D9F" w:rsidP="00544D9F" w14:paraId="2D339430" w14:textId="027163DE">
      <w:pPr>
        <w:pStyle w:val="FootnoteText"/>
        <w:ind w:left="567" w:hanging="567"/>
        <w:rPr>
          <w:sz w:val="24"/>
          <w:lang w:val="sk-SK"/>
        </w:rPr>
      </w:pPr>
      <w:r w:rsidRPr="00544D9F">
        <w:rPr>
          <w:rStyle w:val="FootnoteReference"/>
          <w:sz w:val="24"/>
          <w:lang w:val="sk-SK"/>
        </w:rPr>
        <w:footnoteRef/>
      </w:r>
      <w:r w:rsidRPr="00544D9F" w:rsidR="00544D9F">
        <w:rPr>
          <w:sz w:val="24"/>
          <w:lang w:val="sk-SK"/>
        </w:rPr>
        <w:t xml:space="preserve"> </w:t>
      </w:r>
      <w:r w:rsidRPr="00544D9F" w:rsidR="00544D9F">
        <w:rPr>
          <w:sz w:val="24"/>
          <w:lang w:val="sk-SK"/>
        </w:rPr>
        <w:tab/>
      </w:r>
      <w:r w:rsidRPr="00544D9F">
        <w:rPr>
          <w:sz w:val="24"/>
          <w:lang w:val="sk-SK"/>
        </w:rPr>
        <w:t>Ú. v. EÚ L 265, 12.10.2022, s. 1, ELI: </w:t>
      </w:r>
      <w:hyperlink r:id="rId1" w:tooltip="Gives access to this document through its ELI URI." w:history="1">
        <w:r w:rsidRPr="00544D9F">
          <w:rPr>
            <w:rStyle w:val="Hyperlink"/>
            <w:sz w:val="24"/>
            <w:lang w:val="sk-SK"/>
          </w:rPr>
          <w:t>http://data.europa.eu/eli/reg/2022/1925/oj</w:t>
        </w:r>
      </w:hyperlink>
      <w:r w:rsidRPr="00544D9F">
        <w:rPr>
          <w:sz w:val="24"/>
          <w:lang w:val="sk-SK"/>
        </w:rPr>
        <w:t>.</w:t>
      </w:r>
    </w:p>
  </w:footnote>
  <w:footnote w:id="3">
    <w:p w:rsidR="00184446" w:rsidRPr="00544D9F" w:rsidP="00544D9F" w14:paraId="2EC8BCEC" w14:textId="4CFA218E">
      <w:pPr>
        <w:pStyle w:val="FootnoteText"/>
        <w:ind w:left="567" w:hanging="567"/>
        <w:rPr>
          <w:sz w:val="24"/>
          <w:lang w:val="sk-SK"/>
        </w:rPr>
      </w:pPr>
      <w:r w:rsidRPr="00544D9F">
        <w:rPr>
          <w:rStyle w:val="FootnoteReference"/>
          <w:sz w:val="24"/>
          <w:lang w:val="sk-SK"/>
        </w:rPr>
        <w:footnoteRef/>
      </w:r>
      <w:r w:rsidRPr="00544D9F" w:rsidR="00544D9F">
        <w:rPr>
          <w:sz w:val="24"/>
          <w:lang w:val="sk-SK"/>
        </w:rPr>
        <w:t xml:space="preserve"> </w:t>
      </w:r>
      <w:r w:rsidRPr="00544D9F" w:rsidR="00544D9F">
        <w:rPr>
          <w:sz w:val="24"/>
          <w:lang w:val="sk-SK"/>
        </w:rPr>
        <w:tab/>
      </w:r>
      <w:r w:rsidRPr="00544D9F">
        <w:rPr>
          <w:sz w:val="24"/>
          <w:lang w:val="sk-SK"/>
        </w:rPr>
        <w:t>Ú. v. EÚ C, C/2023/549, 27.10.2023, ELI: </w:t>
      </w:r>
      <w:hyperlink r:id="rId2" w:tgtFrame="_blank" w:tooltip="Gives access to this document through its ELI URI." w:history="1">
        <w:r w:rsidRPr="00544D9F">
          <w:rPr>
            <w:rStyle w:val="Hyperlink"/>
            <w:sz w:val="24"/>
            <w:lang w:val="sk-SK"/>
          </w:rPr>
          <w:t>http://data.europa.eu/eli/C/2023/549/oj</w:t>
        </w:r>
      </w:hyperlink>
      <w:r w:rsidRPr="00544D9F">
        <w:rPr>
          <w:sz w:val="24"/>
          <w:lang w:val="sk-SK"/>
        </w:rPr>
        <w:t>.</w:t>
      </w:r>
    </w:p>
  </w:footnote>
  <w:footnote w:id="4">
    <w:p w:rsidR="00184446" w:rsidRPr="00544D9F" w:rsidP="00544D9F" w14:paraId="66046826" w14:textId="432116A3">
      <w:pPr>
        <w:pStyle w:val="FootnoteText"/>
        <w:ind w:left="567" w:hanging="567"/>
        <w:rPr>
          <w:sz w:val="24"/>
          <w:lang w:val="sk-SK"/>
        </w:rPr>
      </w:pPr>
      <w:r w:rsidRPr="00544D9F">
        <w:rPr>
          <w:rStyle w:val="FootnoteReference"/>
          <w:sz w:val="24"/>
          <w:lang w:val="sk-SK"/>
        </w:rPr>
        <w:footnoteRef/>
      </w:r>
      <w:r w:rsidRPr="00544D9F" w:rsidR="00544D9F">
        <w:rPr>
          <w:sz w:val="24"/>
          <w:lang w:val="sk-SK"/>
        </w:rPr>
        <w:t xml:space="preserve"> </w:t>
      </w:r>
      <w:r w:rsidRPr="00544D9F" w:rsidR="00544D9F">
        <w:rPr>
          <w:sz w:val="24"/>
          <w:lang w:val="sk-SK"/>
        </w:rPr>
        <w:tab/>
      </w:r>
      <w:r w:rsidRPr="00544D9F">
        <w:rPr>
          <w:sz w:val="24"/>
          <w:lang w:val="sk-SK"/>
        </w:rPr>
        <w:t>Ú. v. EÚ C, C/2023/905, 15.11.2023, ELI: </w:t>
      </w:r>
      <w:hyperlink r:id="rId3" w:tgtFrame="_blank" w:tooltip="Gives access to this document through its ELI URI." w:history="1">
        <w:r w:rsidRPr="00544D9F">
          <w:rPr>
            <w:rStyle w:val="Hyperlink"/>
            <w:sz w:val="24"/>
            <w:lang w:val="sk-SK"/>
          </w:rPr>
          <w:t>http://data.europa.eu/eli/C/2023/905/oj</w:t>
        </w:r>
      </w:hyperlink>
      <w:r w:rsidRPr="00544D9F">
        <w:rPr>
          <w:sz w:val="24"/>
          <w:lang w:val="sk-SK"/>
        </w:rPr>
        <w:t>.</w:t>
      </w:r>
    </w:p>
  </w:footnote>
  <w:footnote w:id="5">
    <w:p w:rsidR="00184446" w:rsidRPr="00544D9F" w:rsidP="00544D9F" w14:paraId="521C5F68" w14:textId="0D72CF37">
      <w:pPr>
        <w:pStyle w:val="FootnoteText"/>
        <w:ind w:left="567" w:hanging="567"/>
        <w:rPr>
          <w:sz w:val="24"/>
          <w:lang w:val="sk-SK"/>
        </w:rPr>
      </w:pPr>
      <w:r w:rsidRPr="00544D9F">
        <w:rPr>
          <w:rStyle w:val="FootnoteReference"/>
          <w:sz w:val="24"/>
          <w:lang w:val="sk-SK"/>
        </w:rPr>
        <w:footnoteRef/>
      </w:r>
      <w:r w:rsidRPr="00544D9F" w:rsidR="00544D9F">
        <w:rPr>
          <w:sz w:val="24"/>
          <w:lang w:val="sk-SK"/>
        </w:rPr>
        <w:t xml:space="preserve"> </w:t>
      </w:r>
      <w:r w:rsidRPr="00544D9F" w:rsidR="00544D9F">
        <w:rPr>
          <w:sz w:val="24"/>
          <w:lang w:val="sk-SK"/>
        </w:rPr>
        <w:tab/>
      </w:r>
      <w:r w:rsidRPr="00544D9F">
        <w:rPr>
          <w:sz w:val="24"/>
          <w:lang w:val="sk-SK"/>
        </w:rPr>
        <w:t>Ú. v. EÚ C, C/2025/4646, 14.8.2025, ELI: </w:t>
      </w:r>
      <w:hyperlink r:id="rId4" w:tgtFrame="_blank" w:tooltip="Gives access to this document through its ELI URI." w:history="1">
        <w:r w:rsidRPr="00544D9F">
          <w:rPr>
            <w:rStyle w:val="Hyperlink"/>
            <w:sz w:val="24"/>
            <w:lang w:val="sk-SK"/>
          </w:rPr>
          <w:t>http://data.europa.eu/eli/C/2025/4646/oj</w:t>
        </w:r>
      </w:hyperlink>
      <w:r w:rsidRPr="00544D9F">
        <w:rPr>
          <w:sz w:val="24"/>
          <w:lang w:val="sk-SK"/>
        </w:rPr>
        <w:t>.</w:t>
      </w:r>
    </w:p>
  </w:footnote>
  <w:footnote w:id="6">
    <w:p w:rsidR="00184446" w:rsidRPr="00544D9F" w:rsidP="00544D9F" w14:paraId="2584FE50" w14:textId="53BBE88B">
      <w:pPr>
        <w:pStyle w:val="FootnoteText"/>
        <w:ind w:left="567" w:hanging="567"/>
        <w:rPr>
          <w:sz w:val="24"/>
          <w:lang w:val="sk-SK"/>
        </w:rPr>
      </w:pPr>
      <w:r w:rsidRPr="00544D9F">
        <w:rPr>
          <w:rStyle w:val="FootnoteReference"/>
          <w:sz w:val="24"/>
          <w:lang w:val="sk-SK"/>
        </w:rPr>
        <w:footnoteRef/>
      </w:r>
      <w:r w:rsidRPr="00544D9F" w:rsidR="00544D9F">
        <w:rPr>
          <w:sz w:val="24"/>
          <w:lang w:val="sk-SK"/>
        </w:rPr>
        <w:t xml:space="preserve"> </w:t>
      </w:r>
      <w:r w:rsidRPr="00544D9F" w:rsidR="00544D9F">
        <w:rPr>
          <w:sz w:val="24"/>
          <w:lang w:val="sk-SK"/>
        </w:rPr>
        <w:tab/>
      </w:r>
      <w:r w:rsidRPr="00544D9F">
        <w:rPr>
          <w:sz w:val="24"/>
          <w:lang w:val="sk-SK"/>
        </w:rPr>
        <w:t xml:space="preserve">Ú. v. </w:t>
      </w:r>
      <w:r w:rsidRPr="00544D9F">
        <w:rPr>
          <w:sz w:val="24"/>
          <w:lang w:val="sk-SK"/>
        </w:rPr>
        <w:t>EÚ C, C/2023/552, 27.10.2023, ELI: </w:t>
      </w:r>
      <w:hyperlink r:id="rId5" w:tgtFrame="_blank" w:tooltip="Gives access to this document through its ELI URI." w:history="1">
        <w:r w:rsidRPr="00544D9F">
          <w:rPr>
            <w:rStyle w:val="Hyperlink"/>
            <w:sz w:val="24"/>
            <w:lang w:val="sk-SK"/>
          </w:rPr>
          <w:t>http://data.europa.eu/eli/C/2023/552/oj</w:t>
        </w:r>
      </w:hyperlink>
      <w:r w:rsidRPr="00544D9F">
        <w:rPr>
          <w:sz w:val="24"/>
          <w:lang w:val="sk-SK"/>
        </w:rPr>
        <w:t>.</w:t>
      </w:r>
    </w:p>
  </w:footnote>
  <w:footnote w:id="7">
    <w:p w:rsidR="00184446" w:rsidRPr="00544D9F" w:rsidP="00544D9F" w14:paraId="7A1CFB41" w14:textId="056B84E5">
      <w:pPr>
        <w:pStyle w:val="FootnoteText"/>
        <w:ind w:left="567" w:hanging="567"/>
        <w:rPr>
          <w:sz w:val="24"/>
          <w:lang w:val="sk-SK"/>
        </w:rPr>
      </w:pPr>
      <w:r w:rsidRPr="00544D9F">
        <w:rPr>
          <w:rStyle w:val="FootnoteReference"/>
          <w:sz w:val="24"/>
          <w:lang w:val="sk-SK"/>
        </w:rPr>
        <w:footnoteRef/>
      </w:r>
      <w:r w:rsidRPr="00544D9F" w:rsidR="00544D9F">
        <w:rPr>
          <w:sz w:val="24"/>
          <w:lang w:val="sk-SK"/>
        </w:rPr>
        <w:t xml:space="preserve"> </w:t>
      </w:r>
      <w:r w:rsidRPr="00544D9F" w:rsidR="00544D9F">
        <w:rPr>
          <w:sz w:val="24"/>
          <w:lang w:val="sk-SK"/>
        </w:rPr>
        <w:tab/>
      </w:r>
      <w:r w:rsidRPr="00544D9F">
        <w:rPr>
          <w:sz w:val="24"/>
          <w:lang w:val="sk-SK"/>
        </w:rPr>
        <w:t xml:space="preserve">Ú. v. </w:t>
      </w:r>
      <w:r w:rsidRPr="00544D9F">
        <w:rPr>
          <w:sz w:val="24"/>
          <w:lang w:val="sk-SK"/>
        </w:rPr>
        <w:t>EÚ C, C/2023/1092, 23.11.2023, ELI: </w:t>
      </w:r>
      <w:hyperlink r:id="rId6" w:tgtFrame="_blank" w:tooltip="Gives access to this document through its ELI URI." w:history="1">
        <w:r w:rsidRPr="00544D9F">
          <w:rPr>
            <w:rStyle w:val="Hyperlink"/>
            <w:sz w:val="24"/>
            <w:lang w:val="sk-SK"/>
          </w:rPr>
          <w:t>http://data.europa.eu/eli/C/2023/1092/oj</w:t>
        </w:r>
      </w:hyperlink>
      <w:r w:rsidRPr="00544D9F">
        <w:rPr>
          <w:sz w:val="24"/>
          <w:lang w:val="sk-SK"/>
        </w:rPr>
        <w:t xml:space="preserve">. </w:t>
      </w:r>
    </w:p>
  </w:footnote>
  <w:footnote w:id="8">
    <w:p w:rsidR="00184446" w:rsidRPr="00544D9F" w:rsidP="00544D9F" w14:paraId="44DFF5A8" w14:textId="133E8EF8">
      <w:pPr>
        <w:pStyle w:val="FootnoteText"/>
        <w:ind w:left="567" w:hanging="567"/>
        <w:rPr>
          <w:sz w:val="24"/>
          <w:lang w:val="sk-SK"/>
        </w:rPr>
      </w:pPr>
      <w:r w:rsidRPr="00544D9F">
        <w:rPr>
          <w:rStyle w:val="FootnoteReference"/>
          <w:sz w:val="24"/>
          <w:lang w:val="sk-SK"/>
        </w:rPr>
        <w:footnoteRef/>
      </w:r>
      <w:r w:rsidRPr="00544D9F" w:rsidR="00544D9F">
        <w:rPr>
          <w:sz w:val="24"/>
          <w:lang w:val="sk-SK"/>
        </w:rPr>
        <w:t xml:space="preserve"> </w:t>
      </w:r>
      <w:r w:rsidRPr="00544D9F" w:rsidR="00544D9F">
        <w:rPr>
          <w:sz w:val="24"/>
          <w:lang w:val="sk-SK"/>
        </w:rPr>
        <w:tab/>
      </w:r>
      <w:r w:rsidRPr="00544D9F">
        <w:rPr>
          <w:sz w:val="24"/>
          <w:lang w:val="sk-SK"/>
        </w:rPr>
        <w:t xml:space="preserve">Ú. v. </w:t>
      </w:r>
      <w:r w:rsidRPr="00544D9F">
        <w:rPr>
          <w:sz w:val="24"/>
          <w:lang w:val="sk-SK"/>
        </w:rPr>
        <w:t>EÚ C, C/2023/551, 27.10.2023, ELI: </w:t>
      </w:r>
      <w:hyperlink r:id="rId7" w:tgtFrame="_blank" w:tooltip="Gives access to this document through its ELI URI." w:history="1">
        <w:r w:rsidRPr="00544D9F">
          <w:rPr>
            <w:rStyle w:val="Hyperlink"/>
            <w:sz w:val="24"/>
            <w:lang w:val="sk-SK"/>
          </w:rPr>
          <w:t>http://data.europa.eu/eli/C/2023/551/oj</w:t>
        </w:r>
      </w:hyperlink>
      <w:r w:rsidRPr="00544D9F">
        <w:rPr>
          <w:sz w:val="24"/>
          <w:lang w:val="sk-SK"/>
        </w:rPr>
        <w:t xml:space="preserve">. </w:t>
      </w:r>
    </w:p>
  </w:footnote>
  <w:footnote w:id="9">
    <w:p w:rsidR="00184446" w:rsidRPr="00544D9F" w:rsidP="00544D9F" w14:paraId="5EE01069" w14:textId="21A526D5">
      <w:pPr>
        <w:pStyle w:val="FootnoteText"/>
        <w:ind w:left="567" w:hanging="567"/>
        <w:rPr>
          <w:sz w:val="24"/>
          <w:lang w:val="sk-SK"/>
        </w:rPr>
      </w:pPr>
      <w:r w:rsidRPr="00544D9F">
        <w:rPr>
          <w:rStyle w:val="FootnoteReference"/>
          <w:sz w:val="24"/>
          <w:lang w:val="sk-SK"/>
        </w:rPr>
        <w:footnoteRef/>
      </w:r>
      <w:r w:rsidRPr="00544D9F" w:rsidR="00544D9F">
        <w:rPr>
          <w:sz w:val="24"/>
          <w:lang w:val="sk-SK"/>
        </w:rPr>
        <w:t xml:space="preserve"> </w:t>
      </w:r>
      <w:r w:rsidRPr="00544D9F" w:rsidR="00544D9F">
        <w:rPr>
          <w:sz w:val="24"/>
          <w:lang w:val="sk-SK"/>
        </w:rPr>
        <w:tab/>
      </w:r>
      <w:r w:rsidRPr="00544D9F">
        <w:rPr>
          <w:sz w:val="24"/>
          <w:lang w:val="sk-SK"/>
        </w:rPr>
        <w:t xml:space="preserve">Ú. v. </w:t>
      </w:r>
      <w:r w:rsidRPr="00544D9F">
        <w:rPr>
          <w:sz w:val="24"/>
          <w:lang w:val="sk-SK"/>
        </w:rPr>
        <w:t>EÚ C, C/2024/4374, 4.7.2024, ELI: </w:t>
      </w:r>
      <w:hyperlink r:id="rId8" w:tgtFrame="_blank" w:tooltip="Gives access to this document through its ELI URI." w:history="1">
        <w:r w:rsidRPr="00544D9F">
          <w:rPr>
            <w:rStyle w:val="Hyperlink"/>
            <w:sz w:val="24"/>
            <w:lang w:val="sk-SK"/>
          </w:rPr>
          <w:t>http://data.europa.eu/eli/C/2024/4374/oj</w:t>
        </w:r>
      </w:hyperlink>
      <w:r w:rsidRPr="00544D9F">
        <w:rPr>
          <w:sz w:val="24"/>
          <w:lang w:val="sk-SK"/>
        </w:rPr>
        <w:t xml:space="preserve">. </w:t>
      </w:r>
    </w:p>
  </w:footnote>
  <w:footnote w:id="10">
    <w:p w:rsidR="00184446" w:rsidRPr="00544D9F" w:rsidP="00544D9F" w14:paraId="54E278F1" w14:textId="4D504B0E">
      <w:pPr>
        <w:pStyle w:val="FootnoteText"/>
        <w:ind w:left="567" w:hanging="567"/>
        <w:rPr>
          <w:sz w:val="24"/>
          <w:lang w:val="sk-SK"/>
        </w:rPr>
      </w:pPr>
      <w:r w:rsidRPr="00544D9F">
        <w:rPr>
          <w:rStyle w:val="FootnoteReference"/>
          <w:sz w:val="24"/>
          <w:lang w:val="sk-SK"/>
        </w:rPr>
        <w:footnoteRef/>
      </w:r>
      <w:r w:rsidRPr="00544D9F" w:rsidR="00544D9F">
        <w:rPr>
          <w:sz w:val="24"/>
          <w:lang w:val="sk-SK"/>
        </w:rPr>
        <w:t xml:space="preserve"> </w:t>
      </w:r>
      <w:r w:rsidRPr="00544D9F" w:rsidR="00544D9F">
        <w:rPr>
          <w:sz w:val="24"/>
          <w:lang w:val="sk-SK"/>
        </w:rPr>
        <w:tab/>
      </w:r>
      <w:r w:rsidRPr="00544D9F">
        <w:rPr>
          <w:sz w:val="24"/>
          <w:lang w:val="sk-SK"/>
        </w:rPr>
        <w:t xml:space="preserve">Ú. v. </w:t>
      </w:r>
      <w:r w:rsidRPr="00544D9F">
        <w:rPr>
          <w:sz w:val="24"/>
          <w:lang w:val="sk-SK"/>
        </w:rPr>
        <w:t>EÚ C, C/2024/4360, 4.7.2024, ELI: </w:t>
      </w:r>
      <w:hyperlink r:id="rId9" w:tgtFrame="_blank" w:tooltip="Gives access to this document through its ELI URI." w:history="1">
        <w:r w:rsidRPr="00544D9F">
          <w:rPr>
            <w:rStyle w:val="Hyperlink"/>
            <w:sz w:val="24"/>
            <w:lang w:val="sk-SK"/>
          </w:rPr>
          <w:t>http://data.europa.eu/eli/C/2024/4360/oj</w:t>
        </w:r>
      </w:hyperlink>
      <w:r w:rsidRPr="00544D9F">
        <w:rPr>
          <w:sz w:val="24"/>
          <w:lang w:val="sk-SK"/>
        </w:rPr>
        <w:t>.</w:t>
      </w:r>
    </w:p>
  </w:footnote>
  <w:footnote w:id="11">
    <w:p w:rsidR="00184446" w:rsidRPr="00544D9F" w:rsidP="00544D9F" w14:paraId="0F468581" w14:textId="19475383">
      <w:pPr>
        <w:pStyle w:val="FootnoteText"/>
        <w:ind w:left="567" w:hanging="567"/>
        <w:rPr>
          <w:sz w:val="24"/>
          <w:lang w:val="sk-SK"/>
        </w:rPr>
      </w:pPr>
      <w:r w:rsidRPr="00544D9F">
        <w:rPr>
          <w:rStyle w:val="FootnoteReference"/>
          <w:sz w:val="24"/>
          <w:lang w:val="sk-SK"/>
        </w:rPr>
        <w:footnoteRef/>
      </w:r>
      <w:r w:rsidRPr="00544D9F" w:rsidR="00544D9F">
        <w:rPr>
          <w:sz w:val="24"/>
          <w:lang w:val="sk-SK"/>
        </w:rPr>
        <w:t xml:space="preserve"> </w:t>
      </w:r>
      <w:r w:rsidRPr="00544D9F" w:rsidR="00544D9F">
        <w:rPr>
          <w:sz w:val="24"/>
          <w:lang w:val="sk-SK"/>
        </w:rPr>
        <w:tab/>
      </w:r>
      <w:r w:rsidRPr="00544D9F">
        <w:rPr>
          <w:sz w:val="24"/>
          <w:lang w:val="sk-SK"/>
        </w:rPr>
        <w:t xml:space="preserve">Ú. v. </w:t>
      </w:r>
      <w:r w:rsidRPr="00544D9F">
        <w:rPr>
          <w:sz w:val="24"/>
          <w:lang w:val="sk-SK"/>
        </w:rPr>
        <w:t>EÚ C, C/2025/3466, 27.6.2025, ELI: </w:t>
      </w:r>
      <w:hyperlink r:id="rId10" w:tgtFrame="_blank" w:tooltip="Gives access to this document through its ELI URI." w:history="1">
        <w:r w:rsidRPr="00544D9F">
          <w:rPr>
            <w:rStyle w:val="Hyperlink"/>
            <w:sz w:val="24"/>
            <w:lang w:val="sk-SK"/>
          </w:rPr>
          <w:t>http://data.europa.eu/eli/C/2025/3466/oj</w:t>
        </w:r>
      </w:hyperlink>
      <w:r w:rsidRPr="00544D9F">
        <w:rPr>
          <w:sz w:val="24"/>
          <w:lang w:val="sk-SK"/>
        </w:rPr>
        <w:t xml:space="preserve">. </w:t>
      </w:r>
    </w:p>
  </w:footnote>
  <w:footnote w:id="12">
    <w:p w:rsidR="00184446" w:rsidRPr="00544D9F" w:rsidP="00544D9F" w14:paraId="1F7C5213" w14:textId="327F5528">
      <w:pPr>
        <w:pStyle w:val="FootnoteText"/>
        <w:ind w:left="567" w:hanging="567"/>
        <w:rPr>
          <w:sz w:val="24"/>
          <w:lang w:val="sk-SK"/>
        </w:rPr>
      </w:pPr>
      <w:r w:rsidRPr="00544D9F">
        <w:rPr>
          <w:rStyle w:val="FootnoteReference"/>
          <w:sz w:val="24"/>
          <w:lang w:val="sk-SK"/>
        </w:rPr>
        <w:footnoteRef/>
      </w:r>
      <w:r w:rsidRPr="00544D9F" w:rsidR="00544D9F">
        <w:rPr>
          <w:sz w:val="24"/>
          <w:lang w:val="sk-SK"/>
        </w:rPr>
        <w:t xml:space="preserve"> </w:t>
      </w:r>
      <w:r w:rsidRPr="00544D9F" w:rsidR="00544D9F">
        <w:rPr>
          <w:sz w:val="24"/>
          <w:lang w:val="sk-SK"/>
        </w:rPr>
        <w:tab/>
      </w:r>
      <w:r w:rsidRPr="00544D9F">
        <w:rPr>
          <w:sz w:val="24"/>
          <w:lang w:val="sk-SK"/>
        </w:rPr>
        <w:t>Ú. v. EÚ L 102, 17.4.2023, s. </w:t>
      </w:r>
      <w:r w:rsidRPr="00544D9F">
        <w:rPr>
          <w:sz w:val="24"/>
          <w:lang w:val="sk-SK"/>
        </w:rPr>
        <w:t>6, ELI: </w:t>
      </w:r>
      <w:hyperlink r:id="rId11" w:tooltip="Gives access to this document through its ELI URI." w:history="1">
        <w:r w:rsidRPr="00544D9F">
          <w:rPr>
            <w:rStyle w:val="Hyperlink"/>
            <w:sz w:val="24"/>
            <w:lang w:val="sk-SK"/>
          </w:rPr>
          <w:t>http://data.europa.eu/eli/reg_impl/2023/814/oj</w:t>
        </w:r>
      </w:hyperlink>
      <w:r w:rsidRPr="00544D9F">
        <w:rPr>
          <w:sz w:val="24"/>
          <w:lang w:val="sk-SK"/>
        </w:rPr>
        <w:t xml:space="preserve">. </w:t>
      </w:r>
    </w:p>
  </w:footnote>
  <w:footnote w:id="13">
    <w:p w:rsidR="00184446" w:rsidRPr="00544D9F" w:rsidP="00544D9F" w14:paraId="7F655CD2" w14:textId="4E991060">
      <w:pPr>
        <w:pStyle w:val="FootnoteText"/>
        <w:ind w:left="567" w:hanging="567"/>
        <w:rPr>
          <w:sz w:val="24"/>
          <w:lang w:val="sk-SK"/>
        </w:rPr>
      </w:pPr>
      <w:r w:rsidRPr="00544D9F">
        <w:rPr>
          <w:rStyle w:val="FootnoteReference"/>
          <w:sz w:val="24"/>
          <w:lang w:val="sk-SK"/>
        </w:rPr>
        <w:footnoteRef/>
      </w:r>
      <w:r w:rsidRPr="00544D9F" w:rsidR="00544D9F">
        <w:rPr>
          <w:sz w:val="24"/>
          <w:lang w:val="sk-SK"/>
        </w:rPr>
        <w:t xml:space="preserve"> </w:t>
      </w:r>
      <w:r w:rsidRPr="00544D9F" w:rsidR="00544D9F">
        <w:rPr>
          <w:sz w:val="24"/>
          <w:lang w:val="sk-SK"/>
        </w:rPr>
        <w:tab/>
      </w:r>
      <w:r w:rsidRPr="00544D9F">
        <w:rPr>
          <w:sz w:val="24"/>
          <w:lang w:val="sk-SK"/>
        </w:rPr>
        <w:t>Nariadenie Európskeho parlamentu a Rady (EÚ) 2023/2854 z 13. decembra 2023 o harmonizovaných pravidlách týkajúcich sa spravodlivého prístupu k údajom a ich používania, ktorým sa mení nariadenie (EÚ) 2017/2394 a smernica (EÚ) 2020/1828 (akt o údajoch) (Ú. v. </w:t>
      </w:r>
      <w:r w:rsidRPr="00544D9F">
        <w:rPr>
          <w:sz w:val="24"/>
          <w:lang w:val="sk-SK"/>
        </w:rPr>
        <w:t xml:space="preserve">EÚ L, 2023/2854, 22.12.2023, ELI: </w:t>
      </w:r>
      <w:hyperlink r:id="rId12" w:history="1">
        <w:r w:rsidRPr="00544D9F">
          <w:rPr>
            <w:rStyle w:val="Hyperlink"/>
            <w:sz w:val="24"/>
            <w:lang w:val="sk-SK"/>
          </w:rPr>
          <w:t>http://data.europa.eu/eli/reg/2023/2854/oj</w:t>
        </w:r>
      </w:hyperlink>
      <w:r w:rsidRPr="00544D9F">
        <w:rPr>
          <w:sz w:val="24"/>
          <w:lang w:val="sk-SK"/>
        </w:rPr>
        <w:t>).</w:t>
      </w:r>
    </w:p>
  </w:footnote>
  <w:footnote w:id="14">
    <w:p w:rsidR="00184446" w:rsidRPr="00544D9F" w:rsidP="00544D9F" w14:paraId="6EA6CDC9" w14:textId="25A21DC6">
      <w:pPr>
        <w:pStyle w:val="FootnoteText"/>
        <w:ind w:left="567" w:hanging="567"/>
        <w:rPr>
          <w:sz w:val="24"/>
          <w:lang w:val="sk-SK"/>
        </w:rPr>
      </w:pPr>
      <w:r w:rsidRPr="00544D9F">
        <w:rPr>
          <w:rStyle w:val="FootnoteReference"/>
          <w:sz w:val="24"/>
          <w:lang w:val="sk-SK"/>
        </w:rPr>
        <w:footnoteRef/>
      </w:r>
      <w:r w:rsidRPr="00544D9F" w:rsidR="00544D9F">
        <w:rPr>
          <w:sz w:val="24"/>
          <w:lang w:val="sk-SK"/>
        </w:rPr>
        <w:t xml:space="preserve"> </w:t>
      </w:r>
      <w:r w:rsidRPr="00544D9F" w:rsidR="00544D9F">
        <w:rPr>
          <w:sz w:val="24"/>
          <w:lang w:val="sk-SK"/>
        </w:rPr>
        <w:tab/>
      </w:r>
      <w:r w:rsidRPr="00544D9F">
        <w:rPr>
          <w:sz w:val="24"/>
          <w:lang w:val="sk-SK"/>
        </w:rPr>
        <w:t>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 (Ú. v. </w:t>
      </w:r>
      <w:r w:rsidRPr="00544D9F">
        <w:rPr>
          <w:sz w:val="24"/>
          <w:lang w:val="sk-SK"/>
        </w:rPr>
        <w:t xml:space="preserve">EÚ L, 2024/1689, 12.7.2024, ELI: </w:t>
      </w:r>
      <w:hyperlink r:id="rId13" w:history="1">
        <w:r w:rsidRPr="00544D9F">
          <w:rPr>
            <w:rStyle w:val="Hyperlink"/>
            <w:sz w:val="24"/>
            <w:lang w:val="sk-SK"/>
          </w:rPr>
          <w:t>http://data.europa.eu/eli/reg/2024/1689/oj</w:t>
        </w:r>
      </w:hyperlink>
      <w:r w:rsidRPr="00544D9F">
        <w:rPr>
          <w:sz w:val="24"/>
          <w:lang w:val="sk-SK"/>
        </w:rPr>
        <w:t>).</w:t>
      </w:r>
    </w:p>
  </w:footnote>
  <w:footnote w:id="15">
    <w:p w:rsidR="009C6838" w:rsidRPr="004F5FF1" w:rsidP="004F5FF1" w14:paraId="63ECF938" w14:textId="0FB82F84">
      <w:pPr>
        <w:pStyle w:val="FootnoteText"/>
        <w:ind w:left="567" w:hanging="567"/>
        <w:rPr>
          <w:bCs/>
          <w:iCs/>
          <w:sz w:val="24"/>
          <w:szCs w:val="24"/>
          <w:lang w:val="sk-SK"/>
        </w:rPr>
      </w:pPr>
      <w:r>
        <w:rPr>
          <w:rStyle w:val="FootnoteReference"/>
        </w:rPr>
        <w:footnoteRef/>
      </w:r>
      <w:r w:rsidRPr="004F5FF1">
        <w:rPr>
          <w:lang w:val="sk-SK"/>
        </w:rPr>
        <w:t xml:space="preserve"> </w:t>
      </w:r>
      <w:r w:rsidRPr="004F5FF1">
        <w:rPr>
          <w:lang w:val="sk-SK"/>
        </w:rPr>
        <w:tab/>
      </w:r>
      <w:r w:rsidRPr="004F5FF1">
        <w:rPr>
          <w:bCs/>
          <w:iCs/>
          <w:sz w:val="24"/>
          <w:szCs w:val="24"/>
          <w:lang w:val="sk-SK"/>
        </w:rPr>
        <w:t xml:space="preserve">Nariadenie Európskeho parlamentu a Rady (EÚ) 2022/2560 zo 14. decembra 2022 o zahraničných subvenciách narúšajúcich vnútorný trh (Ú. </w:t>
      </w:r>
      <w:r w:rsidR="00E8778D">
        <w:rPr>
          <w:bCs/>
          <w:iCs/>
          <w:sz w:val="24"/>
          <w:szCs w:val="24"/>
          <w:lang w:val="sk-SK"/>
        </w:rPr>
        <w:t>v.</w:t>
      </w:r>
      <w:r w:rsidRPr="004F5FF1">
        <w:rPr>
          <w:bCs/>
          <w:iCs/>
          <w:sz w:val="24"/>
          <w:szCs w:val="24"/>
          <w:lang w:val="sk-SK"/>
        </w:rPr>
        <w:t> EÚ L 330, 23.12.2022, s. 1, ELI: </w:t>
      </w:r>
      <w:hyperlink r:id="rId14" w:tooltip="Umožňuje prístup k tomuto dokumentu prostredníctvom identifikátora URI používaného v rámci ELI." w:history="1">
        <w:r w:rsidRPr="004F5FF1">
          <w:rPr>
            <w:rStyle w:val="Hyperlink"/>
            <w:bCs/>
            <w:iCs/>
            <w:color w:val="0000FF"/>
            <w:sz w:val="24"/>
            <w:szCs w:val="24"/>
            <w:lang w:val="sk-SK"/>
          </w:rPr>
          <w:t>http://data.europa.eu/eli/reg/2022/2560/oj</w:t>
        </w:r>
      </w:hyperlink>
      <w:r w:rsidRPr="004F5FF1">
        <w:rPr>
          <w:bCs/>
          <w:iCs/>
          <w:sz w:val="24"/>
          <w:szCs w:val="24"/>
          <w:lang w:val="sk-SK"/>
        </w:rPr>
        <w:t>).</w:t>
      </w:r>
    </w:p>
  </w:footnote>
  <w:footnote w:id="16">
    <w:p w:rsidR="009C6838" w:rsidRPr="004F5FF1" w:rsidP="004F5FF1" w14:paraId="71FBEEDA" w14:textId="2803843E">
      <w:pPr>
        <w:pStyle w:val="FootnoteText"/>
        <w:ind w:left="567" w:hanging="567"/>
        <w:rPr>
          <w:bCs/>
          <w:iCs/>
          <w:sz w:val="24"/>
          <w:szCs w:val="24"/>
          <w:lang w:val="sk-SK"/>
        </w:rPr>
      </w:pPr>
      <w:r>
        <w:rPr>
          <w:rStyle w:val="FootnoteReference"/>
        </w:rPr>
        <w:footnoteRef/>
      </w:r>
      <w:r w:rsidRPr="004F5FF1">
        <w:rPr>
          <w:lang w:val="sk-SK"/>
        </w:rPr>
        <w:t xml:space="preserve"> </w:t>
      </w:r>
      <w:r w:rsidRPr="004F5FF1">
        <w:rPr>
          <w:lang w:val="sk-SK"/>
        </w:rPr>
        <w:tab/>
      </w:r>
      <w:r w:rsidRPr="004F5FF1">
        <w:rPr>
          <w:bCs/>
          <w:iCs/>
          <w:sz w:val="24"/>
          <w:szCs w:val="24"/>
          <w:lang w:val="sk-SK"/>
        </w:rPr>
        <w:t>Nariadenie Európskeho parlamentu a Rady (EÚ) 2019/452 z 19. marca 2019, ktorým sa ustanovuje rámec na preverovanie priamych zahraničných investícií do Únie (Ú. v. EÚ L 79</w:t>
      </w:r>
      <w:r w:rsidR="00E8778D">
        <w:rPr>
          <w:bCs/>
          <w:iCs/>
          <w:sz w:val="24"/>
          <w:szCs w:val="24"/>
          <w:lang w:val="sk-SK"/>
        </w:rPr>
        <w:t xml:space="preserve"> </w:t>
      </w:r>
      <w:r w:rsidRPr="004F5FF1">
        <w:rPr>
          <w:bCs/>
          <w:iCs/>
          <w:sz w:val="24"/>
          <w:szCs w:val="24"/>
          <w:lang w:val="sk-SK"/>
        </w:rPr>
        <w:t>I, 21.3.2019, s. 1, ELI: </w:t>
      </w:r>
      <w:hyperlink r:id="rId15" w:tooltip="Umožňuje prístup k tomuto dokumentu prostredníctvom identifikátora URI používaného v rámci ELI." w:history="1">
        <w:r w:rsidRPr="004F5FF1">
          <w:rPr>
            <w:rStyle w:val="Hyperlink"/>
            <w:bCs/>
            <w:iCs/>
            <w:color w:val="0000FF"/>
            <w:sz w:val="24"/>
            <w:szCs w:val="24"/>
            <w:lang w:val="sk-SK"/>
          </w:rPr>
          <w:t>http://data.europa.eu/eli/reg/2019/452/oj</w:t>
        </w:r>
      </w:hyperlink>
      <w:r w:rsidRPr="004F5FF1">
        <w:rPr>
          <w:bCs/>
          <w:iCs/>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4D9F" w14:paraId="3587ECC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4D9F" w14:paraId="1FC4540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44D9F" w14:paraId="7089789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4157616">
    <w:abstractNumId w:val="9"/>
  </w:num>
  <w:num w:numId="2" w16cid:durableId="713778089">
    <w:abstractNumId w:val="9"/>
  </w:num>
  <w:num w:numId="3" w16cid:durableId="1121265048">
    <w:abstractNumId w:val="7"/>
  </w:num>
  <w:num w:numId="4" w16cid:durableId="1174148680">
    <w:abstractNumId w:val="7"/>
  </w:num>
  <w:num w:numId="5" w16cid:durableId="1973291647">
    <w:abstractNumId w:val="6"/>
  </w:num>
  <w:num w:numId="6" w16cid:durableId="1513253529">
    <w:abstractNumId w:val="6"/>
  </w:num>
  <w:num w:numId="7" w16cid:durableId="1315138282">
    <w:abstractNumId w:val="5"/>
  </w:num>
  <w:num w:numId="8" w16cid:durableId="1640068676">
    <w:abstractNumId w:val="5"/>
  </w:num>
  <w:num w:numId="9" w16cid:durableId="1715037854">
    <w:abstractNumId w:val="4"/>
  </w:num>
  <w:num w:numId="10" w16cid:durableId="1637755732">
    <w:abstractNumId w:val="4"/>
  </w:num>
  <w:num w:numId="11" w16cid:durableId="268271603">
    <w:abstractNumId w:val="8"/>
  </w:num>
  <w:num w:numId="12" w16cid:durableId="1241330007">
    <w:abstractNumId w:val="8"/>
  </w:num>
  <w:num w:numId="13" w16cid:durableId="2122992416">
    <w:abstractNumId w:val="3"/>
  </w:num>
  <w:num w:numId="14" w16cid:durableId="944963848">
    <w:abstractNumId w:val="3"/>
  </w:num>
  <w:num w:numId="15" w16cid:durableId="1595167726">
    <w:abstractNumId w:val="2"/>
  </w:num>
  <w:num w:numId="16" w16cid:durableId="710110823">
    <w:abstractNumId w:val="2"/>
  </w:num>
  <w:num w:numId="17" w16cid:durableId="1939556444">
    <w:abstractNumId w:val="1"/>
  </w:num>
  <w:num w:numId="18" w16cid:durableId="1226142061">
    <w:abstractNumId w:val="1"/>
  </w:num>
  <w:num w:numId="19" w16cid:durableId="1814327234">
    <w:abstractNumId w:val="0"/>
  </w:num>
  <w:num w:numId="20" w16cid:durableId="1805460041">
    <w:abstractNumId w:val="0"/>
  </w:num>
  <w:num w:numId="21" w16cid:durableId="237594190">
    <w:abstractNumId w:val="9"/>
  </w:num>
  <w:num w:numId="22" w16cid:durableId="1494252974">
    <w:abstractNumId w:val="7"/>
  </w:num>
  <w:num w:numId="23" w16cid:durableId="21904305">
    <w:abstractNumId w:val="6"/>
  </w:num>
  <w:num w:numId="24" w16cid:durableId="377828316">
    <w:abstractNumId w:val="5"/>
  </w:num>
  <w:num w:numId="25" w16cid:durableId="1168639932">
    <w:abstractNumId w:val="4"/>
  </w:num>
  <w:num w:numId="26" w16cid:durableId="1685280637">
    <w:abstractNumId w:val="8"/>
  </w:num>
  <w:num w:numId="27" w16cid:durableId="1481577832">
    <w:abstractNumId w:val="3"/>
  </w:num>
  <w:num w:numId="28" w16cid:durableId="1488089369">
    <w:abstractNumId w:val="2"/>
  </w:num>
  <w:num w:numId="29" w16cid:durableId="1368291116">
    <w:abstractNumId w:val="1"/>
  </w:num>
  <w:num w:numId="30" w16cid:durableId="683366443">
    <w:abstractNumId w:val="0"/>
  </w:num>
  <w:num w:numId="31" w16cid:durableId="1815414115">
    <w:abstractNumId w:val="9"/>
  </w:num>
  <w:num w:numId="32" w16cid:durableId="614562140">
    <w:abstractNumId w:val="7"/>
  </w:num>
  <w:num w:numId="33" w16cid:durableId="1383754846">
    <w:abstractNumId w:val="6"/>
  </w:num>
  <w:num w:numId="34" w16cid:durableId="381758083">
    <w:abstractNumId w:val="5"/>
  </w:num>
  <w:num w:numId="35" w16cid:durableId="1697542119">
    <w:abstractNumId w:val="4"/>
  </w:num>
  <w:num w:numId="36" w16cid:durableId="516115490">
    <w:abstractNumId w:val="8"/>
  </w:num>
  <w:num w:numId="37" w16cid:durableId="899710560">
    <w:abstractNumId w:val="3"/>
  </w:num>
  <w:num w:numId="38" w16cid:durableId="1930693776">
    <w:abstractNumId w:val="2"/>
  </w:num>
  <w:num w:numId="39" w16cid:durableId="1636176828">
    <w:abstractNumId w:val="1"/>
  </w:num>
  <w:num w:numId="40" w16cid:durableId="1028218161">
    <w:abstractNumId w:val="0"/>
  </w:num>
  <w:num w:numId="41" w16cid:durableId="18630153">
    <w:abstractNumId w:val="10"/>
  </w:num>
  <w:num w:numId="42" w16cid:durableId="1345398479">
    <w:abstractNumId w:val="10"/>
  </w:num>
  <w:num w:numId="43" w16cid:durableId="55518549">
    <w:abstractNumId w:val="10"/>
  </w:num>
  <w:num w:numId="44" w16cid:durableId="18170627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C79"/>
    <w:rsid w:val="00002272"/>
    <w:rsid w:val="000511E1"/>
    <w:rsid w:val="00064002"/>
    <w:rsid w:val="000677B9"/>
    <w:rsid w:val="000831BA"/>
    <w:rsid w:val="000A42CC"/>
    <w:rsid w:val="000E7DD9"/>
    <w:rsid w:val="0010095E"/>
    <w:rsid w:val="00125B37"/>
    <w:rsid w:val="00184446"/>
    <w:rsid w:val="00187494"/>
    <w:rsid w:val="001F32AE"/>
    <w:rsid w:val="002767FF"/>
    <w:rsid w:val="002B18FE"/>
    <w:rsid w:val="002B5493"/>
    <w:rsid w:val="00343214"/>
    <w:rsid w:val="00361C00"/>
    <w:rsid w:val="00395FA1"/>
    <w:rsid w:val="003E15D4"/>
    <w:rsid w:val="00411CCE"/>
    <w:rsid w:val="0041666E"/>
    <w:rsid w:val="00421060"/>
    <w:rsid w:val="00424785"/>
    <w:rsid w:val="00471C19"/>
    <w:rsid w:val="0047391E"/>
    <w:rsid w:val="004867E3"/>
    <w:rsid w:val="00494A28"/>
    <w:rsid w:val="004C0004"/>
    <w:rsid w:val="004C5D52"/>
    <w:rsid w:val="004F5FF1"/>
    <w:rsid w:val="0050519A"/>
    <w:rsid w:val="005072A1"/>
    <w:rsid w:val="00514517"/>
    <w:rsid w:val="00544D9F"/>
    <w:rsid w:val="00545827"/>
    <w:rsid w:val="00560270"/>
    <w:rsid w:val="005C2568"/>
    <w:rsid w:val="005F1B17"/>
    <w:rsid w:val="006037C0"/>
    <w:rsid w:val="006631B6"/>
    <w:rsid w:val="00680577"/>
    <w:rsid w:val="0069244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6838"/>
    <w:rsid w:val="00A1687D"/>
    <w:rsid w:val="00A43E52"/>
    <w:rsid w:val="00A4678D"/>
    <w:rsid w:val="00A778C7"/>
    <w:rsid w:val="00AB441E"/>
    <w:rsid w:val="00AB6293"/>
    <w:rsid w:val="00AE0928"/>
    <w:rsid w:val="00AF3B82"/>
    <w:rsid w:val="00B12E95"/>
    <w:rsid w:val="00B13C79"/>
    <w:rsid w:val="00B22876"/>
    <w:rsid w:val="00B558F0"/>
    <w:rsid w:val="00BA7AC3"/>
    <w:rsid w:val="00BD48FE"/>
    <w:rsid w:val="00BD7BD8"/>
    <w:rsid w:val="00BE6ADC"/>
    <w:rsid w:val="00C05BFE"/>
    <w:rsid w:val="00C23CD4"/>
    <w:rsid w:val="00C61C0C"/>
    <w:rsid w:val="00C941CB"/>
    <w:rsid w:val="00CC2357"/>
    <w:rsid w:val="00CD310F"/>
    <w:rsid w:val="00CF071A"/>
    <w:rsid w:val="00D058B8"/>
    <w:rsid w:val="00D56C11"/>
    <w:rsid w:val="00D834A0"/>
    <w:rsid w:val="00D872DF"/>
    <w:rsid w:val="00D91E21"/>
    <w:rsid w:val="00DA7FCD"/>
    <w:rsid w:val="00DC0C92"/>
    <w:rsid w:val="00E160B4"/>
    <w:rsid w:val="00E365E1"/>
    <w:rsid w:val="00E50C62"/>
    <w:rsid w:val="00E820A4"/>
    <w:rsid w:val="00E8778D"/>
    <w:rsid w:val="00EB006A"/>
    <w:rsid w:val="00EB4772"/>
    <w:rsid w:val="00ED169E"/>
    <w:rsid w:val="00ED4235"/>
    <w:rsid w:val="00F04346"/>
    <w:rsid w:val="00F075DC"/>
    <w:rsid w:val="00F149E9"/>
    <w:rsid w:val="00F226E9"/>
    <w:rsid w:val="00F4282D"/>
    <w:rsid w:val="00F5134D"/>
    <w:rsid w:val="00F72EE7"/>
    <w:rsid w:val="00F74202"/>
    <w:rsid w:val="00F87713"/>
    <w:rsid w:val="00F930D7"/>
    <w:rsid w:val="00FB4360"/>
    <w:rsid w:val="00FD0C70"/>
  </w:rsids>
  <w:docVars>
    <w:docVar w:name="dvdocse" w:val="B10-0190/2026"/>
    <w:docVar w:name="dvlangue" w:val="SK"/>
    <w:docVar w:name="dvnumam" w:val="0"/>
    <w:docVar w:name="dvpe" w:val="785.295"/>
    <w:docVar w:name="dvtitre" w:val="Uznesenie Európskeho parlamentu z/zo xx. xxx 2026 o presadzovaní aktu o digitálnych trhoch(2026/259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7A647AC"/>
  <w15:chartTrackingRefBased/>
  <w15:docId w15:val="{1BDFFAA7-14B0-42B6-8453-6FA238F39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84446"/>
    <w:pPr>
      <w:spacing w:before="480" w:after="240"/>
    </w:pPr>
  </w:style>
  <w:style w:type="paragraph" w:customStyle="1" w:styleId="NormalHanging12a">
    <w:name w:val="NormalHanging12a"/>
    <w:basedOn w:val="Normal"/>
    <w:rsid w:val="00184446"/>
    <w:pPr>
      <w:spacing w:after="240"/>
      <w:ind w:left="567" w:hanging="567"/>
    </w:pPr>
  </w:style>
  <w:style w:type="character" w:styleId="Hyperlink">
    <w:name w:val="Hyperlink"/>
    <w:basedOn w:val="DefaultParagraphFont"/>
    <w:unhideWhenUsed/>
    <w:rsid w:val="00184446"/>
    <w:rPr>
      <w:color w:val="0563C1" w:themeColor="hyperlink"/>
      <w:u w:val="single"/>
    </w:rPr>
  </w:style>
  <w:style w:type="paragraph" w:styleId="Revision">
    <w:name w:val="Revision"/>
    <w:hidden/>
    <w:uiPriority w:val="99"/>
    <w:semiHidden/>
    <w:rsid w:val="00E160B4"/>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1925/oj" TargetMode="External" /><Relationship Id="rId10" Type="http://schemas.openxmlformats.org/officeDocument/2006/relationships/hyperlink" Target="http://data.europa.eu/eli/C/2025/3466/oj" TargetMode="External" /><Relationship Id="rId11" Type="http://schemas.openxmlformats.org/officeDocument/2006/relationships/hyperlink" Target="http://data.europa.eu/eli/reg_impl/2023/814/oj" TargetMode="External" /><Relationship Id="rId12" Type="http://schemas.openxmlformats.org/officeDocument/2006/relationships/hyperlink" Target="http://data.europa.eu/eli/reg/2023/2854/oj" TargetMode="External" /><Relationship Id="rId13" Type="http://schemas.openxmlformats.org/officeDocument/2006/relationships/hyperlink" Target="http://data.europa.eu/eli/reg/2024/1689/oj" TargetMode="External" /><Relationship Id="rId14" Type="http://schemas.openxmlformats.org/officeDocument/2006/relationships/hyperlink" Target="http://data.europa.eu/eli/reg/2022/2560/oj" TargetMode="External" /><Relationship Id="rId15" Type="http://schemas.openxmlformats.org/officeDocument/2006/relationships/hyperlink" Target="http://data.europa.eu/eli/reg/2019/452/oj" TargetMode="External" /><Relationship Id="rId2" Type="http://schemas.openxmlformats.org/officeDocument/2006/relationships/hyperlink" Target="http://data.europa.eu/eli/C/2023/549/oj" TargetMode="External" /><Relationship Id="rId3" Type="http://schemas.openxmlformats.org/officeDocument/2006/relationships/hyperlink" Target="http://data.europa.eu/eli/C/2023/905/oj" TargetMode="External" /><Relationship Id="rId4" Type="http://schemas.openxmlformats.org/officeDocument/2006/relationships/hyperlink" Target="http://data.europa.eu/eli/C/2025/4646/oj" TargetMode="External" /><Relationship Id="rId5" Type="http://schemas.openxmlformats.org/officeDocument/2006/relationships/hyperlink" Target="http://data.europa.eu/eli/C/2023/552/oj" TargetMode="External" /><Relationship Id="rId6" Type="http://schemas.openxmlformats.org/officeDocument/2006/relationships/hyperlink" Target="http://data.europa.eu/eli/C/2023/1092/oj" TargetMode="External" /><Relationship Id="rId7" Type="http://schemas.openxmlformats.org/officeDocument/2006/relationships/hyperlink" Target="http://data.europa.eu/eli/C/2023/551/oj" TargetMode="External" /><Relationship Id="rId8" Type="http://schemas.openxmlformats.org/officeDocument/2006/relationships/hyperlink" Target="http://data.europa.eu/eli/C/2024/4374/oj" TargetMode="External" /><Relationship Id="rId9" Type="http://schemas.openxmlformats.org/officeDocument/2006/relationships/hyperlink" Target="http://data.europa.eu/eli/C/2024/43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4141</Words>
  <Characters>26838</Characters>
  <Application>Microsoft Office Word</Application>
  <DocSecurity>0</DocSecurity>
  <Lines>223</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2026-06-05T09:24:00Z</dcterms:created>
  <dcterms:modified xsi:type="dcterms:W3CDTF">2026-09-21T13:15:00Z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B10-0190/2026</vt:lpwstr>
  </property>
  <property fmtid="{D5CDD505-2E9C-101B-9397-08002B2CF9AE}" pid="4" name="&lt;Type&gt;">
    <vt:lpwstr>RR</vt:lpwstr>
  </property>
</Properties>
</file>