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4D0" w14:paraId="3E9056BF" w14:textId="77777777" w:rsidTr="0010095E">
        <w:trPr>
          <w:trHeight w:hRule="exact" w:val="1418"/>
        </w:trPr>
        <w:tc>
          <w:tcPr>
            <w:tcW w:w="6804" w:type="dxa"/>
            <w:shd w:val="clear" w:color="auto" w:fill="auto"/>
            <w:vAlign w:val="center"/>
          </w:tcPr>
          <w:p w14:paraId="6CF17B8C" w14:textId="77777777" w:rsidR="00751A4A" w:rsidRPr="00CD34D0" w:rsidRDefault="00CC7A0C" w:rsidP="0010095E">
            <w:pPr>
              <w:pStyle w:val="EPName"/>
            </w:pPr>
            <w:r w:rsidRPr="00CD34D0">
              <w:t>Europaparlamentet</w:t>
            </w:r>
          </w:p>
          <w:p w14:paraId="071D8846" w14:textId="77777777" w:rsidR="00751A4A" w:rsidRPr="00CD34D0" w:rsidRDefault="005F1B17" w:rsidP="005F1B17">
            <w:pPr>
              <w:pStyle w:val="EPTerm"/>
              <w:rPr>
                <w:rStyle w:val="HideTWBExt"/>
                <w:noProof w:val="0"/>
                <w:vanish w:val="0"/>
                <w:color w:val="auto"/>
              </w:rPr>
            </w:pPr>
            <w:r w:rsidRPr="00CD34D0">
              <w:t>2024</w:t>
            </w:r>
            <w:r w:rsidR="00817416" w:rsidRPr="00CD34D0">
              <w:t>-202</w:t>
            </w:r>
            <w:r w:rsidRPr="00CD34D0">
              <w:t>9</w:t>
            </w:r>
          </w:p>
        </w:tc>
        <w:tc>
          <w:tcPr>
            <w:tcW w:w="2268" w:type="dxa"/>
            <w:shd w:val="clear" w:color="auto" w:fill="auto"/>
          </w:tcPr>
          <w:p w14:paraId="130193D0" w14:textId="77777777" w:rsidR="00751A4A" w:rsidRPr="00CD34D0" w:rsidRDefault="00187494" w:rsidP="0010095E">
            <w:pPr>
              <w:pStyle w:val="EPLogo"/>
            </w:pPr>
            <w:r w:rsidRPr="00CD34D0">
              <w:rPr>
                <w:noProof/>
                <w:lang w:eastAsia="ja-JP"/>
              </w:rPr>
              <w:drawing>
                <wp:inline distT="0" distB="0" distL="0" distR="0" wp14:anchorId="015C377B" wp14:editId="49C91F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5CC277" w14:textId="77777777" w:rsidR="00D058B8" w:rsidRPr="00CD34D0" w:rsidRDefault="00D058B8" w:rsidP="004C5D52">
      <w:pPr>
        <w:pStyle w:val="LineTop"/>
      </w:pPr>
    </w:p>
    <w:p w14:paraId="7B9D2A57" w14:textId="77777777" w:rsidR="00680577" w:rsidRPr="00CD34D0" w:rsidRDefault="00CC7A0C" w:rsidP="00680577">
      <w:pPr>
        <w:pStyle w:val="EPBodyTA1"/>
      </w:pPr>
      <w:r w:rsidRPr="00CD34D0">
        <w:t>ANTAGNA TEXTER</w:t>
      </w:r>
    </w:p>
    <w:p w14:paraId="576E4703" w14:textId="77777777" w:rsidR="00D058B8" w:rsidRPr="00CD34D0" w:rsidRDefault="00D058B8" w:rsidP="00D058B8">
      <w:pPr>
        <w:pStyle w:val="LineBottom"/>
      </w:pPr>
    </w:p>
    <w:p w14:paraId="3CA71E39" w14:textId="3E8B473F" w:rsidR="00CC7A0C" w:rsidRPr="00CD34D0" w:rsidRDefault="00CC7A0C" w:rsidP="00CC7A0C">
      <w:pPr>
        <w:pStyle w:val="ATHeading1"/>
      </w:pPr>
      <w:bookmarkStart w:id="0" w:name="TANumber"/>
      <w:r w:rsidRPr="00CD34D0">
        <w:t>P10_TA(2026)0</w:t>
      </w:r>
      <w:r w:rsidR="009D20D5" w:rsidRPr="00CD34D0">
        <w:t>160</w:t>
      </w:r>
      <w:bookmarkEnd w:id="0"/>
    </w:p>
    <w:p w14:paraId="723F4C44" w14:textId="77777777" w:rsidR="00CC7A0C" w:rsidRPr="00CD34D0" w:rsidRDefault="00CC7A0C" w:rsidP="00CC7A0C">
      <w:pPr>
        <w:pStyle w:val="ATHeading2"/>
      </w:pPr>
      <w:bookmarkStart w:id="1" w:name="title"/>
      <w:r w:rsidRPr="00CD34D0">
        <w:t>Tillämpningen av förordningen om digitala marknader</w:t>
      </w:r>
      <w:bookmarkEnd w:id="1"/>
    </w:p>
    <w:p w14:paraId="015DCB90" w14:textId="77777777" w:rsidR="00CC7A0C" w:rsidRPr="00CD34D0" w:rsidRDefault="00CC7A0C" w:rsidP="00CC7A0C">
      <w:pPr>
        <w:rPr>
          <w:i/>
          <w:vanish/>
        </w:rPr>
      </w:pPr>
      <w:r w:rsidRPr="00CD34D0">
        <w:rPr>
          <w:i/>
        </w:rPr>
        <w:fldChar w:fldCharType="begin"/>
      </w:r>
      <w:r w:rsidRPr="00CD34D0">
        <w:rPr>
          <w:i/>
        </w:rPr>
        <w:instrText xml:space="preserve"> TC"(</w:instrText>
      </w:r>
      <w:bookmarkStart w:id="2" w:name="DocNumber"/>
      <w:r w:rsidRPr="00CD34D0">
        <w:rPr>
          <w:i/>
        </w:rPr>
        <w:instrText>B10-0190/2026</w:instrText>
      </w:r>
      <w:bookmarkEnd w:id="2"/>
      <w:r w:rsidRPr="00CD34D0">
        <w:rPr>
          <w:i/>
        </w:rPr>
        <w:instrText xml:space="preserve">)"\l3 \n&gt; \* MERGEFORMAT </w:instrText>
      </w:r>
      <w:r w:rsidRPr="00CD34D0">
        <w:rPr>
          <w:i/>
        </w:rPr>
        <w:fldChar w:fldCharType="end"/>
      </w:r>
    </w:p>
    <w:p w14:paraId="0656F45C" w14:textId="77777777" w:rsidR="00CC7A0C" w:rsidRPr="00CD34D0" w:rsidRDefault="00CC7A0C" w:rsidP="00CC7A0C">
      <w:pPr>
        <w:rPr>
          <w:vanish/>
        </w:rPr>
      </w:pPr>
      <w:bookmarkStart w:id="3" w:name="PE"/>
      <w:r w:rsidRPr="00CD34D0">
        <w:rPr>
          <w:vanish/>
        </w:rPr>
        <w:t>PE785.295</w:t>
      </w:r>
      <w:bookmarkEnd w:id="3"/>
    </w:p>
    <w:p w14:paraId="50E924DF" w14:textId="63DB8041" w:rsidR="00CC7A0C" w:rsidRPr="00CD34D0" w:rsidRDefault="00CC7A0C" w:rsidP="00CC7A0C">
      <w:pPr>
        <w:pStyle w:val="ATHeading3"/>
      </w:pPr>
      <w:bookmarkStart w:id="4" w:name="Sujet"/>
      <w:r w:rsidRPr="00CD34D0">
        <w:t xml:space="preserve">Europaparlamentets resolution av den </w:t>
      </w:r>
      <w:r w:rsidR="00EF46B2" w:rsidRPr="00CD34D0">
        <w:t>30 april</w:t>
      </w:r>
      <w:r w:rsidRPr="00CD34D0">
        <w:t xml:space="preserve"> 2026 om tillämpningen av förordningen om digitala marknader</w:t>
      </w:r>
      <w:bookmarkEnd w:id="4"/>
      <w:r w:rsidRPr="00CD34D0">
        <w:t xml:space="preserve"> </w:t>
      </w:r>
      <w:bookmarkStart w:id="5" w:name="References"/>
      <w:r w:rsidRPr="00CD34D0">
        <w:t>(2026/2596(RSP))</w:t>
      </w:r>
      <w:bookmarkEnd w:id="5"/>
    </w:p>
    <w:p w14:paraId="5BAAF7B8" w14:textId="77777777" w:rsidR="00B567BC" w:rsidRPr="00CD34D0" w:rsidRDefault="00B567BC" w:rsidP="00B567BC">
      <w:pPr>
        <w:pStyle w:val="EPComma"/>
      </w:pPr>
      <w:bookmarkStart w:id="6" w:name="TextBodyBegin"/>
      <w:bookmarkEnd w:id="6"/>
      <w:r w:rsidRPr="00CD34D0">
        <w:rPr>
          <w:i/>
        </w:rPr>
        <w:t>Europaparlamentet utfärdar denna resolution</w:t>
      </w:r>
    </w:p>
    <w:p w14:paraId="48EE230A" w14:textId="77777777" w:rsidR="00B567BC" w:rsidRPr="00CD34D0" w:rsidRDefault="00B567BC" w:rsidP="00B567BC">
      <w:pPr>
        <w:pStyle w:val="NormalHanging12a"/>
      </w:pPr>
      <w:r w:rsidRPr="00CD34D0">
        <w:t>–</w:t>
      </w:r>
      <w:r w:rsidRPr="00CD34D0">
        <w:tab/>
        <w:t>med beaktande av Europaparlamentets och rådets förordning (EU) 2022/1925 av den 14 september 2022 om öppna och rättvisa marknader inom den digitala sektorn och om ändring av direktiv (EU) 2019/1937 och (EU) 2020/1828 (Förordningen om digitala marknader)</w:t>
      </w:r>
      <w:r w:rsidRPr="00CD34D0">
        <w:rPr>
          <w:rStyle w:val="FootnoteReference"/>
        </w:rPr>
        <w:footnoteReference w:id="1"/>
      </w:r>
      <w:r w:rsidRPr="00CD34D0">
        <w:t>, särskilt artikel 53,</w:t>
      </w:r>
    </w:p>
    <w:p w14:paraId="72C309BA" w14:textId="3923E687" w:rsidR="00B567BC" w:rsidRPr="00CD34D0" w:rsidRDefault="00B567BC" w:rsidP="00B567BC">
      <w:pPr>
        <w:pStyle w:val="NormalHanging12a"/>
      </w:pPr>
      <w:r w:rsidRPr="00CD34D0">
        <w:t>–</w:t>
      </w:r>
      <w:r w:rsidRPr="00CD34D0">
        <w:tab/>
        <w:t>med beaktande av frågan till kommissionen om tillämpningen av förordningen om digitala marknader (O-0000</w:t>
      </w:r>
      <w:r w:rsidR="00EF46B2" w:rsidRPr="00CD34D0">
        <w:t>16/2026</w:t>
      </w:r>
      <w:r w:rsidRPr="00CD34D0">
        <w:t xml:space="preserve"> - B10</w:t>
      </w:r>
      <w:r w:rsidRPr="00CD34D0">
        <w:noBreakHyphen/>
        <w:t>00</w:t>
      </w:r>
      <w:r w:rsidR="00EF46B2" w:rsidRPr="00CD34D0">
        <w:t>10</w:t>
      </w:r>
      <w:r w:rsidRPr="00CD34D0">
        <w:t>/2026),</w:t>
      </w:r>
    </w:p>
    <w:p w14:paraId="3F590F45" w14:textId="77777777" w:rsidR="00B567BC" w:rsidRPr="00CD34D0" w:rsidRDefault="00B567BC" w:rsidP="00B567BC">
      <w:pPr>
        <w:pStyle w:val="NormalHanging12a"/>
        <w:rPr>
          <w:rFonts w:eastAsia="Aptos"/>
          <w:kern w:val="2"/>
          <w:szCs w:val="24"/>
          <w14:ligatures w14:val="standardContextual"/>
        </w:rPr>
      </w:pPr>
      <w:r w:rsidRPr="00CD34D0">
        <w:t>–</w:t>
      </w:r>
      <w:r w:rsidRPr="00CD34D0">
        <w:tab/>
        <w:t xml:space="preserve">med beaktande av kommissionens beslut av den 6 september 2023, antaget i enlighet med artikel 3 i förordning (EU) 2022/1925, om att beteckna </w:t>
      </w:r>
      <w:proofErr w:type="spellStart"/>
      <w:r w:rsidRPr="00CD34D0">
        <w:t>Alphabet</w:t>
      </w:r>
      <w:proofErr w:type="spellEnd"/>
      <w:r w:rsidRPr="00CD34D0">
        <w:rPr>
          <w:rFonts w:eastAsia="MS Mincho"/>
          <w:vertAlign w:val="superscript"/>
          <w:lang w:eastAsia="en-US"/>
        </w:rPr>
        <w:footnoteReference w:id="2"/>
      </w:r>
      <w:r w:rsidRPr="00CD34D0">
        <w:t>, Amazon</w:t>
      </w:r>
      <w:r w:rsidRPr="00CD34D0">
        <w:rPr>
          <w:rFonts w:eastAsia="MS Mincho"/>
          <w:vertAlign w:val="superscript"/>
          <w:lang w:eastAsia="en-US"/>
        </w:rPr>
        <w:footnoteReference w:id="3"/>
      </w:r>
      <w:r w:rsidRPr="00CD34D0">
        <w:t>, Apple</w:t>
      </w:r>
      <w:r w:rsidRPr="00CD34D0">
        <w:rPr>
          <w:rFonts w:eastAsia="MS Mincho"/>
          <w:vertAlign w:val="superscript"/>
          <w:lang w:eastAsia="en-US"/>
        </w:rPr>
        <w:footnoteReference w:id="4"/>
      </w:r>
      <w:r w:rsidRPr="00CD34D0">
        <w:t xml:space="preserve">, </w:t>
      </w:r>
      <w:proofErr w:type="spellStart"/>
      <w:r w:rsidRPr="00CD34D0">
        <w:t>ByteDance</w:t>
      </w:r>
      <w:proofErr w:type="spellEnd"/>
      <w:r w:rsidRPr="00CD34D0">
        <w:rPr>
          <w:rFonts w:eastAsia="MS Mincho"/>
          <w:vertAlign w:val="superscript"/>
          <w:lang w:eastAsia="en-US"/>
        </w:rPr>
        <w:footnoteReference w:id="5"/>
      </w:r>
      <w:r w:rsidRPr="00CD34D0">
        <w:t>, Meta</w:t>
      </w:r>
      <w:r w:rsidRPr="00CD34D0">
        <w:rPr>
          <w:rFonts w:eastAsia="MS Mincho"/>
          <w:vertAlign w:val="superscript"/>
          <w:lang w:eastAsia="en-US"/>
        </w:rPr>
        <w:footnoteReference w:id="6"/>
      </w:r>
      <w:r w:rsidRPr="00CD34D0">
        <w:t xml:space="preserve"> och Microsoft</w:t>
      </w:r>
      <w:r w:rsidRPr="00CD34D0">
        <w:rPr>
          <w:rFonts w:eastAsia="MS Mincho"/>
          <w:vertAlign w:val="superscript"/>
          <w:lang w:eastAsia="en-US"/>
        </w:rPr>
        <w:footnoteReference w:id="7"/>
      </w:r>
      <w:r w:rsidRPr="00CD34D0">
        <w:t xml:space="preserve"> som grindvakter för ett antal centrala plattformstjänster,</w:t>
      </w:r>
    </w:p>
    <w:p w14:paraId="56AB96B8" w14:textId="77777777" w:rsidR="00B567BC" w:rsidRPr="00CD34D0" w:rsidRDefault="00B567BC" w:rsidP="00B567BC">
      <w:pPr>
        <w:pStyle w:val="NormalHanging12a"/>
        <w:rPr>
          <w:rFonts w:eastAsia="Aptos"/>
          <w:kern w:val="2"/>
          <w:szCs w:val="24"/>
          <w14:ligatures w14:val="standardContextual"/>
        </w:rPr>
      </w:pPr>
      <w:r w:rsidRPr="00CD34D0">
        <w:t>–</w:t>
      </w:r>
      <w:r w:rsidRPr="00CD34D0">
        <w:tab/>
        <w:t>med beaktande av kommissionens beslut av den 29 april 2024</w:t>
      </w:r>
      <w:r w:rsidRPr="00CD34D0">
        <w:rPr>
          <w:rFonts w:eastAsia="MS Mincho"/>
          <w:szCs w:val="24"/>
          <w:vertAlign w:val="superscript"/>
          <w:lang w:eastAsia="en-US"/>
        </w:rPr>
        <w:footnoteReference w:id="8"/>
      </w:r>
      <w:r w:rsidRPr="00CD34D0">
        <w:t xml:space="preserve">, antaget i enlighet med artikel 3 i förordning (EU) 2022/1925, om att beteckna Apples operativsystem </w:t>
      </w:r>
      <w:proofErr w:type="spellStart"/>
      <w:r w:rsidRPr="00CD34D0">
        <w:t>iPadOS</w:t>
      </w:r>
      <w:proofErr w:type="spellEnd"/>
      <w:r w:rsidRPr="00CD34D0">
        <w:t xml:space="preserve"> som en central plattformstjänst,</w:t>
      </w:r>
    </w:p>
    <w:p w14:paraId="0FC1E3B8" w14:textId="77777777" w:rsidR="00B567BC" w:rsidRPr="00CD34D0" w:rsidRDefault="00B567BC" w:rsidP="00B567BC">
      <w:pPr>
        <w:pStyle w:val="NormalHanging12a"/>
        <w:rPr>
          <w:rFonts w:eastAsia="Aptos"/>
          <w:kern w:val="2"/>
          <w:szCs w:val="24"/>
          <w14:ligatures w14:val="standardContextual"/>
        </w:rPr>
      </w:pPr>
      <w:r w:rsidRPr="00CD34D0">
        <w:t>–</w:t>
      </w:r>
      <w:r w:rsidRPr="00CD34D0">
        <w:tab/>
        <w:t>med beaktande av kommissionens beslut av den 13 maj 2024</w:t>
      </w:r>
      <w:r w:rsidRPr="00CD34D0">
        <w:rPr>
          <w:rFonts w:eastAsia="MS Mincho"/>
          <w:szCs w:val="24"/>
          <w:vertAlign w:val="superscript"/>
          <w:lang w:eastAsia="en-US"/>
        </w:rPr>
        <w:footnoteReference w:id="9"/>
      </w:r>
      <w:r w:rsidRPr="00CD34D0">
        <w:t xml:space="preserve">, antaget i enlighet med artikel 3 i förordning (EU) 2022/1925, om att beteckna Booking.com som grindvakt för dess </w:t>
      </w:r>
      <w:proofErr w:type="spellStart"/>
      <w:r w:rsidRPr="00CD34D0">
        <w:t>onlinebaserade</w:t>
      </w:r>
      <w:proofErr w:type="spellEnd"/>
      <w:r w:rsidRPr="00CD34D0">
        <w:t xml:space="preserve"> förmedlingstjänster,</w:t>
      </w:r>
    </w:p>
    <w:p w14:paraId="1C49B947" w14:textId="77777777" w:rsidR="00B567BC" w:rsidRPr="00CD34D0" w:rsidRDefault="00B567BC" w:rsidP="00B567BC">
      <w:pPr>
        <w:pStyle w:val="NormalHanging12a"/>
        <w:rPr>
          <w:rFonts w:eastAsia="Aptos"/>
          <w:kern w:val="2"/>
          <w:szCs w:val="24"/>
          <w14:ligatures w14:val="standardContextual"/>
        </w:rPr>
      </w:pPr>
      <w:r w:rsidRPr="00CD34D0">
        <w:t>–</w:t>
      </w:r>
      <w:r w:rsidRPr="00CD34D0">
        <w:tab/>
        <w:t>med beaktande av kommissionens beslut av den 23 april 2025</w:t>
      </w:r>
      <w:r w:rsidRPr="00CD34D0">
        <w:rPr>
          <w:rFonts w:eastAsia="MS Mincho"/>
          <w:szCs w:val="24"/>
          <w:vertAlign w:val="superscript"/>
          <w:lang w:eastAsia="en-US"/>
        </w:rPr>
        <w:footnoteReference w:id="10"/>
      </w:r>
      <w:r w:rsidRPr="00CD34D0">
        <w:t xml:space="preserve">, antaget i enlighet med </w:t>
      </w:r>
      <w:r w:rsidRPr="00CD34D0">
        <w:lastRenderedPageBreak/>
        <w:t>artiklarna 29.1 a, 30.1 a och 31.1 h i förordning (EU) 2022/1925, om återkallande av betecknandet av Metas Facebook Marketplace som en central plattformstjänst,</w:t>
      </w:r>
    </w:p>
    <w:p w14:paraId="13D3662A" w14:textId="47DEE6A2" w:rsidR="00B567BC" w:rsidRPr="00CD34D0" w:rsidRDefault="00B567BC" w:rsidP="002F3C02">
      <w:pPr>
        <w:pStyle w:val="NormalHanging12a"/>
        <w:rPr>
          <w:rFonts w:eastAsia="Aptos"/>
          <w:kern w:val="2"/>
          <w:szCs w:val="24"/>
          <w:lang w:eastAsia="en-US"/>
          <w14:ligatures w14:val="standardContextual"/>
        </w:rPr>
      </w:pPr>
      <w:r w:rsidRPr="00CD34D0">
        <w:t>–</w:t>
      </w:r>
      <w:r w:rsidRPr="00CD34D0">
        <w:tab/>
        <w:t>med beaktande av kommissionens genomförandeförordning (EU) 2023/814 av den 14 april 2023 om detaljerade arrangemang för kommissionens handläggning av vissa förfaranden i enlighet med Europaparlamentets och rådets förordning (EU) 2022/1925</w:t>
      </w:r>
      <w:r w:rsidRPr="00CD34D0">
        <w:rPr>
          <w:rFonts w:eastAsia="MS Mincho"/>
          <w:szCs w:val="24"/>
          <w:vertAlign w:val="superscript"/>
          <w:lang w:eastAsia="en-US"/>
        </w:rPr>
        <w:footnoteReference w:id="11"/>
      </w:r>
      <w:r w:rsidRPr="00CD34D0">
        <w:t>,</w:t>
      </w:r>
    </w:p>
    <w:p w14:paraId="30031341" w14:textId="77777777" w:rsidR="00B567BC" w:rsidRPr="00CD34D0" w:rsidRDefault="00B567BC" w:rsidP="00B567BC">
      <w:pPr>
        <w:pStyle w:val="NormalHanging12a"/>
      </w:pPr>
      <w:r w:rsidRPr="00CD34D0">
        <w:t>–</w:t>
      </w:r>
      <w:r w:rsidRPr="00CD34D0">
        <w:tab/>
        <w:t>med beaktande av artiklarna 142.5 och 136.2 i arbetsordningen,</w:t>
      </w:r>
    </w:p>
    <w:p w14:paraId="01066EB9" w14:textId="77777777" w:rsidR="00B567BC" w:rsidRPr="00CD34D0" w:rsidRDefault="00B567BC" w:rsidP="00B567BC">
      <w:pPr>
        <w:pStyle w:val="NormalHanging12a"/>
      </w:pPr>
      <w:r w:rsidRPr="00CD34D0">
        <w:t>A.</w:t>
      </w:r>
      <w:r w:rsidRPr="00CD34D0">
        <w:tab/>
        <w:t>Genom förordningen om digitala marknader inrättas ett harmoniserat regelverk för förhandskontroll i syfte att säkerställa rättvisa, öppna och konkurrensutsatta digitala marknader i hela EU, förhindra otillbörliga grindvaktsmetoder, skydda den inre marknadens integritet och korrekta funktion, säkerställa en effektiv och icke-diskriminerande tillämpning av skyldigheter på alla betecknade grindvakter, undanröja etableringshinder och främja gränsöverskridande digitala tjänster, innovation, konsumentval och rättvis konkurrens i hela EU.</w:t>
      </w:r>
    </w:p>
    <w:p w14:paraId="6ED254F8" w14:textId="77777777" w:rsidR="00B567BC" w:rsidRPr="00CD34D0" w:rsidRDefault="00B567BC" w:rsidP="00B567BC">
      <w:pPr>
        <w:pStyle w:val="NormalHanging12a"/>
      </w:pPr>
      <w:r w:rsidRPr="00CD34D0">
        <w:t>B.</w:t>
      </w:r>
      <w:r w:rsidRPr="00CD34D0">
        <w:tab/>
        <w:t xml:space="preserve">Syftet med förordningen om digitala marknader är att ge påtagliga fördelar på digitala marknader, säkerställa att företagsanvändare och slutanvändare effektivt kan utöva sina rättigheter enligt förordningen och att grindvaktsmetoder inte längre skapar strukturella hinder för etablering eller för möjligheten att växa eller </w:t>
      </w:r>
      <w:proofErr w:type="spellStart"/>
      <w:r w:rsidRPr="00CD34D0">
        <w:t>innovera</w:t>
      </w:r>
      <w:proofErr w:type="spellEnd"/>
      <w:r w:rsidRPr="00CD34D0">
        <w:t xml:space="preserve"> på den inre marknaden, samt förhindra konsumentinlåsning som avhåller konsumenter från att byta till en annan tjänst.</w:t>
      </w:r>
    </w:p>
    <w:p w14:paraId="16129CEB" w14:textId="77777777" w:rsidR="00B567BC" w:rsidRPr="00CD34D0" w:rsidRDefault="00B567BC" w:rsidP="00B567BC">
      <w:pPr>
        <w:pStyle w:val="NormalHanging12a"/>
      </w:pPr>
      <w:r w:rsidRPr="00CD34D0">
        <w:t>C.</w:t>
      </w:r>
      <w:r w:rsidRPr="00CD34D0">
        <w:tab/>
        <w:t>Parlamentet utövar demokratisk kontroll över genomförandet och efterlevnaden av förordningen om digitala marknader, i synnerhet genom utskottet för den inre marknaden och konsumentskydd (IMCO).</w:t>
      </w:r>
    </w:p>
    <w:p w14:paraId="631A94E6" w14:textId="77777777" w:rsidR="00B567BC" w:rsidRPr="00CD34D0" w:rsidRDefault="00B567BC" w:rsidP="00B567BC">
      <w:pPr>
        <w:pStyle w:val="NormalHanging12a"/>
      </w:pPr>
      <w:r w:rsidRPr="00CD34D0">
        <w:t>D.</w:t>
      </w:r>
      <w:r w:rsidRPr="00CD34D0">
        <w:tab/>
        <w:t>Det tidiga genomförandet av förordningen om digitala marknader bekräftar dess betydelse som ett centralt instrument för att förbättra marknadens öppenhet och rättvisa, konkurrensen och användarnas valfrihet i EU, och understryker att alla företag som är verksamma i EU, oavsett storlek eller ursprung, fullt ut måste respektera och efterleva EU-lagstiftningen.</w:t>
      </w:r>
    </w:p>
    <w:p w14:paraId="0DCF17DF" w14:textId="77777777" w:rsidR="00B567BC" w:rsidRPr="00CD34D0" w:rsidRDefault="00B567BC" w:rsidP="00B567BC">
      <w:pPr>
        <w:pStyle w:val="NormalHanging12a"/>
      </w:pPr>
      <w:r w:rsidRPr="00CD34D0">
        <w:t>E.</w:t>
      </w:r>
      <w:r w:rsidRPr="00CD34D0">
        <w:tab/>
        <w:t>Genomförandet av förordningen om digitala marknader befinner sig fortfarande i ett tidigt skede och innebär utmaningar när det gäller ett ändamålsenligt och effektivt tillsynsarbete, övervakningskapacitet och den praktiska effektiviteten hos vissa efterlevnadslösningar, inte minst mot bakgrund av komplexiteten hos underliggande tekniker, utformningen av användargränssnitt och valarkitektur.</w:t>
      </w:r>
    </w:p>
    <w:p w14:paraId="5CD37118" w14:textId="77777777" w:rsidR="00B567BC" w:rsidRPr="00CD34D0" w:rsidRDefault="00B567BC" w:rsidP="00B567BC">
      <w:pPr>
        <w:pStyle w:val="NormalHanging12a"/>
      </w:pPr>
      <w:r w:rsidRPr="00CD34D0">
        <w:t>F.</w:t>
      </w:r>
      <w:r w:rsidRPr="00CD34D0">
        <w:tab/>
        <w:t>Mindre företag, däribland nystartade företag och innovativa expanderande företag, fortsätter att möta hinder och orättvisa handelshinder på digitala marknader, inbegripet diskriminerande metoder och grindvaktsrestriktioner, som kan hämma innovation, begränsa konkurrensen och minska tillväxtmöjligheterna och i slutändan inskränka konsumenternas valfrihet.</w:t>
      </w:r>
    </w:p>
    <w:p w14:paraId="36A69091" w14:textId="77777777" w:rsidR="00B567BC" w:rsidRPr="00CD34D0" w:rsidRDefault="00B567BC" w:rsidP="00B567BC">
      <w:pPr>
        <w:pStyle w:val="NormalHanging12a"/>
      </w:pPr>
      <w:r w:rsidRPr="00CD34D0">
        <w:t>G.</w:t>
      </w:r>
      <w:r w:rsidRPr="00CD34D0">
        <w:tab/>
        <w:t xml:space="preserve">Informationsasymmetrier mellan grindvakter och tillsynsmyndigheter, liksom begränsad insyn i efterlevnadsåtgärder, riskerar att undergräva en effektiv tillsyn, </w:t>
      </w:r>
      <w:r w:rsidRPr="00CD34D0">
        <w:lastRenderedPageBreak/>
        <w:t>ansvarsskyldighet och förtroende för efterlevnaden av förordningen om digitala marknader.</w:t>
      </w:r>
    </w:p>
    <w:p w14:paraId="2F04E544" w14:textId="77777777" w:rsidR="00B567BC" w:rsidRPr="00CD34D0" w:rsidRDefault="00B567BC" w:rsidP="00B567BC">
      <w:pPr>
        <w:pStyle w:val="NormalHanging12a"/>
      </w:pPr>
      <w:r w:rsidRPr="00CD34D0">
        <w:t>H.</w:t>
      </w:r>
      <w:r w:rsidRPr="00CD34D0">
        <w:tab/>
        <w:t xml:space="preserve">Interoperabilitet, dataåtkomst, dataportabilitet och förhindrande av </w:t>
      </w:r>
      <w:proofErr w:type="spellStart"/>
      <w:r w:rsidRPr="00CD34D0">
        <w:t>självpreferering</w:t>
      </w:r>
      <w:proofErr w:type="spellEnd"/>
      <w:r w:rsidRPr="00CD34D0">
        <w:t xml:space="preserve"> utgör centrala inslag i förordningen om digitala marknader och kräver en fortlöpande och rigorös tillsyn, inbegripet i fall där konkurrensskada uppstår till följd av standardinställningar, teknisk integration eller ekosystemeffekter.</w:t>
      </w:r>
    </w:p>
    <w:p w14:paraId="69DC2C54" w14:textId="77777777" w:rsidR="00B567BC" w:rsidRPr="00CD34D0" w:rsidRDefault="00B567BC" w:rsidP="00B567BC">
      <w:pPr>
        <w:pStyle w:val="NormalHanging12a"/>
      </w:pPr>
      <w:r w:rsidRPr="00CD34D0">
        <w:t>I.</w:t>
      </w:r>
      <w:r w:rsidRPr="00CD34D0">
        <w:tab/>
        <w:t xml:space="preserve">Ett flertal skyldigheter enligt förordningen om digitala marknader bygger på aktiva användarval, inbegripet att neka samtycke, </w:t>
      </w:r>
      <w:proofErr w:type="spellStart"/>
      <w:r w:rsidRPr="00CD34D0">
        <w:t>avinstallera</w:t>
      </w:r>
      <w:proofErr w:type="spellEnd"/>
      <w:r w:rsidRPr="00CD34D0">
        <w:t xml:space="preserve"> förinstallerade applikationer, ändra standardinställningar och </w:t>
      </w:r>
      <w:proofErr w:type="spellStart"/>
      <w:r w:rsidRPr="00CD34D0">
        <w:t>portera</w:t>
      </w:r>
      <w:proofErr w:type="spellEnd"/>
      <w:r w:rsidRPr="00CD34D0">
        <w:t xml:space="preserve"> data, vilket gör användarmedvetenhet och utformningen av användargränssnitt centrala för förordningens effektivitet.</w:t>
      </w:r>
    </w:p>
    <w:p w14:paraId="3E9D8F6C" w14:textId="77777777" w:rsidR="00B567BC" w:rsidRPr="00CD34D0" w:rsidRDefault="00B567BC" w:rsidP="00B567BC">
      <w:pPr>
        <w:pStyle w:val="NormalHanging12a"/>
      </w:pPr>
      <w:r w:rsidRPr="00CD34D0">
        <w:t>J.</w:t>
      </w:r>
      <w:r w:rsidRPr="00CD34D0">
        <w:tab/>
        <w:t>Påtagliga resultat vad gäller skapandet av rättvisa, öppna och konkurrensutsatta digitala marknader har kunnat iakttas sedan förordningen om digitala marknader trädde i kraft, i och med att konsumenter nu erbjuds förbättrade och mer neutrala valskärmar när de väljer standardwebbläsare och standardapplikationer, bl.a. vid enhetskonfiguration och via systeminställningar, och har möjlighet att ange tjänster från tredje part som standardalternativ i kategorier som tidigare var begränsade till förinstallerade tjänster.</w:t>
      </w:r>
    </w:p>
    <w:p w14:paraId="3D93F435" w14:textId="77777777" w:rsidR="00B567BC" w:rsidRPr="00CD34D0" w:rsidRDefault="00B567BC" w:rsidP="00B567BC">
      <w:pPr>
        <w:pStyle w:val="NormalHanging12a"/>
      </w:pPr>
      <w:r w:rsidRPr="00CD34D0">
        <w:t>K.</w:t>
      </w:r>
      <w:r w:rsidRPr="00CD34D0">
        <w:tab/>
        <w:t>Utökade krav på interoperabilitet utvidgar även konsumenternas valfrihet genom att göra det möjligt för ett bredare utbud av uppkopplade enheter och bärbara enheter och tjänster att fungera med centrala plattformstjänster, vilket minskar beroendet av förinstallerade ekosystem och bidrar till ökad konkurrensutsatthet och konsumentautonomi.</w:t>
      </w:r>
    </w:p>
    <w:p w14:paraId="700C6427" w14:textId="77777777" w:rsidR="00B567BC" w:rsidRPr="00CD34D0" w:rsidRDefault="00B567BC" w:rsidP="00B567BC">
      <w:pPr>
        <w:pStyle w:val="NormalHanging12a"/>
      </w:pPr>
      <w:r w:rsidRPr="00CD34D0">
        <w:t>L.</w:t>
      </w:r>
      <w:r w:rsidRPr="00CD34D0">
        <w:tab/>
        <w:t>Framgången med förordningen om digitala marknader bör inte enbart bedömas utifrån formell efterlevnad, utan även utifrån huruvida dess mål uppnås i praktiken och uppfattas som legitima av slutanvändare, företagsanvändare och allmänheten i stort.</w:t>
      </w:r>
    </w:p>
    <w:p w14:paraId="266B1046" w14:textId="77777777" w:rsidR="00B567BC" w:rsidRPr="00CD34D0" w:rsidRDefault="00B567BC" w:rsidP="00B567BC">
      <w:pPr>
        <w:pStyle w:val="NormalHanging12a"/>
      </w:pPr>
      <w:r w:rsidRPr="00CD34D0">
        <w:t>M.</w:t>
      </w:r>
      <w:r w:rsidRPr="00CD34D0">
        <w:tab/>
        <w:t>Förordningen om digitala marknader innehåller en rad tillsynsverktyg, däribland dialog med tillsynsmyndigheter, marknadsundersökningar och förfaranden vid bristande efterlevnad, för att upptäcka, åtgärda och påföra böter för överträdelser. Effektiva och proportionella böter är väsentliga för att säkerställa en avskräckande effekt och skydda effektiviteten hos förordningen om digitala marknader. Den tekniska utvecklingen, inbegripet AI-drivna funktioner och molnbaserade tjänster, ger upphov till nya utmaningar för konkurrensutsättning och rättvisa som måste hanteras genom en ändamålsenlig, enhetlig och konsekvent tillämpning av bestämmelserna i förordningen om digitala marknader.</w:t>
      </w:r>
    </w:p>
    <w:p w14:paraId="745C1AAE" w14:textId="77777777" w:rsidR="00B567BC" w:rsidRPr="00CD34D0" w:rsidRDefault="00B567BC" w:rsidP="00B567BC">
      <w:pPr>
        <w:pStyle w:val="NormalHanging12a"/>
      </w:pPr>
      <w:r w:rsidRPr="00CD34D0">
        <w:t>N.</w:t>
      </w:r>
      <w:r w:rsidRPr="00CD34D0">
        <w:tab/>
        <w:t>Den snabba utvecklingen av generativa AI-system och AI-drivna virtuella assistenter omformar i hög grad konkurrensdynamiken, marknadsstrukturerna, värdekedjorna och användarnas tillgång till digitala tjänster i hela EU, med potentiella konsekvenser för konkurrens och rättvisa på de digitala marknaderna.</w:t>
      </w:r>
    </w:p>
    <w:p w14:paraId="0C786978" w14:textId="77777777" w:rsidR="00B567BC" w:rsidRPr="00CD34D0" w:rsidRDefault="00B567BC" w:rsidP="00B567BC">
      <w:pPr>
        <w:pStyle w:val="NormalHanging12a"/>
      </w:pPr>
      <w:r w:rsidRPr="00CD34D0">
        <w:t>O.</w:t>
      </w:r>
      <w:r w:rsidRPr="00CD34D0">
        <w:tab/>
        <w:t xml:space="preserve">Förordningen om digitala marknader innehåller flera bestämmelser som är relevanta för att förhindra att grindvakter begränsar möjligheterna för framväxande AI-utvecklare att konkurrera och </w:t>
      </w:r>
      <w:proofErr w:type="spellStart"/>
      <w:r w:rsidRPr="00CD34D0">
        <w:t>innovera</w:t>
      </w:r>
      <w:proofErr w:type="spellEnd"/>
      <w:r w:rsidRPr="00CD34D0">
        <w:t>, inbegripet skyldigheter avseende rättvis och icke-diskriminerande rangordning, insyn i annonseringstjänster och tillgång till data.</w:t>
      </w:r>
    </w:p>
    <w:p w14:paraId="0272D592" w14:textId="77777777" w:rsidR="00B567BC" w:rsidRPr="00CD34D0" w:rsidRDefault="00B567BC" w:rsidP="00B567BC">
      <w:pPr>
        <w:pStyle w:val="NormalHanging12a"/>
        <w:keepNext/>
        <w:keepLines/>
        <w:widowControl/>
      </w:pPr>
      <w:r w:rsidRPr="00CD34D0">
        <w:lastRenderedPageBreak/>
        <w:t>P.</w:t>
      </w:r>
      <w:r w:rsidRPr="00CD34D0">
        <w:tab/>
        <w:t xml:space="preserve">Molntjänster utgör i vissa fall i allt högre grad ett kritiskt skikt i digitala ekosystem, inbegripet för utveckling, driftsättning och skalning av AI-applikationer. Höga koncentrationsnivåer, kostnader för att byta leverantör, begränsningar i fråga om interoperabilitet och beroenderisker inom vissa molnmarknadssegment kan ge upphov till farhågor liknande dem som förordningen om digitala marknader syftar till att hantera. En undersökning inleddes i november 2025 för att bedöma huruvida Amazon och Microsoft bör betecknas som grindvakter för sina molntjänster Amazon Web Services och Microsoft </w:t>
      </w:r>
      <w:proofErr w:type="spellStart"/>
      <w:r w:rsidRPr="00CD34D0">
        <w:t>Azure</w:t>
      </w:r>
      <w:proofErr w:type="spellEnd"/>
      <w:r w:rsidRPr="00CD34D0">
        <w:t>, och en annan undersökning inleddes för att bedöma huruvida nuvarande skyldigheter enligt förordningen om digitala marknader är effektiva när det gäller att hantera metoder som begränsar konkurrenskraften eller är otillbörliga inom molnsektorn. Hittills har inga leverantörer av molntjänster betecknats som grindvakter enligt förordningen.</w:t>
      </w:r>
    </w:p>
    <w:p w14:paraId="0A7805A1" w14:textId="77777777" w:rsidR="00B567BC" w:rsidRPr="00CD34D0" w:rsidRDefault="00B567BC" w:rsidP="00B567BC">
      <w:pPr>
        <w:pStyle w:val="NormalHanging12a"/>
      </w:pPr>
      <w:r w:rsidRPr="00CD34D0">
        <w:t>Q.</w:t>
      </w:r>
      <w:r w:rsidRPr="00CD34D0">
        <w:tab/>
        <w:t>Tillgång till storskalig datorkraft, avancerade AI-modeller samt data- och molninfrastruktur kan skapa nya strukturella beroenden och inlåsningseffekter i ekosystem som kan begränsa konkurrensutsättningen om de inte hanteras på ett ändamålsenligt sätt inom EU:s regelverk.</w:t>
      </w:r>
    </w:p>
    <w:p w14:paraId="397C9ED3" w14:textId="77777777" w:rsidR="00B567BC" w:rsidRPr="00CD34D0" w:rsidRDefault="00B567BC" w:rsidP="00B567BC">
      <w:pPr>
        <w:pStyle w:val="NormalHanging12a"/>
      </w:pPr>
      <w:r w:rsidRPr="00CD34D0">
        <w:t>R.</w:t>
      </w:r>
      <w:r w:rsidRPr="00CD34D0">
        <w:tab/>
        <w:t>Adekvat institutionell kapacitet, teknisk sakkunskap och tillräckliga resurser inom kommissionen är oumbärliga för att säkerställa ett effektivt, oberoende och ändamålsenligt tillsynsarbete avseende förordningen om digitala marknader och för att bevara dess trovärdighet och avskräckande effekt.</w:t>
      </w:r>
    </w:p>
    <w:p w14:paraId="7CE5CAFF" w14:textId="77777777" w:rsidR="00B567BC" w:rsidRPr="00CD34D0" w:rsidRDefault="00B567BC" w:rsidP="00B567BC">
      <w:pPr>
        <w:pStyle w:val="NormalHanging12a"/>
      </w:pPr>
      <w:r w:rsidRPr="00CD34D0">
        <w:t>S.</w:t>
      </w:r>
      <w:r w:rsidRPr="00CD34D0">
        <w:tab/>
        <w:t>Enligt förordningen om digitala marknader är kommissionen skyldig att regelbundet se över förordningen, vilket ger möjlighet att bedöma genomförandets effekt och dess fördelar för konsumenterna, identifiera utmaningar när det gäller genomförandet och säkerställa att förordningen om digitala marknader förblir ändamålsenlig mot bakgrund av den tekniska och marknadsmässiga utvecklingen och framväxande former av AI</w:t>
      </w:r>
      <w:r w:rsidRPr="00CD34D0">
        <w:noBreakHyphen/>
        <w:t>drivna ekosystem.</w:t>
      </w:r>
    </w:p>
    <w:p w14:paraId="16A99F10" w14:textId="77777777" w:rsidR="00B567BC" w:rsidRPr="00CD34D0" w:rsidRDefault="00B567BC" w:rsidP="00B567BC">
      <w:pPr>
        <w:pStyle w:val="NormalHanging12a"/>
      </w:pPr>
      <w:r w:rsidRPr="00CD34D0">
        <w:t>1.</w:t>
      </w:r>
      <w:r w:rsidRPr="00CD34D0">
        <w:tab/>
        <w:t>Europaparlamentet bekräftar på nytt att ett effektivt, ändamålsenligt och konsekvent tillsynsarbete avseende förordningen om digitala marknader, liksom kommissionens politiska stöd, är väsentligt för att skydda den inre marknadens funktion och säkerställa påtagliga fördelar för konsumenter, företagsanvändare och innovatörer i hela EU.</w:t>
      </w:r>
    </w:p>
    <w:p w14:paraId="0447D732" w14:textId="77777777" w:rsidR="00B567BC" w:rsidRPr="00CD34D0" w:rsidRDefault="00B567BC" w:rsidP="00B567BC">
      <w:pPr>
        <w:pStyle w:val="NormalHanging12a"/>
      </w:pPr>
      <w:r w:rsidRPr="00CD34D0">
        <w:t>2.</w:t>
      </w:r>
      <w:r w:rsidRPr="00CD34D0">
        <w:tab/>
        <w:t>Europaparlamentet uttrycker oro över det politiska tryck från tredjeländer där EU med kraft uppmanas att ompröva eller försvaga förordningen om digitala marknader, och understryker att sådan extern inblandning inte får utgöra ett hot mot EU:s suveränitet och dess självbestämmande när det gäller att fastställa och tillämpa sina egna regler. Parlamentet betonar att skyldigheterna enligt förordningen om digitala marknader gäller lika för alla betecknade grindvakter som tillhandahåller tjänster i EU, oavsett var de är etablerade eller deras nationalitet.</w:t>
      </w:r>
    </w:p>
    <w:p w14:paraId="53175D59" w14:textId="77777777" w:rsidR="00B567BC" w:rsidRPr="00CD34D0" w:rsidRDefault="00B567BC" w:rsidP="00B567BC">
      <w:pPr>
        <w:pStyle w:val="NormalHanging12a"/>
      </w:pPr>
      <w:r w:rsidRPr="00CD34D0">
        <w:t>3.</w:t>
      </w:r>
      <w:r w:rsidRPr="00CD34D0">
        <w:tab/>
        <w:t>Europaparlamentet uppmanar kommissionen att fullt ut och proaktivt utnyttja alla verkställighetsinstrument som föreskrivs i förordningen om digitala marknader och marknadsundersökningar, inbegripet förfaranden vid bristande efterlevnad, inspektioner, interimistiska åtgärder, sanktionsavgifter och viten, för att förhindra kringgående och säkerställa effektiv efterlevnad.</w:t>
      </w:r>
    </w:p>
    <w:p w14:paraId="42650469" w14:textId="77777777" w:rsidR="00B567BC" w:rsidRPr="00CD34D0" w:rsidRDefault="00B567BC" w:rsidP="00B567BC">
      <w:pPr>
        <w:pStyle w:val="NormalHanging12a"/>
        <w:keepNext/>
        <w:keepLines/>
        <w:widowControl/>
      </w:pPr>
      <w:r w:rsidRPr="00CD34D0">
        <w:lastRenderedPageBreak/>
        <w:t>4.</w:t>
      </w:r>
      <w:r w:rsidRPr="00CD34D0">
        <w:tab/>
        <w:t>Europaparlamentet betonar att kommissionen behåller exklusiv behörighet för tillsynen av förordningen om digitala marknader, men att en effektiv, ändamålsenlig och konsekvent tillämpning av förordningen i hela EU förutsätter ett strukturerat och nära samarbete med nationella konkurrensmyndigheter och andra relevanta nationella offentliga organ. Parlamentet understryker att dessa myndigheter, inom den ram som förordningen om digitala marknader fastställer, fyller en väsentlig stödroll, bland annat genom att bistå vid utredningar och inspektioner, bidra till marknadsövervakning och underlätta informationsutbyte, och därigenom stärka ett effektivt och enhetligt tillsynsarbete avseende förordningen om digitala marknader och garantera rättvisa och konkurrensutsatta digitala marknader i hela EU.</w:t>
      </w:r>
    </w:p>
    <w:p w14:paraId="38670B42" w14:textId="77777777" w:rsidR="00B567BC" w:rsidRPr="00CD34D0" w:rsidRDefault="00B567BC" w:rsidP="00B567BC">
      <w:pPr>
        <w:pStyle w:val="NormalHanging12a"/>
      </w:pPr>
      <w:r w:rsidRPr="00CD34D0">
        <w:t>5.</w:t>
      </w:r>
      <w:r w:rsidRPr="00CD34D0">
        <w:tab/>
        <w:t xml:space="preserve">Europaparlamentet framhåller att säkerställandet av marknadens öppenhet, inbegripet genom en effektiv tillämpning av förordningen om digitala marknader, är ett väsentligt inslag i framgången för AI </w:t>
      </w:r>
      <w:proofErr w:type="spellStart"/>
      <w:r w:rsidRPr="00CD34D0">
        <w:t>Apply</w:t>
      </w:r>
      <w:proofErr w:type="spellEnd"/>
      <w:r w:rsidRPr="00CD34D0">
        <w:t>-strategin som syftar till att främja AI-användning och innovation i hela Europa, eftersom effektiv konkurrensutsättning på digitala marknader är en förutsättning för ett öppet och rättvist europeiskt AI-ekosystem.</w:t>
      </w:r>
    </w:p>
    <w:p w14:paraId="6427B805" w14:textId="77777777" w:rsidR="00B567BC" w:rsidRPr="00CD34D0" w:rsidRDefault="00B567BC" w:rsidP="00B567BC">
      <w:pPr>
        <w:pStyle w:val="NormalHanging12a"/>
      </w:pPr>
      <w:r w:rsidRPr="00CD34D0">
        <w:t>6.</w:t>
      </w:r>
      <w:r w:rsidRPr="00CD34D0">
        <w:tab/>
        <w:t>Europaparlamentet uppmanar kommissionen att slutföra förfaranden vid bristande efterlevnad utan oskäligt dröjsmål och att säkerställa ett snabbt verkställande inom ramen för förordningen om digitala marknader, särskilt genom att respektera både bindande och vägledande tidsfrister, och att hålla parlamentet vederbörligen informerat om framstegen med verkställandet. Parlamentet betonar att ökad insyn i förfarandesteg och tidsramar behövs för att parlamentet, och i synnerhet IMCO:s arbetsgrupp för förordningen om digitala marknader, ska kunna utöva sina kontrollfunktioner. Parlamentet uppmanar kommissionen att proaktivt och regelbundet informera parlamentet om läget för verkställandet av förordningen om digitala marknader, inbegripet om utvecklingen i dialogen med tillsynsmyndigheter, högnivågruppens verksamhet och dagordning, relevanta studier som kommissionen beställt samt all annan information som är nödvändig för att parlamentet ska kunna utöva sin tillsynsfunktion.</w:t>
      </w:r>
    </w:p>
    <w:p w14:paraId="62CB77DF" w14:textId="77777777" w:rsidR="00B567BC" w:rsidRPr="00CD34D0" w:rsidRDefault="00B567BC" w:rsidP="00B567BC">
      <w:pPr>
        <w:pStyle w:val="NormalHanging12a"/>
      </w:pPr>
      <w:r w:rsidRPr="00CD34D0">
        <w:t>7.</w:t>
      </w:r>
      <w:r w:rsidRPr="00CD34D0">
        <w:tab/>
        <w:t>Europaparlamentet uppmanar kommissionen att fullt ut utnyttja högnivågruppen. Parlamentet framhåller vikten av ett effektivt samordningsarbete mellan tillsynsmyndigheter mot bakgrund av det stora antalet nya regler och tillsynsorgan som är verksamma på digitala marknader.</w:t>
      </w:r>
    </w:p>
    <w:p w14:paraId="32C2A0F8" w14:textId="77777777" w:rsidR="00B567BC" w:rsidRPr="00CD34D0" w:rsidRDefault="00B567BC" w:rsidP="00B567BC">
      <w:pPr>
        <w:pStyle w:val="NormalHanging12a"/>
      </w:pPr>
      <w:r w:rsidRPr="00CD34D0">
        <w:t>8.</w:t>
      </w:r>
      <w:r w:rsidRPr="00CD34D0">
        <w:tab/>
        <w:t>Europaparlamentet betonar att efterlevnaden av förordningen om digitala marknader måste bedömas utifrån dess praktiska och faktiska effekter på marknadens öppenhet, konkurrensen, innovationen och användarnas valfrihet, för att därigenom säkerställa rättssäkerhet, förutsägbarhet och likabehandling.</w:t>
      </w:r>
    </w:p>
    <w:p w14:paraId="6FA626B4" w14:textId="77777777" w:rsidR="00B567BC" w:rsidRPr="00CD34D0" w:rsidRDefault="00B567BC" w:rsidP="00B567BC">
      <w:pPr>
        <w:pStyle w:val="NormalHanging12a"/>
      </w:pPr>
      <w:r w:rsidRPr="00CD34D0">
        <w:t>9.</w:t>
      </w:r>
      <w:r w:rsidRPr="00CD34D0">
        <w:tab/>
        <w:t>Europaparlamentet uppmanar kommissionen att åtgärda informationsasymmetrier genom att stärka de mekanismer som gör det möjligt för företagsanvändare och slutanvändare att effektivt utöva sina rättigheter enligt förordningen om digitala marknader, inbegripet rättigheter avseende valfrihet, dataåtkomst, interoperabilitet, icke-diskriminering och skydd mot repressalier, genom tillgängliga och säkra rapporterings- och klagomålskanaler, skyddsåtgärder mot repressalier samt förbättrad kännedom om de rättigheter och rättsmedel som föreskrivs i förordningen om digitala marknader, med beaktande av att förordningens effektivitet är beroende av slutanvändarnas egenmakt.</w:t>
      </w:r>
    </w:p>
    <w:p w14:paraId="5427B4B6" w14:textId="77777777" w:rsidR="00B567BC" w:rsidRPr="00CD34D0" w:rsidRDefault="00B567BC" w:rsidP="00B567BC">
      <w:pPr>
        <w:pStyle w:val="NormalHanging12a"/>
      </w:pPr>
      <w:r w:rsidRPr="00CD34D0">
        <w:t>10.</w:t>
      </w:r>
      <w:r w:rsidRPr="00CD34D0">
        <w:tab/>
        <w:t xml:space="preserve">Europaparlamentet uppmanar med kraft kommissionen att prioritera strikt efterlevnad </w:t>
      </w:r>
      <w:r w:rsidRPr="00CD34D0">
        <w:lastRenderedPageBreak/>
        <w:t>av skyldigheterna om interoperabilitet, dataåtkomst, dataportabilitet, förbud mot styrning och förbud mot självföreträde, inbegripet i fall där konkurrensskada uppstår till följd av standardinställningar, tekniska integrationer eller utformningen av plattformsekosystem. Parlamentet uppmanar kommissionen att vid fastställandet av tillsynsprioriteringar vederbörligen beakta relevanta marknadsutvecklingar och samspelet mellan tillämpliga EU-instrument, inbegripet dataförordningen</w:t>
      </w:r>
      <w:r w:rsidRPr="00CD34D0">
        <w:rPr>
          <w:rStyle w:val="FootnoteReference"/>
        </w:rPr>
        <w:footnoteReference w:id="12"/>
      </w:r>
      <w:r w:rsidRPr="00CD34D0">
        <w:t>. Parlamentet noterar att det i vissa fall kan finnas ett samspel mellan ett effektivt genomförande och verkställande av förordningen om digitala marknader och grindvakternas samarbete med konkurrenter och affärspartner, i synnerhet i situationer där farhågor om rättvisa i affärsmetoder har kommit till uttryck.</w:t>
      </w:r>
    </w:p>
    <w:p w14:paraId="124C848F" w14:textId="77777777" w:rsidR="00B567BC" w:rsidRPr="00CD34D0" w:rsidRDefault="00B567BC" w:rsidP="00B567BC">
      <w:pPr>
        <w:pStyle w:val="NormalHanging12a"/>
      </w:pPr>
      <w:r w:rsidRPr="00CD34D0">
        <w:t>11.</w:t>
      </w:r>
      <w:r w:rsidRPr="00CD34D0">
        <w:tab/>
        <w:t xml:space="preserve">Europaparlamentet uppmanar kommissionen att fortsätta arbeta för att möjliggöra interoperabilitet mellan meddelandetjänster med mindre </w:t>
      </w:r>
      <w:proofErr w:type="spellStart"/>
      <w:r w:rsidRPr="00CD34D0">
        <w:t>appar</w:t>
      </w:r>
      <w:proofErr w:type="spellEnd"/>
      <w:r w:rsidRPr="00CD34D0">
        <w:t xml:space="preserve"> från tredje part på begäran, vilket gör det möjligt för användare att utbyta text, filer och röst-/videosamtal mellan plattformar samtidigt som kryptering från slutpunkt till slutpunkt upprätthålls.</w:t>
      </w:r>
    </w:p>
    <w:p w14:paraId="1C861EA5" w14:textId="77777777" w:rsidR="00B567BC" w:rsidRPr="00CD34D0" w:rsidRDefault="00B567BC" w:rsidP="00B567BC">
      <w:pPr>
        <w:pStyle w:val="NormalHanging12a"/>
      </w:pPr>
      <w:r w:rsidRPr="00CD34D0">
        <w:t>12.</w:t>
      </w:r>
      <w:r w:rsidRPr="00CD34D0">
        <w:tab/>
        <w:t xml:space="preserve">Europaparlamentet uttrycker djup oro över Googles ihållande självföreträdespraktiker inom söktjänster, handel, resor och videotjänster, vilka fortsätter att snedvrida konkurrensen och begränsa konsumenternas valfrihet. Parlamentet noterar att produktlistningsannonser fortsätter att placeras på framträdande plats högst upp i sökresultaten, vilket vidmakthåller ett mönster av dominans och bristande insyn som undergräver syftet med förordningen om digitala marknader. Parlamentet erinrar om att preliminära slutsatser enligt artikel 6.5 i förordningen om digitala marknader visar att Google använder visuella fördelar och förmånlig placering för att gynna sina egna tjänster, däribland Google Shopping, Flights och </w:t>
      </w:r>
      <w:proofErr w:type="spellStart"/>
      <w:r w:rsidRPr="00CD34D0">
        <w:t>Hotels</w:t>
      </w:r>
      <w:proofErr w:type="spellEnd"/>
      <w:r w:rsidRPr="00CD34D0">
        <w:t xml:space="preserve">, och därigenom begränsar konkurrenternas rättvisa tillgång och stärker sin marknadsställning. Parlamentet erinrar om att nyliga förfaranden vid nationella domstolar har bekräftat att Googles självföreträdespraxis inom söktjänster har skadat konkurrerande jämförelseplattformar, vilket illustreras av 2025 års dom i målet </w:t>
      </w:r>
      <w:proofErr w:type="spellStart"/>
      <w:r w:rsidRPr="00CD34D0">
        <w:rPr>
          <w:i/>
        </w:rPr>
        <w:t>Idealo</w:t>
      </w:r>
      <w:proofErr w:type="spellEnd"/>
      <w:r w:rsidRPr="00CD34D0">
        <w:t xml:space="preserve"> mot </w:t>
      </w:r>
      <w:r w:rsidRPr="00CD34D0">
        <w:rPr>
          <w:i/>
        </w:rPr>
        <w:t>Google</w:t>
      </w:r>
      <w:r w:rsidRPr="00CD34D0">
        <w:t xml:space="preserve"> vid den regionala domstolen i Berlin. Parlamentet betonar att försök av grindvakter att upprätthålla eller förlänga bristande efterlevnad av förordningen om digitala marknader kan leda till ett betydande ekonomiskt ansvar för dem till följd av skadeståndstalan.</w:t>
      </w:r>
    </w:p>
    <w:p w14:paraId="6052585C" w14:textId="77777777" w:rsidR="00B567BC" w:rsidRPr="00CD34D0" w:rsidRDefault="00B567BC" w:rsidP="00B567BC">
      <w:pPr>
        <w:pStyle w:val="NormalHanging12a"/>
      </w:pPr>
      <w:r w:rsidRPr="00CD34D0">
        <w:t>13.</w:t>
      </w:r>
      <w:r w:rsidRPr="00CD34D0">
        <w:tab/>
        <w:t>Europaparlamentet framhåller att Googles integrering av AI i sina sök- och upptäcktstjänster i allt högre grad gör det möjligt för företaget att kontrollera hela konsumentresan, från sökning och rekommendationer till köpintention, vilket ytterligare marginaliserar konkurrerande tjänster och minskar konsumenternas möjlighet att göra självständiga val. Parlamentet betonar att denna dynamik riskerar att reducera självständiga handlare till leveranskanaler för Google, vilket påminner om tidigare försök att dominera handeln som tidigare begränsades, och att dessa metoder kan befästas ytterligare i avsaknad av tydliga skyddsåtgärder enligt förordningen om digitala marknader.</w:t>
      </w:r>
    </w:p>
    <w:p w14:paraId="5214B902" w14:textId="77777777" w:rsidR="00B567BC" w:rsidRPr="00CD34D0" w:rsidRDefault="00B567BC" w:rsidP="00B567BC">
      <w:pPr>
        <w:pStyle w:val="NormalHanging12a"/>
        <w:keepNext/>
        <w:keepLines/>
        <w:widowControl/>
      </w:pPr>
      <w:r w:rsidRPr="00CD34D0">
        <w:lastRenderedPageBreak/>
        <w:t>14.</w:t>
      </w:r>
      <w:r w:rsidRPr="00CD34D0">
        <w:tab/>
        <w:t xml:space="preserve">Europaparlamentet noterar att alternativa </w:t>
      </w:r>
      <w:proofErr w:type="spellStart"/>
      <w:r w:rsidRPr="00CD34D0">
        <w:t>appmarknadsplatser</w:t>
      </w:r>
      <w:proofErr w:type="spellEnd"/>
      <w:r w:rsidRPr="00CD34D0">
        <w:t xml:space="preserve"> nu erbjuds på </w:t>
      </w:r>
      <w:proofErr w:type="spellStart"/>
      <w:r w:rsidRPr="00CD34D0">
        <w:t>iOS</w:t>
      </w:r>
      <w:proofErr w:type="spellEnd"/>
      <w:r w:rsidRPr="00CD34D0">
        <w:t xml:space="preserve"> på den inre marknaden, men uttrycker oro över att deras praktiska genomförbarhet och skalbarhet fortsatt är begränsad på grund av utformningen av användarresan och restriktiva ekonomiska och avtalsmässiga villkor. Parlamentet framhåller att grindvakter strukturerar om sina avgifter på ett sätt som försämrar situationen för utvecklare jämfört med läget före förordningen om digitala marknader. Parlamentet uppmanar kommissionen att bedöma huruvida Apples villkor för åtkomst är rättvisa och icke-diskriminerande, i enlighet med vad som krävs enligt artikel 6.12 i förordningen om digitala marknader.</w:t>
      </w:r>
    </w:p>
    <w:p w14:paraId="0BB4C4E9" w14:textId="56546C44" w:rsidR="0063651B" w:rsidRPr="00CD34D0" w:rsidRDefault="0063651B" w:rsidP="00B567BC">
      <w:pPr>
        <w:pStyle w:val="NormalHanging12a"/>
        <w:keepNext/>
        <w:keepLines/>
        <w:widowControl/>
      </w:pPr>
      <w:r w:rsidRPr="00CD34D0">
        <w:t>15.</w:t>
      </w:r>
      <w:r w:rsidRPr="00CD34D0">
        <w:tab/>
        <w:t>Europaparlamentet noterar att vissa grindvakter, såsom nyligen tillkännagavs av bl.a. Google, åberopar säkerhets- och cybersäkerhetsmotiveringar för att införa registrerings- och identifieringskrav för applikationsutvecklare, vilket begränsar den faktiska tillgången till alternativa distributionskanaler för applikationer på ett sätt som kan strida mot artikel 6.4 i förordningen om digitala marknader. Parlamentet uppmanar därför kommissionen att undersöka om de säkerhetsrelaterade åtgärder som åberopas är strikt nödvändiga och proportionella, och att säkerställa att de inte används som en förevändning för att kringgå målen i förordningen om digitala marknader att möjliggöra verklig tillgång till programvara för tredje part, säkerställa rättvisa, rimliga och icke-diskriminerande tillträdesvillkor och samtidigt skydda utvecklarnas möjligheter att styra användarna mot alternativa distributionskanaler.</w:t>
      </w:r>
    </w:p>
    <w:p w14:paraId="000A57AC" w14:textId="4D42BECD" w:rsidR="00B567BC" w:rsidRPr="00CD34D0" w:rsidRDefault="0063651B" w:rsidP="00B567BC">
      <w:pPr>
        <w:pStyle w:val="NormalHanging12a"/>
      </w:pPr>
      <w:r w:rsidRPr="00CD34D0">
        <w:t>16</w:t>
      </w:r>
      <w:r w:rsidR="00B567BC" w:rsidRPr="00CD34D0">
        <w:t>.</w:t>
      </w:r>
      <w:r w:rsidR="00B567BC" w:rsidRPr="00CD34D0">
        <w:tab/>
        <w:t xml:space="preserve">Europaparlamentet erinrar om att företagsanvändare enligt artikel 5.4 i förordningen om digitala marknader ska kunna informera slutanvändare om alternativa erbjudanden utan kostnad och att styra dem till dessa erbjudanden och ingå avtal. Parlamentet noterar att skäl 40 i förordningen om digitala marknader erkänner möjligheten till ersättning för att ha underlättat den första kontakten med en slutanvändare, men betonar att varje sådan ersättning strikt måste begränsas till det inledande förvärvet, vara proportionell och skälig samt inte i praktiken undergräva styrningen. Parlamentet uppmanar kommissionen att säkerställa att Apples omarbetade villkor noggrant bedöms mot förordningen om digitala marknaders krav på avgifter kopplade till styrning och att eventuella försök till kringgående granskas noga och vid behov sanktioneras utan att avvakta utgången av det pågående amerikanska domstolsförfarandet i målet </w:t>
      </w:r>
      <w:r w:rsidR="00B567BC" w:rsidRPr="00CD34D0">
        <w:rPr>
          <w:i/>
        </w:rPr>
        <w:t>Epic Games</w:t>
      </w:r>
      <w:r w:rsidR="00B567BC" w:rsidRPr="00CD34D0">
        <w:t xml:space="preserve"> mot </w:t>
      </w:r>
      <w:r w:rsidR="00B567BC" w:rsidRPr="00CD34D0">
        <w:rPr>
          <w:i/>
        </w:rPr>
        <w:t>Apple</w:t>
      </w:r>
      <w:r w:rsidR="00B567BC" w:rsidRPr="00CD34D0">
        <w:t>. Parlamentet understryker att tillämpningen av EU-lagstiftning ska bedrivas oberoende av rättstvister i tredjeländer.</w:t>
      </w:r>
    </w:p>
    <w:p w14:paraId="5685D8F5" w14:textId="149E922C" w:rsidR="0063651B" w:rsidRPr="00CD34D0" w:rsidRDefault="0063651B" w:rsidP="0063651B">
      <w:pPr>
        <w:pStyle w:val="NormalHanging12a"/>
      </w:pPr>
      <w:r w:rsidRPr="00CD34D0">
        <w:t>17</w:t>
      </w:r>
      <w:r w:rsidR="00B567BC" w:rsidRPr="00CD34D0">
        <w:t>.</w:t>
      </w:r>
      <w:r w:rsidR="00B567BC" w:rsidRPr="00CD34D0">
        <w:tab/>
        <w:t xml:space="preserve">Europaparlamentet uttrycker oro över </w:t>
      </w:r>
      <w:proofErr w:type="spellStart"/>
      <w:r w:rsidR="00B567BC" w:rsidRPr="00CD34D0">
        <w:t>TikTok</w:t>
      </w:r>
      <w:proofErr w:type="spellEnd"/>
      <w:r w:rsidR="00B567BC" w:rsidRPr="00CD34D0">
        <w:t xml:space="preserve">, som drivs av </w:t>
      </w:r>
      <w:proofErr w:type="spellStart"/>
      <w:r w:rsidR="00B567BC" w:rsidRPr="00CD34D0">
        <w:t>ByteDance</w:t>
      </w:r>
      <w:proofErr w:type="spellEnd"/>
      <w:r w:rsidR="00B567BC" w:rsidRPr="00CD34D0">
        <w:t xml:space="preserve">, och de samtyckesmeddelanden som används på plattformen och som i hög grad förlitar sig på beteendetekniker för att inhämta användarsamtycke. Parlamentet noterar att sådana metoder kan undergräva principerna om informerat och frivilligt samtycke och kan utgöra en överträdelse av artikel 5.2 i förordningen om digitala marknader. Parlamentet betonar att samtyckesmekanismer måste vara transparenta, användarvänliga och genuint frivilliga, utan manipulativ utformning eller psykologisk påtryckning. Parlamentet uppmanar kommissionen att noga övervaka </w:t>
      </w:r>
      <w:proofErr w:type="spellStart"/>
      <w:r w:rsidR="00B567BC" w:rsidRPr="00CD34D0">
        <w:t>TikToks</w:t>
      </w:r>
      <w:proofErr w:type="spellEnd"/>
      <w:r w:rsidR="00B567BC" w:rsidRPr="00CD34D0">
        <w:t xml:space="preserve"> samtyckespraxis och säkerställa att icke-ändamålsenliga mekanismer omgående korrigeras för att upprätthålla användarnas autonomi och digitala rättigheter.</w:t>
      </w:r>
    </w:p>
    <w:p w14:paraId="4371FC69" w14:textId="225A5157" w:rsidR="00B567BC" w:rsidRPr="00CD34D0" w:rsidRDefault="0063651B" w:rsidP="00CD34D0">
      <w:pPr>
        <w:pStyle w:val="NormalHanging12a"/>
      </w:pPr>
      <w:r w:rsidRPr="00CD34D0">
        <w:t>18</w:t>
      </w:r>
      <w:r w:rsidR="00B567BC" w:rsidRPr="00CD34D0">
        <w:t>.</w:t>
      </w:r>
      <w:r w:rsidR="00B567BC" w:rsidRPr="00CD34D0">
        <w:tab/>
        <w:t xml:space="preserve">Europaparlamentet noterar vikten av att Microsoft effektivt efterlever artikel 6.3 i förordningen om digitala marknader, i synnerhet vad gäller skyldigheten att ge slutanvändare möjlighet att enkelt ändra standardinställningar i operativsystemet Windows för persondatorer och få tillgång till konkurrerande tjänster utan onödiga </w:t>
      </w:r>
      <w:r w:rsidR="00B567BC" w:rsidRPr="00CD34D0">
        <w:lastRenderedPageBreak/>
        <w:t xml:space="preserve">hinder. Parlamentet noterar att integreringen av Bing som standardleverantör av </w:t>
      </w:r>
      <w:proofErr w:type="spellStart"/>
      <w:r w:rsidR="00B567BC" w:rsidRPr="00CD34D0">
        <w:t>onlinesökresultat</w:t>
      </w:r>
      <w:proofErr w:type="spellEnd"/>
      <w:r w:rsidR="00B567BC" w:rsidRPr="00CD34D0">
        <w:t xml:space="preserve"> i Windows aktivitetsfält och svårigheten att byta leverantör kan styra användare på ett otillbörligt sätt mot Microsofts egna tjänster och begränsa en effektiv valfrihet för användare. Parlamentet erinrar om att Microsoft har lämnat in efterlevnadsåtgärder till kommissionen, men uttrycker oro över deras praktiska effekter, inbegripet möjliga hinder för en effektiv interoperabilitet inom Windows-ekosystemet. Parlamentet erinrar om att dessa åtgärder bör fortsätta att noga bedömas av kommissionen för att säkerställa en effektiv valfrihet för användare och en rättvis och konkurrensutsatt miljö för tredjepartsleverantörer i praktiken, i synnerhet när ett begränsat eller långsamt tillgängliggörande av programmeringsgränssnitt för tjänster som inte tillhandahålls av Microsoft kan hindra tredjepartsutvecklare från att kunna leverera en jämförbar upplevelse till slutanvändare.</w:t>
      </w:r>
    </w:p>
    <w:p w14:paraId="06ED1087" w14:textId="7DEF48A6" w:rsidR="00B567BC" w:rsidRPr="00CD34D0" w:rsidRDefault="0063651B" w:rsidP="00B567BC">
      <w:pPr>
        <w:pStyle w:val="NormalHanging12a"/>
      </w:pPr>
      <w:r w:rsidRPr="00CD34D0">
        <w:t>19</w:t>
      </w:r>
      <w:r w:rsidR="00B567BC" w:rsidRPr="00CD34D0">
        <w:t>.</w:t>
      </w:r>
      <w:r w:rsidR="00B567BC" w:rsidRPr="00CD34D0">
        <w:tab/>
        <w:t xml:space="preserve">Europaparlamentet noterar med oro rapporter från olika berörda parter inom resesektorn om ihållande höga provisionsavgifter och fortsatt tillämpning av metoder av Booking.com som förefaller motsvara förbjudna paritetsklausuler, inbegripet prestationsprogram för hotell baserade på icke-transparenta kriterier och fortlöpande svårigheter att välja bort </w:t>
      </w:r>
      <w:proofErr w:type="spellStart"/>
      <w:r w:rsidR="00B567BC" w:rsidRPr="00CD34D0">
        <w:t>Booking.coms</w:t>
      </w:r>
      <w:proofErr w:type="spellEnd"/>
      <w:r w:rsidR="00B567BC" w:rsidRPr="00CD34D0">
        <w:t xml:space="preserve"> sponsrade betalningssystem. Parlamentet erinrar om att nationella konkurrensmyndigheter, däribland de i Frankrike och Spanien, har sanktionerat Booking.com med anledning av paritetsklausuler. Parlamentet uppmanar kommissionen att bedöma den nuvarande graden av konkurrensutsättning inom sektorn för </w:t>
      </w:r>
      <w:proofErr w:type="spellStart"/>
      <w:r w:rsidR="00B567BC" w:rsidRPr="00CD34D0">
        <w:t>onlineresor</w:t>
      </w:r>
      <w:proofErr w:type="spellEnd"/>
      <w:r w:rsidR="00B567BC" w:rsidRPr="00CD34D0">
        <w:t xml:space="preserve"> sedan Booking.com betecknades som grindvakt och att vidta beslutsamma åtgärder i enlighet därmed.</w:t>
      </w:r>
    </w:p>
    <w:p w14:paraId="4F9FD05A" w14:textId="5FC30489" w:rsidR="00B567BC" w:rsidRPr="00CD34D0" w:rsidRDefault="0063651B" w:rsidP="00B567BC">
      <w:pPr>
        <w:pStyle w:val="NormalHanging12a"/>
      </w:pPr>
      <w:r w:rsidRPr="00CD34D0">
        <w:t>20</w:t>
      </w:r>
      <w:r w:rsidR="00B567BC" w:rsidRPr="00CD34D0">
        <w:t>.</w:t>
      </w:r>
      <w:r w:rsidR="00B567BC" w:rsidRPr="00CD34D0">
        <w:tab/>
        <w:t>Europaparlamentet noterar att Meta har infört en tredje version av ett val mellan att betala och samtycka, vilket begränsar personanpassad reklam och som lanserades i juli 2025 efter de böter som kommissionen utfärdade i april 2025. Parlamentet uppmanar kommissionen att säkerställa att Meta nu verkligen erbjuder ett neutralt val för användare, att tredjeparters tillgång till Metas tjänster är rättvis och obehindrad, och att eventuella försök att kringgå förordningen om digitala marknaders krav granskas noggrant och vid behov sanktioneras.</w:t>
      </w:r>
    </w:p>
    <w:p w14:paraId="4108E735" w14:textId="5791DBE7" w:rsidR="00B567BC" w:rsidRPr="00CD34D0" w:rsidRDefault="0063651B" w:rsidP="00B567BC">
      <w:pPr>
        <w:pStyle w:val="NormalHanging12a"/>
      </w:pPr>
      <w:r w:rsidRPr="00CD34D0">
        <w:t>21</w:t>
      </w:r>
      <w:r w:rsidR="00B567BC" w:rsidRPr="00CD34D0">
        <w:t>.</w:t>
      </w:r>
      <w:r w:rsidR="00B567BC" w:rsidRPr="00CD34D0">
        <w:tab/>
        <w:t>Europaparlamentet uttrycker oro över metoder på anslutna tv-apparater som upprepar de konkurrenshämmande metoder som tidigare tillämpades på smarttelefoner av Android. Parlamentet understryker att tillgången till audiovisuella medietjänster på anslutna tv</w:t>
      </w:r>
      <w:r w:rsidR="00B567BC" w:rsidRPr="00CD34D0">
        <w:noBreakHyphen/>
        <w:t>apparater inte får kontrolleras av ett fåtal stora teknikföretag och att en öppen, rättvis och konkurrensutsatt marknad är väsentlig för ett pluralistiskt och mångsidigt medielandskap. Parlamentet betonar, när det gäller operativsystem för anslutna tv</w:t>
      </w:r>
      <w:r w:rsidR="00B567BC" w:rsidRPr="00CD34D0">
        <w:noBreakHyphen/>
        <w:t>apparater, att de viktigaste leverantörerna av sådana operativsystem kontrollerar tillgången till flersidiga marknader för tittande, reklam och data. Parlamentet noterar att liknande grindvaktskontroll över användarnas åtkomstpunkter kan uppstå i andra uppkopplade miljöer där operativsystem eller virtuella assistenter förmedlar tillgången till tjänster, inbegripet underhållningssystem i fordon. Parlamentet uppmanar kommissionen att noga övervaka detta marknadssegment och att vid behov vidta lämpliga åtgärder.</w:t>
      </w:r>
    </w:p>
    <w:p w14:paraId="0D9AC648" w14:textId="11AE087C" w:rsidR="00B567BC" w:rsidRPr="00CD34D0" w:rsidRDefault="0063651B" w:rsidP="00B567BC">
      <w:pPr>
        <w:pStyle w:val="NormalHanging12a"/>
      </w:pPr>
      <w:r w:rsidRPr="00CD34D0">
        <w:t>22</w:t>
      </w:r>
      <w:r w:rsidR="00B567BC" w:rsidRPr="00CD34D0">
        <w:t>.</w:t>
      </w:r>
      <w:r w:rsidR="00B567BC" w:rsidRPr="00CD34D0">
        <w:tab/>
        <w:t>Europaparlamentet framhåller slutanvändarnas viktiga roll för att uppnå målen med förordningen om digitala marknader och betonar vikten av att säkerställa att användargränssnitt, samtyckesmekanismer och valarkitekturer är neutrala, lättanvända, begripliga och icke-manipulativa, så att användarna kan utöva sina rättigheter effektivt och utan onödiga hinder.</w:t>
      </w:r>
    </w:p>
    <w:p w14:paraId="05B56C76" w14:textId="5C882F2C" w:rsidR="00B567BC" w:rsidRPr="00CD34D0" w:rsidRDefault="0063651B" w:rsidP="00B567BC">
      <w:pPr>
        <w:pStyle w:val="NormalHanging12a"/>
      </w:pPr>
      <w:r w:rsidRPr="00CD34D0">
        <w:lastRenderedPageBreak/>
        <w:t>23</w:t>
      </w:r>
      <w:r w:rsidR="00B567BC" w:rsidRPr="00CD34D0">
        <w:t>.</w:t>
      </w:r>
      <w:r w:rsidR="00B567BC" w:rsidRPr="00CD34D0">
        <w:tab/>
        <w:t>Europaparlamentet uppmanar kommissionen att säkerställa en konsekvent och framtidssäkrad tillämpning av förordningen om digitala marknader på den tekniska utvecklingen, genom att i god tid beakta AI-drivna tjänster och molnbaserade infrastrukturer, i syfte att förhindra nya former av inlåsning, avskärmning eller grindvaktsmetoder, bland annat när grindvakter utövar kontroll över data, datorresurser eller integrerade tjänster till nackdel för framväxande AI-utvecklare och innovativa nya marknadsaktörer.</w:t>
      </w:r>
    </w:p>
    <w:p w14:paraId="1C0E961A" w14:textId="6F8698AD" w:rsidR="00B567BC" w:rsidRPr="00CD34D0" w:rsidRDefault="0063651B" w:rsidP="00B567BC">
      <w:pPr>
        <w:pStyle w:val="NormalHanging12a"/>
      </w:pPr>
      <w:r w:rsidRPr="00CD34D0">
        <w:t>24</w:t>
      </w:r>
      <w:r w:rsidR="00B567BC" w:rsidRPr="00CD34D0">
        <w:t>.</w:t>
      </w:r>
      <w:r w:rsidR="00B567BC" w:rsidRPr="00CD34D0">
        <w:tab/>
        <w:t xml:space="preserve">Europaparlamentet uppmanar kommissionen att säkerställa </w:t>
      </w:r>
      <w:proofErr w:type="spellStart"/>
      <w:r w:rsidR="00B567BC" w:rsidRPr="00CD34D0">
        <w:t>komplementaritet</w:t>
      </w:r>
      <w:proofErr w:type="spellEnd"/>
      <w:r w:rsidR="00B567BC" w:rsidRPr="00CD34D0">
        <w:t>, samstämmighet och rättssäkerhet mellan förordningen om digitala marknader, dataförordningen och rättsakten om artificiell intelligens</w:t>
      </w:r>
      <w:r w:rsidR="00B567BC" w:rsidRPr="00CD34D0">
        <w:rPr>
          <w:rStyle w:val="FootnoteReference"/>
        </w:rPr>
        <w:footnoteReference w:id="13"/>
      </w:r>
      <w:r w:rsidR="00B567BC" w:rsidRPr="00CD34D0">
        <w:t>, inbegripet genom samordnad vägledning och samordnat genomförande.</w:t>
      </w:r>
    </w:p>
    <w:p w14:paraId="76A135DD" w14:textId="199C220E" w:rsidR="00B567BC" w:rsidRPr="00CD34D0" w:rsidRDefault="0063651B" w:rsidP="00B567BC">
      <w:pPr>
        <w:pStyle w:val="NormalHanging12a"/>
      </w:pPr>
      <w:r w:rsidRPr="00CD34D0">
        <w:t>25</w:t>
      </w:r>
      <w:r w:rsidR="00B567BC" w:rsidRPr="00CD34D0">
        <w:t>.</w:t>
      </w:r>
      <w:r w:rsidR="00B567BC" w:rsidRPr="00CD34D0">
        <w:tab/>
        <w:t>Europaparlamentet välkomnar kommissionens första beslut om bristande efterlevnad enligt förordningen om digitala marknader som ett viktigt steg mot ett effektivt genomförande, men beklagar att dessa beslut är begränsade till sin räckvidd och ännu inte behandlar hela spektrumet av problematiska grindvaktsmetoder som identifierats av företagsanvändare och andra berörda parter. Parlamentet beklagar vidare att de påförda böterna är relativt blygsamma i förhållande till överträdelsernas omfattning och de betecknade grindvakternas ekonomiska styrka, vilket riskerar att ge en otillräcklig avskräckande effekt och inte återspeglar förordningens ambitionsnivå. Parlamentet betonar att den övergripande verkställighetsramen bör säkerställa att den förväntade kostnaden för bristande efterlevnad, inbegripet böter och viten, från första stund systematiskt överstiger kostnaden för efterlevnad, för att förhindra strategiska fördröjningar och säkerställa en genuin avskräckande effekt.</w:t>
      </w:r>
    </w:p>
    <w:p w14:paraId="219C57FF" w14:textId="15D33AA5" w:rsidR="00B567BC" w:rsidRPr="00CD34D0" w:rsidRDefault="0063651B" w:rsidP="00B567BC">
      <w:pPr>
        <w:pStyle w:val="NormalHanging12a"/>
        <w:keepNext/>
        <w:keepLines/>
        <w:widowControl/>
      </w:pPr>
      <w:r w:rsidRPr="00CD34D0">
        <w:t>26</w:t>
      </w:r>
      <w:r w:rsidR="00B567BC" w:rsidRPr="00CD34D0">
        <w:t>.</w:t>
      </w:r>
      <w:r w:rsidR="00B567BC" w:rsidRPr="00CD34D0">
        <w:tab/>
        <w:t xml:space="preserve">Europaparlamentet uppmanar kommissionen att, mot bakgrund av molntjänsternas ökande strategiska betydelse och deras roll i digitala ekosystem och AI-ekosystem, noga bedöma huruvida leverantörer av sådana tjänster uppfyller kriterierna för att betecknas som grindvakter enligt förordningen om digitala marknader, inbegripet genom marknadsundersökningar. Parlamentet uppmanar kommissionen att, när den genomför marknadsundersökningar och bedömer eventuella </w:t>
      </w:r>
      <w:proofErr w:type="spellStart"/>
      <w:r w:rsidR="00B567BC" w:rsidRPr="00CD34D0">
        <w:t>betecknanden</w:t>
      </w:r>
      <w:proofErr w:type="spellEnd"/>
      <w:r w:rsidR="00B567BC" w:rsidRPr="00CD34D0">
        <w:t xml:space="preserve"> inom molntjänster, tillämpa kriterierna i förordningen om digitala marknader på ett konsekvent, transparent och evidensbaserat sätt i förhållande till leverantörer där marknadsindikatorer motiverar detta, för att undvika snedvridning av konkurrensen och bevara innovationen. Parlamentet välkomnar kommissionens nyliga marknadsundersökningar avseende molntjänstleverantörer, såsom Amazon Web Services och Microsoft </w:t>
      </w:r>
      <w:proofErr w:type="spellStart"/>
      <w:r w:rsidR="00B567BC" w:rsidRPr="00CD34D0">
        <w:t>Azure</w:t>
      </w:r>
      <w:proofErr w:type="spellEnd"/>
      <w:r w:rsidR="00B567BC" w:rsidRPr="00CD34D0">
        <w:t>.</w:t>
      </w:r>
    </w:p>
    <w:p w14:paraId="05E89D18" w14:textId="637D9153" w:rsidR="00B567BC" w:rsidRPr="00CD34D0" w:rsidRDefault="0063651B" w:rsidP="00B567BC">
      <w:pPr>
        <w:pStyle w:val="NormalHanging12a"/>
      </w:pPr>
      <w:r w:rsidRPr="00CD34D0">
        <w:t>27</w:t>
      </w:r>
      <w:r w:rsidR="00B567BC" w:rsidRPr="00CD34D0">
        <w:t>.</w:t>
      </w:r>
      <w:r w:rsidR="00B567BC" w:rsidRPr="00CD34D0">
        <w:tab/>
        <w:t xml:space="preserve">Europaparlamentet betonar att AI-drivna sök- och assistentverktyg, när de erbjuds som eller inom betecknade centrala plattformstjänster, såsom Googles AI </w:t>
      </w:r>
      <w:proofErr w:type="spellStart"/>
      <w:r w:rsidR="00B567BC" w:rsidRPr="00CD34D0">
        <w:t>Overviews</w:t>
      </w:r>
      <w:proofErr w:type="spellEnd"/>
      <w:r w:rsidR="00B567BC" w:rsidRPr="00CD34D0">
        <w:t xml:space="preserve">, Googles Gemini, Apples Siri, Metas </w:t>
      </w:r>
      <w:proofErr w:type="spellStart"/>
      <w:r w:rsidR="00B567BC" w:rsidRPr="00CD34D0">
        <w:t>WhatsApp</w:t>
      </w:r>
      <w:proofErr w:type="spellEnd"/>
      <w:r w:rsidR="00B567BC" w:rsidRPr="00CD34D0">
        <w:t xml:space="preserve"> AI, Amazons Rufus eller Microsofts </w:t>
      </w:r>
      <w:proofErr w:type="spellStart"/>
      <w:r w:rsidR="00B567BC" w:rsidRPr="00CD34D0">
        <w:t>Copilot</w:t>
      </w:r>
      <w:proofErr w:type="spellEnd"/>
      <w:r w:rsidR="00B567BC" w:rsidRPr="00CD34D0">
        <w:t xml:space="preserve">, i allt högre grad håller på att bli nya åtkomstpunkter för information, handel och digitala tjänster. Parlamentet uppmanar kommissionen att i god tid undersöka huruvida och på vilket sätt grindvakter använder sådana funktioner på </w:t>
      </w:r>
      <w:r w:rsidR="00B567BC" w:rsidRPr="00CD34D0">
        <w:lastRenderedPageBreak/>
        <w:t>ett sätt som kan undergräva konkurrensutsättning och rättvisa, inbegripet genom standardinställningar, förhandsval eller diskriminerande presentation eller urval av resultat.</w:t>
      </w:r>
    </w:p>
    <w:p w14:paraId="47DF51D3" w14:textId="633CFEA2" w:rsidR="00B567BC" w:rsidRPr="00CD34D0" w:rsidRDefault="0063651B" w:rsidP="00B567BC">
      <w:pPr>
        <w:pStyle w:val="NormalHanging12a"/>
      </w:pPr>
      <w:r w:rsidRPr="00CD34D0">
        <w:t>28</w:t>
      </w:r>
      <w:r w:rsidR="00B567BC" w:rsidRPr="00CD34D0">
        <w:t>.</w:t>
      </w:r>
      <w:r w:rsidR="00B567BC" w:rsidRPr="00CD34D0">
        <w:tab/>
        <w:t>Europaparlamentet betonar att de integrerade digitala ekosystemen hos vissa grindvakter, bestående av flera centrala plattformstjänster och relaterade tjänster, kan ge dem en strukturell konkurrensfördel vid utveckling, träning och driftsättning av AI</w:t>
      </w:r>
      <w:r w:rsidR="00B567BC" w:rsidRPr="00CD34D0">
        <w:noBreakHyphen/>
        <w:t>system, i synnerhet när tillgång till storskaliga dataflöden från flera tjänster, användargränssnitt, distributionskanaler eller kompletterande tjänster kan utnyttjas tvärs över ekosystem. Parlamentet understryker därför behovet av ett rigoröst tillsynsarbete avseende artikel 6.10 i förordningen om digitala marknader, för att säkerställa effektiva dataåtkomsträttigheter för företagsanvändare och förhindra att ekosystemövergripande datafördelar utnyttjas på ett sätt som undergräver konkurrensutsättning och rättvisa, inbegripet i fall där AI-funktioner integreras i centrala plattformstjänster eller kan bli nya åtkomstpunkter för information, handel och digitala tjänster.</w:t>
      </w:r>
    </w:p>
    <w:p w14:paraId="5D52D6A7" w14:textId="360172C1" w:rsidR="00B567BC" w:rsidRPr="00CD34D0" w:rsidRDefault="0063651B" w:rsidP="00B567BC">
      <w:pPr>
        <w:pStyle w:val="NormalHanging12a"/>
      </w:pPr>
      <w:r w:rsidRPr="00CD34D0">
        <w:t>29</w:t>
      </w:r>
      <w:r w:rsidR="00B567BC" w:rsidRPr="00CD34D0">
        <w:t>.</w:t>
      </w:r>
      <w:r w:rsidR="00B567BC" w:rsidRPr="00CD34D0">
        <w:tab/>
        <w:t>Europaparlamentet uppmanar kommissionen att säkerställa tillräckliga personal- och finansiella resurser för genomförandet av förordningen om digitala marknader, i linje med förordningens räckvidd, komplexitet och strategiska betydelse, och efterlyser en betydande förstärkning av personalstyrkan.</w:t>
      </w:r>
    </w:p>
    <w:p w14:paraId="4E01BE0D" w14:textId="709C3126" w:rsidR="00B567BC" w:rsidRPr="00CD34D0" w:rsidRDefault="0063651B" w:rsidP="00B567BC">
      <w:pPr>
        <w:pStyle w:val="NormalHanging12a"/>
      </w:pPr>
      <w:r w:rsidRPr="00CD34D0">
        <w:t>30</w:t>
      </w:r>
      <w:r w:rsidR="00B567BC" w:rsidRPr="00CD34D0">
        <w:t>.</w:t>
      </w:r>
      <w:r w:rsidR="00B567BC" w:rsidRPr="00CD34D0">
        <w:tab/>
        <w:t>Europaparlamentet förväntar sig att den kommande översynen av förordningen om digitala marknader kommer att vara transparent och ha sin fasta grund i genomförandet och bevis från dess tillämpning, inbegripet en bedömning av faktiska utfall för användare och marknader samt av den praktiska effekten av genomförandet på konsumenter, framför allt när det gäller tillgång till innovation, användbarhet, integritet och säkerhet, med vederbörlig hänsyn tagen till den tekniska utvecklingen och behovet av att säkerställa att ramen förblir framtidssäker. Parlamentet uppmanar kommissionen att under översynsprocessen i synnerhet beakta den återkoppling som mottagits från små och medelstora företag.</w:t>
      </w:r>
    </w:p>
    <w:p w14:paraId="33E4DC74" w14:textId="3316733F" w:rsidR="00B567BC" w:rsidRPr="00CD34D0" w:rsidRDefault="0063651B" w:rsidP="00B567BC">
      <w:pPr>
        <w:pStyle w:val="NormalHanging12a"/>
      </w:pPr>
      <w:r w:rsidRPr="00CD34D0">
        <w:t>31</w:t>
      </w:r>
      <w:r w:rsidR="00B567BC" w:rsidRPr="00CD34D0">
        <w:t>.</w:t>
      </w:r>
      <w:r w:rsidR="00B567BC" w:rsidRPr="00CD34D0">
        <w:tab/>
        <w:t>Europaparlamentet betonar att översynen bör inriktas på att stärka effektiviteten och genomförbarheten hos den befintliga ramen, och samtidigt hantera de utmaningar som snabbt föränderliga tekniker och ekosystem medför, genom att fullt ut utnyttja de befogenheter som finns tillgängliga inom den nuvarande ramen, inbegripet genom förtydliganden och vägledning där så är nödvändigt, och bör undvika att på nytt öppna upp förordningen om digitala marknaders centrala mål, tillämpningsområde eller struktur såvida detta inte är klart motiverat av påvisade luckor i genomförandet eller betydande marknadsutvecklingar.</w:t>
      </w:r>
    </w:p>
    <w:p w14:paraId="455B1B2C" w14:textId="76230542" w:rsidR="0063651B" w:rsidRPr="00CD34D0" w:rsidRDefault="0063651B" w:rsidP="00B567BC">
      <w:pPr>
        <w:pStyle w:val="NormalHanging12a"/>
        <w:rPr>
          <w:bCs/>
          <w:iCs/>
        </w:rPr>
      </w:pPr>
      <w:r w:rsidRPr="00CD34D0">
        <w:rPr>
          <w:bCs/>
          <w:iCs/>
        </w:rPr>
        <w:t>32.</w:t>
      </w:r>
      <w:r w:rsidRPr="00CD34D0">
        <w:rPr>
          <w:bCs/>
          <w:iCs/>
        </w:rPr>
        <w:tab/>
        <w:t xml:space="preserve">Europaparlamentet betonar att en effektiv tillämpning av förordningen om digitala marknader måste kompletteras med generella konkurrenspolitiska överväganden och alla andra EU-instrument för handelspolitiska skyddsåtgärder och marknadskontroll, eftersom systemrisker med avseende på rättvisa och ekonomisk säkerhet också kan uppstå till följd av transaktioner som inte omfattas av förordningen om digitala marknader. Parlamentet noterar i detta sammanhang oron över </w:t>
      </w:r>
      <w:proofErr w:type="spellStart"/>
      <w:r w:rsidRPr="00CD34D0">
        <w:rPr>
          <w:bCs/>
          <w:iCs/>
        </w:rPr>
        <w:t>JD.com:s</w:t>
      </w:r>
      <w:proofErr w:type="spellEnd"/>
      <w:r w:rsidRPr="00CD34D0">
        <w:rPr>
          <w:bCs/>
          <w:iCs/>
        </w:rPr>
        <w:t xml:space="preserve"> förvärv av </w:t>
      </w:r>
      <w:proofErr w:type="spellStart"/>
      <w:r w:rsidRPr="00CD34D0">
        <w:rPr>
          <w:bCs/>
          <w:iCs/>
        </w:rPr>
        <w:t>Ceconomy</w:t>
      </w:r>
      <w:proofErr w:type="spellEnd"/>
      <w:r w:rsidRPr="00CD34D0">
        <w:rPr>
          <w:bCs/>
          <w:iCs/>
        </w:rPr>
        <w:t xml:space="preserve"> AG, genom vilket kontrollen över ett stort europeiskt detaljhandels- och distributionsnät skulle överföras till en enhet utanför EU, vilket i sin tur ökar risken för att stater utanför EU får tillgång till känsliga konsumentuppgifter samt för potentiella snedvridningar kopplade till statsunderstött ekonomiskt stöd. Parlamentet uppmanar </w:t>
      </w:r>
      <w:r w:rsidRPr="00CD34D0">
        <w:rPr>
          <w:bCs/>
          <w:iCs/>
        </w:rPr>
        <w:lastRenderedPageBreak/>
        <w:t>kommissionen att strikt tillämpa förordningen om utländska subventioner</w:t>
      </w:r>
      <w:r w:rsidRPr="00CD34D0">
        <w:rPr>
          <w:rStyle w:val="FootnoteReference"/>
          <w:bCs/>
          <w:iCs/>
        </w:rPr>
        <w:footnoteReference w:id="14"/>
      </w:r>
      <w:r w:rsidRPr="00CD34D0">
        <w:rPr>
          <w:bCs/>
          <w:iCs/>
        </w:rPr>
        <w:t xml:space="preserve"> och att undersöka alla utländska subventioner till stöd för både denna och framtida transaktioner. Parlamentet uppmanar kommissionen att göra en bedömning av riskerna för europeiska konsumentuppgifter inom ramen för förordningen om granskning av utländska direktinvesteringar</w:t>
      </w:r>
      <w:r w:rsidRPr="00CD34D0">
        <w:rPr>
          <w:rStyle w:val="FootnoteReference"/>
          <w:bCs/>
          <w:iCs/>
        </w:rPr>
        <w:footnoteReference w:id="15"/>
      </w:r>
      <w:r w:rsidRPr="00CD34D0">
        <w:rPr>
          <w:bCs/>
          <w:iCs/>
        </w:rPr>
        <w:t xml:space="preserve"> och att säkerställa effektiv datalokalisering i linje med EU:s datasuveränitet och ramen för efterlevnadskontroll i förordningen om digitala marknader.</w:t>
      </w:r>
    </w:p>
    <w:p w14:paraId="6DEA1EE9" w14:textId="7F4FF5D9" w:rsidR="00982474" w:rsidRPr="00CD34D0" w:rsidRDefault="0063651B" w:rsidP="00982474">
      <w:pPr>
        <w:pStyle w:val="NormalHanging12a"/>
      </w:pPr>
      <w:r w:rsidRPr="00CD34D0">
        <w:t>33</w:t>
      </w:r>
      <w:r w:rsidR="00B567BC" w:rsidRPr="00CD34D0">
        <w:t>.</w:t>
      </w:r>
      <w:r w:rsidR="00B567BC" w:rsidRPr="00CD34D0">
        <w:tab/>
        <w:t>Europaparlamentet uppdrar åt talmannen att översända denna resolution till kommissionen.</w:t>
      </w:r>
    </w:p>
    <w:p w14:paraId="39222866" w14:textId="7BEAC6CC" w:rsidR="00E365E1" w:rsidRPr="00CD34D0" w:rsidRDefault="00E365E1" w:rsidP="00CC7A0C"/>
    <w:sectPr w:rsidR="00E365E1" w:rsidRPr="00CD34D0" w:rsidSect="009824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92D7E" w14:textId="77777777" w:rsidR="00CC7A0C" w:rsidRPr="00982474" w:rsidRDefault="00CC7A0C">
      <w:r w:rsidRPr="00982474">
        <w:separator/>
      </w:r>
    </w:p>
  </w:endnote>
  <w:endnote w:type="continuationSeparator" w:id="0">
    <w:p w14:paraId="23085E93" w14:textId="77777777" w:rsidR="00CC7A0C" w:rsidRPr="00982474" w:rsidRDefault="00CC7A0C">
      <w:r w:rsidRPr="00982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E612A" w14:textId="77777777" w:rsidR="00064002" w:rsidRPr="009824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3C66" w14:textId="77777777" w:rsidR="00064002" w:rsidRPr="009824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74F8" w14:textId="77777777" w:rsidR="00064002" w:rsidRPr="009824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19524" w14:textId="77777777" w:rsidR="00CC7A0C" w:rsidRPr="00982474" w:rsidRDefault="00CC7A0C">
      <w:r w:rsidRPr="00982474">
        <w:separator/>
      </w:r>
    </w:p>
  </w:footnote>
  <w:footnote w:type="continuationSeparator" w:id="0">
    <w:p w14:paraId="0F6FF9E2" w14:textId="77777777" w:rsidR="00CC7A0C" w:rsidRPr="00982474" w:rsidRDefault="00CC7A0C">
      <w:r w:rsidRPr="00982474">
        <w:continuationSeparator/>
      </w:r>
    </w:p>
  </w:footnote>
  <w:footnote w:id="1">
    <w:p w14:paraId="1E2F3341" w14:textId="6BD0A49C"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L 265, 12.10.2022, s. 1, ELI: </w:t>
      </w:r>
      <w:hyperlink r:id="rId1" w:tooltip="Ger åtkomst till dokumentet via dess ELI-adress." w:history="1">
        <w:r w:rsidRPr="00CD34D0">
          <w:rPr>
            <w:rStyle w:val="Hyperlink"/>
            <w:sz w:val="24"/>
            <w:lang w:val="fr-BE"/>
          </w:rPr>
          <w:t>http://data.europa.eu/eli/reg/2022/1925/oj</w:t>
        </w:r>
      </w:hyperlink>
      <w:r w:rsidRPr="00CD34D0">
        <w:rPr>
          <w:sz w:val="24"/>
          <w:lang w:val="fr-BE"/>
        </w:rPr>
        <w:t>.</w:t>
      </w:r>
    </w:p>
  </w:footnote>
  <w:footnote w:id="2">
    <w:p w14:paraId="13CE12D7" w14:textId="67FA7905"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C/2023/549, 27.10.2023, ELI: </w:t>
      </w:r>
      <w:hyperlink r:id="rId2" w:tgtFrame="_blank" w:tooltip="Ger åtkomst till dokumentet via dess ELI-adress." w:history="1">
        <w:r w:rsidRPr="00CD34D0">
          <w:rPr>
            <w:rStyle w:val="Hyperlink"/>
            <w:sz w:val="24"/>
            <w:lang w:val="fr-BE"/>
          </w:rPr>
          <w:t>http://data.europa.eu/eli/C/2023/549/oj</w:t>
        </w:r>
      </w:hyperlink>
      <w:r w:rsidRPr="00CD34D0">
        <w:rPr>
          <w:sz w:val="24"/>
          <w:lang w:val="fr-BE"/>
        </w:rPr>
        <w:t>.</w:t>
      </w:r>
    </w:p>
  </w:footnote>
  <w:footnote w:id="3">
    <w:p w14:paraId="63B58DDB" w14:textId="4F1477CA"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C/2023/905, 15.11.2023, ELI: </w:t>
      </w:r>
      <w:hyperlink r:id="rId3" w:tgtFrame="_blank" w:tooltip="Ger åtkomst till dokumentet via dess ELI-adress." w:history="1">
        <w:r w:rsidRPr="00CD34D0">
          <w:rPr>
            <w:rStyle w:val="Hyperlink"/>
            <w:sz w:val="24"/>
            <w:lang w:val="fr-BE"/>
          </w:rPr>
          <w:t>http://data.europa.eu/eli/C/2023/905/oj</w:t>
        </w:r>
      </w:hyperlink>
      <w:r w:rsidRPr="00CD34D0">
        <w:rPr>
          <w:sz w:val="24"/>
          <w:lang w:val="fr-BE"/>
        </w:rPr>
        <w:t>.</w:t>
      </w:r>
    </w:p>
  </w:footnote>
  <w:footnote w:id="4">
    <w:p w14:paraId="470FFCE6" w14:textId="5E87D462"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C/2025/4646, 14.8.2025, ELI: </w:t>
      </w:r>
      <w:hyperlink r:id="rId4" w:tgtFrame="_blank" w:tooltip="Ger åtkomst till dokumentet via dess ELI-adress." w:history="1">
        <w:r w:rsidRPr="00CD34D0">
          <w:rPr>
            <w:rStyle w:val="Hyperlink"/>
            <w:sz w:val="24"/>
            <w:lang w:val="fr-BE"/>
          </w:rPr>
          <w:t>http://data.europa.eu/eli/C/2025/4646/oj</w:t>
        </w:r>
      </w:hyperlink>
      <w:r w:rsidRPr="00CD34D0">
        <w:rPr>
          <w:sz w:val="24"/>
          <w:lang w:val="fr-BE"/>
        </w:rPr>
        <w:t>.</w:t>
      </w:r>
    </w:p>
  </w:footnote>
  <w:footnote w:id="5">
    <w:p w14:paraId="4B65E470" w14:textId="38E57F78"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C/2023/552, 27.10.2023, ELI: </w:t>
      </w:r>
      <w:hyperlink r:id="rId5" w:tgtFrame="_blank" w:tooltip="Ger åtkomst till dokumentet via dess ELI-adress." w:history="1">
        <w:r w:rsidRPr="00CD34D0">
          <w:rPr>
            <w:rStyle w:val="Hyperlink"/>
            <w:sz w:val="24"/>
            <w:lang w:val="fr-BE"/>
          </w:rPr>
          <w:t>http://data.europa.eu/eli/C/2023/552/oj</w:t>
        </w:r>
      </w:hyperlink>
      <w:r w:rsidRPr="00CD34D0">
        <w:rPr>
          <w:sz w:val="24"/>
          <w:lang w:val="fr-BE"/>
        </w:rPr>
        <w:t>.</w:t>
      </w:r>
    </w:p>
  </w:footnote>
  <w:footnote w:id="6">
    <w:p w14:paraId="1EF97135" w14:textId="65EDDFF7"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C/2023/1092, 23.11.2023, ELI: </w:t>
      </w:r>
      <w:hyperlink r:id="rId6" w:tgtFrame="_blank" w:tooltip="Ger åtkomst till dokumentet via dess ELI-adress." w:history="1">
        <w:r w:rsidRPr="00CD34D0">
          <w:rPr>
            <w:rStyle w:val="Hyperlink"/>
            <w:sz w:val="24"/>
            <w:lang w:val="fr-BE"/>
          </w:rPr>
          <w:t>http://data.europa.eu/eli/C/2023/1092/oj</w:t>
        </w:r>
      </w:hyperlink>
      <w:r w:rsidRPr="00CD34D0">
        <w:rPr>
          <w:sz w:val="24"/>
          <w:lang w:val="fr-BE"/>
        </w:rPr>
        <w:t xml:space="preserve">. </w:t>
      </w:r>
    </w:p>
  </w:footnote>
  <w:footnote w:id="7">
    <w:p w14:paraId="6278D3E5" w14:textId="6F31F09F"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C/2023/551, 27.10.2023, ELI: </w:t>
      </w:r>
      <w:hyperlink r:id="rId7" w:tgtFrame="_blank" w:tooltip="Ger åtkomst till dokumentet via dess ELI-adress." w:history="1">
        <w:r w:rsidRPr="00CD34D0">
          <w:rPr>
            <w:rStyle w:val="Hyperlink"/>
            <w:sz w:val="24"/>
            <w:lang w:val="fr-BE"/>
          </w:rPr>
          <w:t>http://data.europa.eu/eli/C/2023/551/oj</w:t>
        </w:r>
      </w:hyperlink>
      <w:r w:rsidRPr="00CD34D0">
        <w:rPr>
          <w:sz w:val="24"/>
          <w:lang w:val="fr-BE"/>
        </w:rPr>
        <w:t xml:space="preserve">. </w:t>
      </w:r>
    </w:p>
  </w:footnote>
  <w:footnote w:id="8">
    <w:p w14:paraId="5065E9A2" w14:textId="2BD9A603"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C/2024/4374, 4.7.2024, ELI: </w:t>
      </w:r>
      <w:hyperlink r:id="rId8" w:tgtFrame="_blank" w:tooltip="Ger åtkomst till dokumentet via dess ELI-adress." w:history="1">
        <w:r w:rsidRPr="00CD34D0">
          <w:rPr>
            <w:rStyle w:val="Hyperlink"/>
            <w:sz w:val="24"/>
            <w:lang w:val="fr-BE"/>
          </w:rPr>
          <w:t>http://data.europa.eu/eli/C/2024/4374/oj</w:t>
        </w:r>
      </w:hyperlink>
      <w:r w:rsidRPr="00CD34D0">
        <w:rPr>
          <w:sz w:val="24"/>
          <w:lang w:val="fr-BE"/>
        </w:rPr>
        <w:t xml:space="preserve">. </w:t>
      </w:r>
    </w:p>
  </w:footnote>
  <w:footnote w:id="9">
    <w:p w14:paraId="70C0C5D6" w14:textId="5E965B74"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C/2024/4360, 4.7.2024, ELI: </w:t>
      </w:r>
      <w:hyperlink r:id="rId9" w:tgtFrame="_blank" w:tooltip="Ger åtkomst till dokumentet via dess ELI-adress." w:history="1">
        <w:r w:rsidRPr="00CD34D0">
          <w:rPr>
            <w:rStyle w:val="Hyperlink"/>
            <w:sz w:val="24"/>
            <w:lang w:val="fr-BE"/>
          </w:rPr>
          <w:t>http://data.europa.eu/eli/C/2024/4360/oj</w:t>
        </w:r>
      </w:hyperlink>
      <w:r w:rsidRPr="00CD34D0">
        <w:rPr>
          <w:sz w:val="24"/>
          <w:lang w:val="fr-BE"/>
        </w:rPr>
        <w:t>.</w:t>
      </w:r>
    </w:p>
  </w:footnote>
  <w:footnote w:id="10">
    <w:p w14:paraId="2E72A8B7" w14:textId="1C79ED5E"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C, C/2025/3466, 27.6.2025, ELI: </w:t>
      </w:r>
      <w:hyperlink r:id="rId10" w:tgtFrame="_blank" w:tooltip="Ger åtkomst till dokumentet via dess ELI-adress." w:history="1">
        <w:r w:rsidRPr="00CD34D0">
          <w:rPr>
            <w:rStyle w:val="Hyperlink"/>
            <w:sz w:val="24"/>
            <w:lang w:val="fr-BE"/>
          </w:rPr>
          <w:t>http://data.europa.eu/eli/C/2025/3466/oj</w:t>
        </w:r>
      </w:hyperlink>
      <w:r w:rsidRPr="00CD34D0">
        <w:rPr>
          <w:sz w:val="24"/>
          <w:lang w:val="fr-BE"/>
        </w:rPr>
        <w:t xml:space="preserve">. </w:t>
      </w:r>
    </w:p>
  </w:footnote>
  <w:footnote w:id="11">
    <w:p w14:paraId="7FBF45A0" w14:textId="20EB3FFB" w:rsidR="00B567BC" w:rsidRPr="00CD34D0" w:rsidRDefault="00B567BC" w:rsidP="00982474">
      <w:pPr>
        <w:pStyle w:val="FootnoteText"/>
        <w:ind w:left="567" w:hanging="567"/>
        <w:rPr>
          <w:sz w:val="24"/>
          <w:lang w:val="fr-BE"/>
        </w:rPr>
      </w:pPr>
      <w:r w:rsidRPr="00982474">
        <w:rPr>
          <w:rStyle w:val="FootnoteReference"/>
          <w:sz w:val="24"/>
          <w:lang w:val="sv-SE"/>
        </w:rPr>
        <w:footnoteRef/>
      </w:r>
      <w:r w:rsidR="00982474" w:rsidRPr="00CD34D0">
        <w:rPr>
          <w:sz w:val="24"/>
          <w:lang w:val="fr-BE"/>
        </w:rPr>
        <w:t xml:space="preserve"> </w:t>
      </w:r>
      <w:r w:rsidR="00982474" w:rsidRPr="00CD34D0">
        <w:rPr>
          <w:sz w:val="24"/>
          <w:lang w:val="fr-BE"/>
        </w:rPr>
        <w:tab/>
      </w:r>
      <w:r w:rsidRPr="00CD34D0">
        <w:rPr>
          <w:sz w:val="24"/>
          <w:lang w:val="fr-BE"/>
        </w:rPr>
        <w:t>EUT L 102, 17.4.2023, s. 6, ELI: </w:t>
      </w:r>
      <w:hyperlink r:id="rId11" w:tooltip="Ger åtkomst till dokumentet via dess ELI-adress." w:history="1">
        <w:r w:rsidRPr="00CD34D0">
          <w:rPr>
            <w:rStyle w:val="Hyperlink"/>
            <w:sz w:val="24"/>
            <w:lang w:val="fr-BE"/>
          </w:rPr>
          <w:t>http://data.europa.eu/eli/reg_impl/2023/814/oj</w:t>
        </w:r>
      </w:hyperlink>
      <w:r w:rsidRPr="00CD34D0">
        <w:rPr>
          <w:sz w:val="24"/>
          <w:lang w:val="fr-BE"/>
        </w:rPr>
        <w:t xml:space="preserve">. </w:t>
      </w:r>
    </w:p>
  </w:footnote>
  <w:footnote w:id="12">
    <w:p w14:paraId="67DF0076" w14:textId="5CCDD086" w:rsidR="00B567BC" w:rsidRPr="00982474" w:rsidRDefault="00B567BC" w:rsidP="00982474">
      <w:pPr>
        <w:pStyle w:val="FootnoteText"/>
        <w:ind w:left="567" w:hanging="567"/>
        <w:rPr>
          <w:sz w:val="24"/>
          <w:lang w:val="sv-SE"/>
        </w:rPr>
      </w:pPr>
      <w:r w:rsidRPr="00982474">
        <w:rPr>
          <w:rStyle w:val="FootnoteReference"/>
          <w:sz w:val="24"/>
          <w:lang w:val="sv-SE"/>
        </w:rPr>
        <w:footnoteRef/>
      </w:r>
      <w:r w:rsidR="00982474" w:rsidRPr="00982474">
        <w:rPr>
          <w:sz w:val="24"/>
          <w:lang w:val="sv-SE"/>
        </w:rPr>
        <w:t xml:space="preserve"> </w:t>
      </w:r>
      <w:r w:rsidR="00982474" w:rsidRPr="00982474">
        <w:rPr>
          <w:sz w:val="24"/>
          <w:lang w:val="sv-SE"/>
        </w:rPr>
        <w:tab/>
      </w:r>
      <w:r w:rsidRPr="00982474">
        <w:rPr>
          <w:sz w:val="24"/>
          <w:lang w:val="sv-SE"/>
        </w:rPr>
        <w:t xml:space="preserve">Europaparlamentets och rådets förordning (EU) 2023/2854 av den 13 december 2023 om harmoniserade regler för skälig åtkomst till och användning av data och om ändring av förordning (EU) 2017/2394 och direktiv (EU) 2020/1828 (dataförordningen) (EUT L, 2023/2854, 22.12.2023, ELI: </w:t>
      </w:r>
      <w:hyperlink r:id="rId12" w:history="1">
        <w:r w:rsidRPr="00982474">
          <w:rPr>
            <w:rStyle w:val="Hyperlink"/>
            <w:sz w:val="24"/>
            <w:lang w:val="sv-SE"/>
          </w:rPr>
          <w:t>http://data.europa.eu/eli/reg/2023/2854/oj</w:t>
        </w:r>
      </w:hyperlink>
      <w:r w:rsidRPr="00982474">
        <w:rPr>
          <w:sz w:val="24"/>
          <w:lang w:val="sv-SE"/>
        </w:rPr>
        <w:t>).</w:t>
      </w:r>
    </w:p>
  </w:footnote>
  <w:footnote w:id="13">
    <w:p w14:paraId="71219A16" w14:textId="7F6EE5DD" w:rsidR="00B567BC" w:rsidRPr="00982474" w:rsidRDefault="00B567BC" w:rsidP="00982474">
      <w:pPr>
        <w:pStyle w:val="FootnoteText"/>
        <w:ind w:left="567" w:hanging="567"/>
        <w:rPr>
          <w:sz w:val="24"/>
          <w:lang w:val="sv-SE"/>
        </w:rPr>
      </w:pPr>
      <w:r w:rsidRPr="00982474">
        <w:rPr>
          <w:rStyle w:val="FootnoteReference"/>
          <w:sz w:val="24"/>
          <w:lang w:val="sv-SE"/>
        </w:rPr>
        <w:footnoteRef/>
      </w:r>
      <w:r w:rsidR="00982474" w:rsidRPr="00982474">
        <w:rPr>
          <w:sz w:val="24"/>
          <w:lang w:val="sv-SE"/>
        </w:rPr>
        <w:t xml:space="preserve"> </w:t>
      </w:r>
      <w:r w:rsidR="00982474" w:rsidRPr="00982474">
        <w:rPr>
          <w:sz w:val="24"/>
          <w:lang w:val="sv-SE"/>
        </w:rPr>
        <w:tab/>
      </w:r>
      <w:r w:rsidRPr="00982474">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(rättsakt om artificiell intelligens) (EUT L, 2024/1689, 12.7.2024, ELI: </w:t>
      </w:r>
      <w:hyperlink r:id="rId13" w:history="1">
        <w:r w:rsidRPr="00982474">
          <w:rPr>
            <w:rStyle w:val="Hyperlink"/>
            <w:sz w:val="24"/>
            <w:lang w:val="sv-SE"/>
          </w:rPr>
          <w:t>http://data.europa.eu/eli/reg/2024/1689/oj</w:t>
        </w:r>
      </w:hyperlink>
      <w:r w:rsidRPr="00982474">
        <w:rPr>
          <w:sz w:val="24"/>
          <w:lang w:val="sv-SE"/>
        </w:rPr>
        <w:t>).</w:t>
      </w:r>
    </w:p>
  </w:footnote>
  <w:footnote w:id="14">
    <w:p w14:paraId="2EE624A6" w14:textId="2EFD5ED1" w:rsidR="0063651B" w:rsidRPr="00CD34D0" w:rsidRDefault="0063651B" w:rsidP="00CD34D0">
      <w:pPr>
        <w:pStyle w:val="FootnoteText"/>
        <w:ind w:left="567" w:hanging="567"/>
        <w:rPr>
          <w:sz w:val="24"/>
          <w:szCs w:val="24"/>
          <w:lang w:val="sv-SE"/>
        </w:rPr>
      </w:pPr>
      <w:r w:rsidRPr="00CD34D0">
        <w:rPr>
          <w:rStyle w:val="FootnoteReference"/>
          <w:sz w:val="24"/>
          <w:szCs w:val="24"/>
        </w:rPr>
        <w:footnoteRef/>
      </w:r>
      <w:r w:rsidRPr="00CD34D0">
        <w:rPr>
          <w:sz w:val="24"/>
          <w:szCs w:val="24"/>
          <w:lang w:val="sv-SE"/>
        </w:rPr>
        <w:t xml:space="preserve"> </w:t>
      </w:r>
      <w:r w:rsidRPr="00CD34D0">
        <w:rPr>
          <w:sz w:val="24"/>
          <w:szCs w:val="24"/>
          <w:lang w:val="sv-SE"/>
        </w:rPr>
        <w:tab/>
        <w:t xml:space="preserve">Europaparlamentets och rådets förordning (EU) 2022/2560 av den 14 december 2022 om utländska subventioner som snedvrider den inre marknaden (EUT L 330, 23.12.2022, s. 1, ELI: </w:t>
      </w:r>
      <w:hyperlink r:id="rId14" w:history="1">
        <w:r w:rsidRPr="00CD34D0">
          <w:rPr>
            <w:rStyle w:val="Hyperlink"/>
            <w:sz w:val="24"/>
            <w:szCs w:val="24"/>
            <w:lang w:val="sv-SE"/>
          </w:rPr>
          <w:t>http://data.europa.eu/eli/reg/2022/2560/oj</w:t>
        </w:r>
      </w:hyperlink>
      <w:r w:rsidRPr="00CD34D0">
        <w:rPr>
          <w:sz w:val="24"/>
          <w:szCs w:val="24"/>
          <w:lang w:val="sv-SE"/>
        </w:rPr>
        <w:t>).</w:t>
      </w:r>
    </w:p>
  </w:footnote>
  <w:footnote w:id="15">
    <w:p w14:paraId="54752464" w14:textId="5EC58F00" w:rsidR="0063651B" w:rsidRPr="00CD34D0" w:rsidRDefault="0063651B" w:rsidP="00CD34D0">
      <w:pPr>
        <w:pStyle w:val="FootnoteText"/>
        <w:ind w:left="567" w:hanging="567"/>
        <w:rPr>
          <w:lang w:val="sv-SE"/>
        </w:rPr>
      </w:pPr>
      <w:r w:rsidRPr="00CD34D0">
        <w:rPr>
          <w:rStyle w:val="FootnoteReference"/>
          <w:sz w:val="24"/>
          <w:szCs w:val="22"/>
        </w:rPr>
        <w:footnoteRef/>
      </w:r>
      <w:r w:rsidRPr="00CD34D0">
        <w:rPr>
          <w:sz w:val="24"/>
          <w:szCs w:val="22"/>
          <w:lang w:val="sv-SE"/>
        </w:rPr>
        <w:t xml:space="preserve"> </w:t>
      </w:r>
      <w:r w:rsidRPr="00CD34D0">
        <w:rPr>
          <w:sz w:val="24"/>
          <w:szCs w:val="22"/>
          <w:lang w:val="sv-SE"/>
        </w:rPr>
        <w:tab/>
        <w:t>Europaparlamentets och rådets förordning (EU) 2019/452 av den 19 mars 2019 om upprättande av en ram för granskning av utländska direktinvesteringar i unionen (EUT L 79</w:t>
      </w:r>
      <w:r w:rsidR="00F01E6C">
        <w:rPr>
          <w:sz w:val="24"/>
          <w:szCs w:val="22"/>
          <w:lang w:val="sv-SE"/>
        </w:rPr>
        <w:t xml:space="preserve"> </w:t>
      </w:r>
      <w:r w:rsidRPr="00CD34D0">
        <w:rPr>
          <w:sz w:val="24"/>
          <w:szCs w:val="22"/>
          <w:lang w:val="sv-SE"/>
        </w:rPr>
        <w:t xml:space="preserve">I, 21.3.2019, s. 1, ELI: </w:t>
      </w:r>
      <w:hyperlink r:id="rId15" w:history="1">
        <w:r w:rsidRPr="00CD34D0">
          <w:rPr>
            <w:rStyle w:val="Hyperlink"/>
            <w:sz w:val="24"/>
            <w:szCs w:val="22"/>
            <w:lang w:val="sv-SE"/>
          </w:rPr>
          <w:t>http://data.europa.eu/eli/reg/2019/452/oj</w:t>
        </w:r>
      </w:hyperlink>
      <w:r w:rsidRPr="00CD34D0">
        <w:rPr>
          <w:sz w:val="24"/>
          <w:szCs w:val="22"/>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29C7" w14:textId="77777777" w:rsidR="00064002" w:rsidRPr="009824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8BD5" w14:textId="77777777" w:rsidR="00064002" w:rsidRPr="009824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5477" w14:textId="77777777" w:rsidR="00064002" w:rsidRPr="009824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5112467">
    <w:abstractNumId w:val="9"/>
  </w:num>
  <w:num w:numId="2" w16cid:durableId="782309938">
    <w:abstractNumId w:val="9"/>
  </w:num>
  <w:num w:numId="3" w16cid:durableId="26488915">
    <w:abstractNumId w:val="7"/>
  </w:num>
  <w:num w:numId="4" w16cid:durableId="498036473">
    <w:abstractNumId w:val="7"/>
  </w:num>
  <w:num w:numId="5" w16cid:durableId="173962491">
    <w:abstractNumId w:val="6"/>
  </w:num>
  <w:num w:numId="6" w16cid:durableId="696203897">
    <w:abstractNumId w:val="6"/>
  </w:num>
  <w:num w:numId="7" w16cid:durableId="1073235804">
    <w:abstractNumId w:val="5"/>
  </w:num>
  <w:num w:numId="8" w16cid:durableId="1539472749">
    <w:abstractNumId w:val="5"/>
  </w:num>
  <w:num w:numId="9" w16cid:durableId="73165568">
    <w:abstractNumId w:val="4"/>
  </w:num>
  <w:num w:numId="10" w16cid:durableId="86124636">
    <w:abstractNumId w:val="4"/>
  </w:num>
  <w:num w:numId="11" w16cid:durableId="918488383">
    <w:abstractNumId w:val="8"/>
  </w:num>
  <w:num w:numId="12" w16cid:durableId="483622036">
    <w:abstractNumId w:val="8"/>
  </w:num>
  <w:num w:numId="13" w16cid:durableId="1623339672">
    <w:abstractNumId w:val="3"/>
  </w:num>
  <w:num w:numId="14" w16cid:durableId="235287523">
    <w:abstractNumId w:val="3"/>
  </w:num>
  <w:num w:numId="15" w16cid:durableId="1535002790">
    <w:abstractNumId w:val="2"/>
  </w:num>
  <w:num w:numId="16" w16cid:durableId="1027372696">
    <w:abstractNumId w:val="2"/>
  </w:num>
  <w:num w:numId="17" w16cid:durableId="2021809135">
    <w:abstractNumId w:val="1"/>
  </w:num>
  <w:num w:numId="18" w16cid:durableId="219562540">
    <w:abstractNumId w:val="1"/>
  </w:num>
  <w:num w:numId="19" w16cid:durableId="899827620">
    <w:abstractNumId w:val="0"/>
  </w:num>
  <w:num w:numId="20" w16cid:durableId="338586293">
    <w:abstractNumId w:val="0"/>
  </w:num>
  <w:num w:numId="21" w16cid:durableId="418718798">
    <w:abstractNumId w:val="9"/>
  </w:num>
  <w:num w:numId="22" w16cid:durableId="1733768689">
    <w:abstractNumId w:val="7"/>
  </w:num>
  <w:num w:numId="23" w16cid:durableId="158352312">
    <w:abstractNumId w:val="6"/>
  </w:num>
  <w:num w:numId="24" w16cid:durableId="385419682">
    <w:abstractNumId w:val="5"/>
  </w:num>
  <w:num w:numId="25" w16cid:durableId="787162040">
    <w:abstractNumId w:val="4"/>
  </w:num>
  <w:num w:numId="26" w16cid:durableId="1066954379">
    <w:abstractNumId w:val="8"/>
  </w:num>
  <w:num w:numId="27" w16cid:durableId="1502892528">
    <w:abstractNumId w:val="3"/>
  </w:num>
  <w:num w:numId="28" w16cid:durableId="1488010143">
    <w:abstractNumId w:val="2"/>
  </w:num>
  <w:num w:numId="29" w16cid:durableId="139732021">
    <w:abstractNumId w:val="1"/>
  </w:num>
  <w:num w:numId="30" w16cid:durableId="258291522">
    <w:abstractNumId w:val="0"/>
  </w:num>
  <w:num w:numId="31" w16cid:durableId="1389500216">
    <w:abstractNumId w:val="9"/>
  </w:num>
  <w:num w:numId="32" w16cid:durableId="394816470">
    <w:abstractNumId w:val="7"/>
  </w:num>
  <w:num w:numId="33" w16cid:durableId="490566461">
    <w:abstractNumId w:val="6"/>
  </w:num>
  <w:num w:numId="34" w16cid:durableId="2056392051">
    <w:abstractNumId w:val="5"/>
  </w:num>
  <w:num w:numId="35" w16cid:durableId="1817989548">
    <w:abstractNumId w:val="4"/>
  </w:num>
  <w:num w:numId="36" w16cid:durableId="591014100">
    <w:abstractNumId w:val="8"/>
  </w:num>
  <w:num w:numId="37" w16cid:durableId="1149250261">
    <w:abstractNumId w:val="3"/>
  </w:num>
  <w:num w:numId="38" w16cid:durableId="820273079">
    <w:abstractNumId w:val="2"/>
  </w:num>
  <w:num w:numId="39" w16cid:durableId="1773358868">
    <w:abstractNumId w:val="1"/>
  </w:num>
  <w:num w:numId="40" w16cid:durableId="42098319">
    <w:abstractNumId w:val="0"/>
  </w:num>
  <w:num w:numId="41" w16cid:durableId="180553862">
    <w:abstractNumId w:val="10"/>
  </w:num>
  <w:num w:numId="42" w16cid:durableId="952369845">
    <w:abstractNumId w:val="10"/>
  </w:num>
  <w:num w:numId="43" w16cid:durableId="1992439426">
    <w:abstractNumId w:val="10"/>
  </w:num>
  <w:num w:numId="44" w16cid:durableId="1219823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SV"/>
    <w:docVar w:name="dvnumam" w:val="0"/>
    <w:docVar w:name="dvpe" w:val="785.295"/>
    <w:docVar w:name="dvtitre" w:val="Europaparlamentets resolution av den xx xx 2026 om tillämpningen av förordningen om digitala marknader(2026/2596(RSP))"/>
  </w:docVars>
  <w:rsids>
    <w:rsidRoot w:val="00CC7A0C"/>
    <w:rsid w:val="00002272"/>
    <w:rsid w:val="00064002"/>
    <w:rsid w:val="000677B9"/>
    <w:rsid w:val="000831BA"/>
    <w:rsid w:val="000A42CC"/>
    <w:rsid w:val="000E7DD9"/>
    <w:rsid w:val="000F696E"/>
    <w:rsid w:val="0010095E"/>
    <w:rsid w:val="00125B37"/>
    <w:rsid w:val="00133FC2"/>
    <w:rsid w:val="00187494"/>
    <w:rsid w:val="001F32AE"/>
    <w:rsid w:val="002767FF"/>
    <w:rsid w:val="002B18FE"/>
    <w:rsid w:val="002B5493"/>
    <w:rsid w:val="002F3C02"/>
    <w:rsid w:val="00343214"/>
    <w:rsid w:val="00361C00"/>
    <w:rsid w:val="00395FA1"/>
    <w:rsid w:val="003D5AA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51B"/>
    <w:rsid w:val="006631B6"/>
    <w:rsid w:val="00680577"/>
    <w:rsid w:val="006F74FA"/>
    <w:rsid w:val="00731ADD"/>
    <w:rsid w:val="00734777"/>
    <w:rsid w:val="00747932"/>
    <w:rsid w:val="00751A4A"/>
    <w:rsid w:val="00756632"/>
    <w:rsid w:val="00762C74"/>
    <w:rsid w:val="00786EC0"/>
    <w:rsid w:val="007D1690"/>
    <w:rsid w:val="007E22AD"/>
    <w:rsid w:val="00817416"/>
    <w:rsid w:val="00832905"/>
    <w:rsid w:val="00842779"/>
    <w:rsid w:val="00865F67"/>
    <w:rsid w:val="00881A7B"/>
    <w:rsid w:val="008840E5"/>
    <w:rsid w:val="00887B3E"/>
    <w:rsid w:val="008C2AC6"/>
    <w:rsid w:val="008E3AA8"/>
    <w:rsid w:val="00930C23"/>
    <w:rsid w:val="0093193B"/>
    <w:rsid w:val="009509D8"/>
    <w:rsid w:val="00950B64"/>
    <w:rsid w:val="00981893"/>
    <w:rsid w:val="00982474"/>
    <w:rsid w:val="009D20D5"/>
    <w:rsid w:val="00A1687D"/>
    <w:rsid w:val="00A43E52"/>
    <w:rsid w:val="00A4678D"/>
    <w:rsid w:val="00A778C7"/>
    <w:rsid w:val="00A846C1"/>
    <w:rsid w:val="00AB441E"/>
    <w:rsid w:val="00AB6293"/>
    <w:rsid w:val="00AD6373"/>
    <w:rsid w:val="00AE0928"/>
    <w:rsid w:val="00AF3B82"/>
    <w:rsid w:val="00B12E95"/>
    <w:rsid w:val="00B22876"/>
    <w:rsid w:val="00B558F0"/>
    <w:rsid w:val="00B567BC"/>
    <w:rsid w:val="00BD48FE"/>
    <w:rsid w:val="00BD7BD8"/>
    <w:rsid w:val="00BE6ADC"/>
    <w:rsid w:val="00C05BFE"/>
    <w:rsid w:val="00C23CD4"/>
    <w:rsid w:val="00C61C0C"/>
    <w:rsid w:val="00C941CB"/>
    <w:rsid w:val="00CC2357"/>
    <w:rsid w:val="00CC7A0C"/>
    <w:rsid w:val="00CD34D0"/>
    <w:rsid w:val="00CF071A"/>
    <w:rsid w:val="00D058B8"/>
    <w:rsid w:val="00D33D36"/>
    <w:rsid w:val="00D56C11"/>
    <w:rsid w:val="00D834A0"/>
    <w:rsid w:val="00D872DF"/>
    <w:rsid w:val="00D91E21"/>
    <w:rsid w:val="00DA7FCD"/>
    <w:rsid w:val="00E365E1"/>
    <w:rsid w:val="00E820A4"/>
    <w:rsid w:val="00EB006A"/>
    <w:rsid w:val="00EB4772"/>
    <w:rsid w:val="00ED169E"/>
    <w:rsid w:val="00ED4235"/>
    <w:rsid w:val="00EF46B2"/>
    <w:rsid w:val="00EF563C"/>
    <w:rsid w:val="00F01E6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3BF93"/>
  <w15:chartTrackingRefBased/>
  <w15:docId w15:val="{3357E564-C15A-409B-BA63-B39F9139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67BC"/>
    <w:pPr>
      <w:spacing w:before="480" w:after="240"/>
    </w:pPr>
  </w:style>
  <w:style w:type="paragraph" w:customStyle="1" w:styleId="NormalBold">
    <w:name w:val="NormalBold"/>
    <w:basedOn w:val="Normal"/>
    <w:rsid w:val="00B567BC"/>
    <w:rPr>
      <w:b/>
    </w:rPr>
  </w:style>
  <w:style w:type="paragraph" w:customStyle="1" w:styleId="NormalBold12a">
    <w:name w:val="NormalBold12a"/>
    <w:basedOn w:val="Normal"/>
    <w:rsid w:val="00B567BC"/>
    <w:pPr>
      <w:spacing w:after="240"/>
    </w:pPr>
    <w:rPr>
      <w:b/>
    </w:rPr>
  </w:style>
  <w:style w:type="paragraph" w:customStyle="1" w:styleId="NormalHanging12a">
    <w:name w:val="NormalHanging12a"/>
    <w:basedOn w:val="Normal"/>
    <w:rsid w:val="00B567BC"/>
    <w:pPr>
      <w:spacing w:after="240"/>
      <w:ind w:left="567" w:hanging="567"/>
    </w:pPr>
  </w:style>
  <w:style w:type="character" w:styleId="Hyperlink">
    <w:name w:val="Hyperlink"/>
    <w:basedOn w:val="DefaultParagraphFont"/>
    <w:uiPriority w:val="99"/>
    <w:unhideWhenUsed/>
    <w:rsid w:val="00B567BC"/>
    <w:rPr>
      <w:color w:val="0563C1" w:themeColor="hyperlink"/>
      <w:u w:val="single"/>
    </w:rPr>
  </w:style>
  <w:style w:type="paragraph" w:styleId="Revision">
    <w:name w:val="Revision"/>
    <w:hidden/>
    <w:uiPriority w:val="99"/>
    <w:semiHidden/>
    <w:rsid w:val="0063651B"/>
    <w:rPr>
      <w:sz w:val="24"/>
      <w:lang w:val="sv-SE"/>
    </w:rPr>
  </w:style>
  <w:style w:type="character" w:styleId="CommentReference">
    <w:name w:val="annotation reference"/>
    <w:basedOn w:val="DefaultParagraphFont"/>
    <w:rsid w:val="0063651B"/>
    <w:rPr>
      <w:sz w:val="16"/>
      <w:szCs w:val="16"/>
    </w:rPr>
  </w:style>
  <w:style w:type="paragraph" w:styleId="CommentText">
    <w:name w:val="annotation text"/>
    <w:basedOn w:val="Normal"/>
    <w:link w:val="CommentTextChar"/>
    <w:rsid w:val="0063651B"/>
    <w:rPr>
      <w:sz w:val="20"/>
    </w:rPr>
  </w:style>
  <w:style w:type="character" w:customStyle="1" w:styleId="CommentTextChar">
    <w:name w:val="Comment Text Char"/>
    <w:basedOn w:val="DefaultParagraphFont"/>
    <w:link w:val="CommentText"/>
    <w:rsid w:val="0063651B"/>
    <w:rPr>
      <w:lang w:val="sv-SE"/>
    </w:rPr>
  </w:style>
  <w:style w:type="paragraph" w:styleId="CommentSubject">
    <w:name w:val="annotation subject"/>
    <w:basedOn w:val="CommentText"/>
    <w:next w:val="CommentText"/>
    <w:link w:val="CommentSubjectChar"/>
    <w:rsid w:val="0063651B"/>
    <w:rPr>
      <w:b/>
      <w:bCs/>
    </w:rPr>
  </w:style>
  <w:style w:type="character" w:customStyle="1" w:styleId="CommentSubjectChar">
    <w:name w:val="Comment Subject Char"/>
    <w:basedOn w:val="CommentTextChar"/>
    <w:link w:val="CommentSubject"/>
    <w:rsid w:val="0063651B"/>
    <w:rPr>
      <w:b/>
      <w:bCs/>
      <w:lang w:val="sv-SE"/>
    </w:rPr>
  </w:style>
  <w:style w:type="character" w:styleId="UnresolvedMention">
    <w:name w:val="Unresolved Mention"/>
    <w:basedOn w:val="DefaultParagraphFont"/>
    <w:uiPriority w:val="99"/>
    <w:semiHidden/>
    <w:unhideWhenUsed/>
    <w:rsid w:val="00636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4035</Words>
  <Characters>28338</Characters>
  <Application>Microsoft Office Word</Application>
  <DocSecurity>0</DocSecurity>
  <Lines>236</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2026-06-01T11:46:00Z</dcterms:created>
  <dcterms:modified xsi:type="dcterms:W3CDTF">2026-06-01T11:46:00Z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B10-0190/2026</vt:lpwstr>
  </property>
  <property fmtid="{D5CDD505-2E9C-101B-9397-08002B2CF9AE}" pid="4" name="&lt;Type&gt;">
    <vt:lpwstr>RR</vt:lpwstr>
  </property>
</Properties>
</file>