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5B5D" w14:paraId="60074BE0" w14:textId="77777777" w:rsidTr="0010095E">
        <w:trPr>
          <w:trHeight w:hRule="exact" w:val="1418"/>
        </w:trPr>
        <w:tc>
          <w:tcPr>
            <w:tcW w:w="6804" w:type="dxa"/>
            <w:shd w:val="clear" w:color="auto" w:fill="auto"/>
            <w:vAlign w:val="center"/>
          </w:tcPr>
          <w:p w14:paraId="05A226E1" w14:textId="2CBD164A" w:rsidR="00751A4A" w:rsidRPr="00255B5D" w:rsidRDefault="00FB3212" w:rsidP="0010095E">
            <w:pPr>
              <w:pStyle w:val="EPName"/>
            </w:pPr>
            <w:r w:rsidRPr="00255B5D">
              <w:t>Europos Parlamentas</w:t>
            </w:r>
          </w:p>
          <w:p w14:paraId="38BA444E" w14:textId="77777777" w:rsidR="00751A4A" w:rsidRPr="00255B5D" w:rsidRDefault="005F1B17" w:rsidP="005F1B17">
            <w:pPr>
              <w:pStyle w:val="EPTerm"/>
              <w:rPr>
                <w:rStyle w:val="HideTWBExt"/>
                <w:noProof w:val="0"/>
                <w:vanish w:val="0"/>
                <w:color w:val="auto"/>
              </w:rPr>
            </w:pPr>
            <w:r w:rsidRPr="00255B5D">
              <w:t>2024</w:t>
            </w:r>
            <w:r w:rsidR="00817416" w:rsidRPr="00255B5D">
              <w:t>-202</w:t>
            </w:r>
            <w:r w:rsidRPr="00255B5D">
              <w:t>9</w:t>
            </w:r>
          </w:p>
        </w:tc>
        <w:tc>
          <w:tcPr>
            <w:tcW w:w="2268" w:type="dxa"/>
            <w:shd w:val="clear" w:color="auto" w:fill="auto"/>
          </w:tcPr>
          <w:p w14:paraId="5CDB3183" w14:textId="77777777" w:rsidR="00751A4A" w:rsidRPr="00255B5D" w:rsidRDefault="00187494" w:rsidP="0010095E">
            <w:pPr>
              <w:pStyle w:val="EPLogo"/>
            </w:pPr>
            <w:r w:rsidRPr="00255B5D">
              <w:rPr>
                <w:lang w:eastAsia="ja-JP"/>
              </w:rPr>
              <w:drawing>
                <wp:inline distT="0" distB="0" distL="0" distR="0" wp14:anchorId="7FB8D3D6" wp14:editId="70A3A3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F6AFB0" w14:textId="77777777" w:rsidR="00D058B8" w:rsidRPr="00255B5D" w:rsidRDefault="00D058B8" w:rsidP="004C5D52">
      <w:pPr>
        <w:pStyle w:val="LineTop"/>
      </w:pPr>
    </w:p>
    <w:p w14:paraId="1CBEA837" w14:textId="22B951B1" w:rsidR="00680577" w:rsidRPr="00255B5D" w:rsidRDefault="00FB3212" w:rsidP="00680577">
      <w:pPr>
        <w:pStyle w:val="EPBodyTA1"/>
      </w:pPr>
      <w:r w:rsidRPr="00255B5D">
        <w:t>PRIIMTI TEKSTAI</w:t>
      </w:r>
    </w:p>
    <w:p w14:paraId="5947FF13" w14:textId="77777777" w:rsidR="00D058B8" w:rsidRPr="00255B5D" w:rsidRDefault="00D058B8" w:rsidP="00D058B8">
      <w:pPr>
        <w:pStyle w:val="LineBottom"/>
      </w:pPr>
    </w:p>
    <w:p w14:paraId="09E244C4" w14:textId="417209BA" w:rsidR="00FB3212" w:rsidRPr="00255B5D" w:rsidRDefault="00FB3212" w:rsidP="00FB3212">
      <w:pPr>
        <w:pStyle w:val="ATHeading1"/>
      </w:pPr>
      <w:bookmarkStart w:id="0" w:name="TANumber"/>
      <w:r w:rsidRPr="00255B5D">
        <w:t>P10_TA(2026)0</w:t>
      </w:r>
      <w:r w:rsidR="00E14DD9" w:rsidRPr="00255B5D">
        <w:t>161</w:t>
      </w:r>
      <w:bookmarkEnd w:id="0"/>
    </w:p>
    <w:p w14:paraId="29350994" w14:textId="77777777" w:rsidR="00FB3212" w:rsidRPr="00255B5D" w:rsidRDefault="00FB3212" w:rsidP="00FB3212">
      <w:pPr>
        <w:pStyle w:val="ATHeading2"/>
      </w:pPr>
      <w:bookmarkStart w:id="1" w:name="title"/>
      <w:r w:rsidRPr="00255B5D">
        <w:t>Atsakomybės ir teisingumo užtikrinimas reaguojant į nuolatinius Rusijos išpuolius prieš civilius gyventojus Ukrainoje</w:t>
      </w:r>
      <w:bookmarkEnd w:id="1"/>
    </w:p>
    <w:p w14:paraId="39A305C2" w14:textId="77777777" w:rsidR="00FB3212" w:rsidRPr="00255B5D" w:rsidRDefault="00FB3212" w:rsidP="00FB3212">
      <w:pPr>
        <w:rPr>
          <w:i/>
          <w:vanish/>
        </w:rPr>
      </w:pPr>
      <w:r w:rsidRPr="00255B5D">
        <w:rPr>
          <w:i/>
        </w:rPr>
        <w:fldChar w:fldCharType="begin"/>
      </w:r>
      <w:r w:rsidRPr="00255B5D">
        <w:rPr>
          <w:i/>
        </w:rPr>
        <w:instrText xml:space="preserve"> TC"(</w:instrText>
      </w:r>
      <w:bookmarkStart w:id="2" w:name="DocNumber"/>
      <w:r w:rsidRPr="00255B5D">
        <w:rPr>
          <w:i/>
        </w:rPr>
        <w:instrText>B10-0201, 0204, 0211, 0215 ir 0227/2026</w:instrText>
      </w:r>
      <w:bookmarkEnd w:id="2"/>
      <w:r w:rsidRPr="00255B5D">
        <w:rPr>
          <w:i/>
        </w:rPr>
        <w:instrText xml:space="preserve">)"\l3 \n&gt; \* MERGEFORMAT </w:instrText>
      </w:r>
      <w:r w:rsidRPr="00255B5D">
        <w:rPr>
          <w:i/>
        </w:rPr>
        <w:fldChar w:fldCharType="end"/>
      </w:r>
    </w:p>
    <w:p w14:paraId="59591BA2" w14:textId="77777777" w:rsidR="00FB3212" w:rsidRPr="00255B5D" w:rsidRDefault="00FB3212" w:rsidP="00FB3212">
      <w:pPr>
        <w:rPr>
          <w:vanish/>
        </w:rPr>
      </w:pPr>
      <w:bookmarkStart w:id="3" w:name="PE"/>
      <w:r w:rsidRPr="00255B5D">
        <w:rPr>
          <w:vanish/>
        </w:rPr>
        <w:t>PE783.236</w:t>
      </w:r>
      <w:bookmarkEnd w:id="3"/>
    </w:p>
    <w:p w14:paraId="310B39BC" w14:textId="4CC35446" w:rsidR="00FB3212" w:rsidRPr="00255B5D" w:rsidRDefault="00FB3212" w:rsidP="0083130A">
      <w:pPr>
        <w:pStyle w:val="ATHeading3"/>
      </w:pPr>
      <w:bookmarkStart w:id="4" w:name="Sujet"/>
      <w:r w:rsidRPr="00255B5D">
        <w:t xml:space="preserve">2026 m. </w:t>
      </w:r>
      <w:r w:rsidR="005951D5" w:rsidRPr="00255B5D">
        <w:t>balandžio 30</w:t>
      </w:r>
      <w:r w:rsidRPr="00255B5D">
        <w:t xml:space="preserve"> d. Europos Parlamento rezoliucija dėl atsakomybės ir teisingumo užtikrinimo reaguojant į nuolatinius Rusijos išpuolius prieš civilius gyventojus Ukrainoje </w:t>
      </w:r>
      <w:bookmarkEnd w:id="4"/>
      <w:r w:rsidRPr="00255B5D">
        <w:t xml:space="preserve"> </w:t>
      </w:r>
      <w:bookmarkStart w:id="5" w:name="References"/>
      <w:r w:rsidRPr="00255B5D">
        <w:t>(2026/2700(RSP))</w:t>
      </w:r>
      <w:bookmarkEnd w:id="5"/>
    </w:p>
    <w:p w14:paraId="22A592B0" w14:textId="77777777" w:rsidR="009F1108" w:rsidRPr="00255B5D" w:rsidRDefault="009F1108" w:rsidP="009F1108">
      <w:pPr>
        <w:pStyle w:val="EPComma"/>
      </w:pPr>
      <w:bookmarkStart w:id="6" w:name="TextBodyBegin"/>
      <w:bookmarkEnd w:id="6"/>
      <w:r w:rsidRPr="00255B5D">
        <w:rPr>
          <w:i/>
        </w:rPr>
        <w:t>Europos Parlamentas</w:t>
      </w:r>
      <w:r w:rsidRPr="00255B5D">
        <w:t>,</w:t>
      </w:r>
    </w:p>
    <w:p w14:paraId="44F939F6" w14:textId="77777777" w:rsidR="009F1108" w:rsidRPr="00255B5D" w:rsidRDefault="009F1108" w:rsidP="009F1108">
      <w:pPr>
        <w:pStyle w:val="NormalHanging12a"/>
      </w:pPr>
      <w:r w:rsidRPr="00255B5D">
        <w:t>–</w:t>
      </w:r>
      <w:r w:rsidRPr="00255B5D">
        <w:tab/>
        <w:t>atsižvelgdamas į savo ankstesnes rezoliucijas dėl Ukrainos ir Rusijos,</w:t>
      </w:r>
    </w:p>
    <w:p w14:paraId="28316BE9" w14:textId="77777777" w:rsidR="009F1108" w:rsidRPr="00255B5D" w:rsidRDefault="009F1108" w:rsidP="009F1108">
      <w:pPr>
        <w:pStyle w:val="NormalHanging12a"/>
      </w:pPr>
      <w:r w:rsidRPr="00255B5D">
        <w:t>–</w:t>
      </w:r>
      <w:r w:rsidRPr="00255B5D">
        <w:tab/>
        <w:t>atsižvelgdamas į Jungtinių Tautų Chartiją,</w:t>
      </w:r>
    </w:p>
    <w:p w14:paraId="0B057F72" w14:textId="77777777" w:rsidR="009F1108" w:rsidRPr="00255B5D" w:rsidRDefault="009F1108" w:rsidP="009F1108">
      <w:pPr>
        <w:pStyle w:val="NormalHanging12a"/>
      </w:pPr>
      <w:r w:rsidRPr="00255B5D">
        <w:t>–</w:t>
      </w:r>
      <w:r w:rsidRPr="00255B5D">
        <w:tab/>
        <w:t>atsižvelgdamas į 1949 m. Ženevos konvencijas ir jų papildomus protokolus,</w:t>
      </w:r>
    </w:p>
    <w:p w14:paraId="6CF6FBEC" w14:textId="77777777" w:rsidR="009F1108" w:rsidRPr="00255B5D" w:rsidRDefault="009F1108" w:rsidP="009F1108">
      <w:pPr>
        <w:pStyle w:val="NormalHanging12a"/>
      </w:pPr>
      <w:r w:rsidRPr="00255B5D">
        <w:t>–</w:t>
      </w:r>
      <w:r w:rsidRPr="00255B5D">
        <w:tab/>
        <w:t>atsižvelgdamas į Tarptautinio baudžiamojo teismo Romos statutą,</w:t>
      </w:r>
    </w:p>
    <w:p w14:paraId="5A2B7FD3" w14:textId="77777777" w:rsidR="009F1108" w:rsidRPr="00255B5D" w:rsidRDefault="009F1108" w:rsidP="009F1108">
      <w:pPr>
        <w:pStyle w:val="NormalHanging12a"/>
      </w:pPr>
      <w:r w:rsidRPr="00255B5D">
        <w:t>–</w:t>
      </w:r>
      <w:r w:rsidRPr="00255B5D">
        <w:tab/>
        <w:t>atsižvelgdamas į 2025 m. birželio 25 d. Europos Tarybos ir Ukrainos susitarimą dėl Specialiojo tribunolo dėl agresijos nusikaltimo prieš Ukrainą įsteigimo,</w:t>
      </w:r>
    </w:p>
    <w:p w14:paraId="51D39B7E" w14:textId="77777777" w:rsidR="009F1108" w:rsidRPr="00255B5D" w:rsidRDefault="009F1108" w:rsidP="009F1108">
      <w:pPr>
        <w:pStyle w:val="NormalHanging12a"/>
      </w:pPr>
      <w:r w:rsidRPr="00255B5D">
        <w:t>–</w:t>
      </w:r>
      <w:r w:rsidRPr="00255B5D">
        <w:tab/>
      </w:r>
      <w:bookmarkStart w:id="7" w:name="_Hlk228355480"/>
      <w:r w:rsidRPr="00255B5D">
        <w:t>atsižvelgdamas į Europos Vadovų Tarybos 2025 m. birželio 26 d., 2025 m. gruodžio 18 d. ir 2026 m. kovo 19 d. išvadas,</w:t>
      </w:r>
      <w:bookmarkEnd w:id="7"/>
    </w:p>
    <w:p w14:paraId="3E010272" w14:textId="77777777" w:rsidR="009F1108" w:rsidRPr="00255B5D" w:rsidRDefault="009F1108" w:rsidP="009F1108">
      <w:pPr>
        <w:pStyle w:val="NormalHanging12a"/>
      </w:pPr>
      <w:r w:rsidRPr="00255B5D">
        <w:t>–</w:t>
      </w:r>
      <w:r w:rsidRPr="00255B5D">
        <w:tab/>
        <w:t>atsižvelgdamas į 2022 m. kovo 2 d. JT Generalinės Asamblėjos rezoliuciją, kurioje smerkiama JT Chartiją pažeidžianti Rusijos agresija prieš Ukrainą, ir į 2022 m. lapkričio 14 d. JT Generalinės Asamblėjos rezoliuciją dėl teisių gynimo priemonių ir žalos atlyginimo už agresiją prieš Ukrainą rėmimo,</w:t>
      </w:r>
    </w:p>
    <w:p w14:paraId="47C7A8CE" w14:textId="77777777" w:rsidR="009F1108" w:rsidRPr="00255B5D" w:rsidRDefault="009F1108" w:rsidP="009F1108">
      <w:pPr>
        <w:pStyle w:val="NormalHanging12a"/>
      </w:pPr>
      <w:r w:rsidRPr="00255B5D">
        <w:t>–</w:t>
      </w:r>
      <w:r w:rsidRPr="00255B5D">
        <w:tab/>
        <w:t>atsižvelgdamas į Europos Tarybos konvenciją, kuria įsteigiama Tarptautinė paraiškų dėl Ukrainos nagrinėjimo komisija,</w:t>
      </w:r>
    </w:p>
    <w:p w14:paraId="51A3B50F" w14:textId="77777777" w:rsidR="009F1108" w:rsidRPr="00255B5D" w:rsidRDefault="009F1108" w:rsidP="009F1108">
      <w:pPr>
        <w:pStyle w:val="NormalHanging12a"/>
      </w:pPr>
      <w:r w:rsidRPr="00255B5D">
        <w:t>–</w:t>
      </w:r>
      <w:r w:rsidRPr="00255B5D">
        <w:tab/>
        <w:t>atsižvelgdamas į Tarptautinio baudžiamojo persekiojimo už agresijos nusikaltimą prieš Ukrainą centro įsteigimą,</w:t>
      </w:r>
    </w:p>
    <w:p w14:paraId="1065F291" w14:textId="77777777" w:rsidR="009F1108" w:rsidRPr="00255B5D" w:rsidRDefault="009F1108" w:rsidP="009F1108">
      <w:pPr>
        <w:pStyle w:val="NormalHanging12a"/>
      </w:pPr>
      <w:r w:rsidRPr="00255B5D">
        <w:t>–</w:t>
      </w:r>
      <w:r w:rsidRPr="00255B5D">
        <w:tab/>
        <w:t>atsižvelgdamas į Darbo tvarkos taisyklių 136 straipsnio 2 ir 4 dalis,</w:t>
      </w:r>
    </w:p>
    <w:p w14:paraId="321770A7" w14:textId="77777777" w:rsidR="009F1108" w:rsidRPr="00255B5D" w:rsidRDefault="009F1108" w:rsidP="009F1108">
      <w:pPr>
        <w:pStyle w:val="NormalHanging12a"/>
      </w:pPr>
      <w:r w:rsidRPr="00255B5D">
        <w:t>A.</w:t>
      </w:r>
      <w:r w:rsidRPr="00255B5D">
        <w:tab/>
        <w:t xml:space="preserve">kadangi praėjo daugiau kaip ketveri metai nuo tada, kai Rusija pradėjo neteisėtą, neišprovokuotą ir nepateisinamą plataus masto agresijos karą prieš Ukrainą, tęsdama puolimą, kurį ji pradėjo 2014 m. aneksavusi Krymą ir okupavusi kai kurias Donbaso </w:t>
      </w:r>
      <w:r w:rsidRPr="00255B5D">
        <w:lastRenderedPageBreak/>
        <w:t>regiono dalis, taip šiurkščiai pažeisdama Ukrainos suverenitetą ir teritorinį vientisumą ir sukeldama sunkių humanitarinių, ekonominių, aplinkosauginių ir regioninių padarinių; kadangi Rusijos agresijos karas grindžiamas nacionalistine imperialistine ideologija ir jis yra platesnių tikslų, nukreiptų prieš Vakarus ir jų interesus bei vertybes, dalis;</w:t>
      </w:r>
    </w:p>
    <w:p w14:paraId="4849978D" w14:textId="77777777" w:rsidR="009F1108" w:rsidRPr="00255B5D" w:rsidRDefault="009F1108" w:rsidP="009F1108">
      <w:pPr>
        <w:pStyle w:val="NormalHanging12a"/>
      </w:pPr>
      <w:r w:rsidRPr="00255B5D">
        <w:t>B.</w:t>
      </w:r>
      <w:r w:rsidRPr="00255B5D">
        <w:tab/>
        <w:t>kadangi Rusija tyčia ir ne kartą nusitaikė į civilius gyventojus ir civilinius objektus, įskaitant energetikos infrastruktūrą ir sveikatos priežiūros įstaigas, o tai yra sunkūs tarptautinės humanitarinės teisės, įskaitant Ženevos konvencijas ir Tarptautinio baudžiamojo teismo Romos statutą, pažeidimai; kadangi praėjusią žiemą Rusija ne kartą nusitaikė į Ukrainos civilinę energetikos infrastruktūrą, todėl milijonai Ukrainos žmonių turėjo išgyventi vyraujant neigiamoms temperatūroms, turėdami ribotas galimybes naudotis elektros energija, šildymu ir tekančiu vandeniu; kadangi nuolatiniai ir sistemingi išpuoliai prieš energetikos infrastruktūrą sukelia visiškus atsijungimus, kurie, be kita ko, daro poveikį ligoninių veiklai ir esminių paslaugų teikimui, taip sukeldami pavojų civilių gyventojų gyvybėms;</w:t>
      </w:r>
    </w:p>
    <w:p w14:paraId="4A47D0BE" w14:textId="77777777" w:rsidR="009F1108" w:rsidRPr="00255B5D" w:rsidRDefault="009F1108" w:rsidP="009F1108">
      <w:pPr>
        <w:pStyle w:val="NormalHanging12a"/>
      </w:pPr>
      <w:r w:rsidRPr="00255B5D">
        <w:t>C.</w:t>
      </w:r>
      <w:r w:rsidRPr="00255B5D">
        <w:tab/>
        <w:t>kadangi neseniai Rusijos pajėgos suintensyvino savo oro ir raketų antpuolius, vykdomus prieš didžiuosius Ukrainos miestus, be kita ko, Kyjivą, Charkivą, Dniprą, Odesą ir Zaporižią, kurių metu nukenčia daug civilių gyventojų ir plačiu mastu sunaikinami gyvenamieji rajonai; kadangi 2026 m. balandžio mėn. Rusija surengė beprecedentiškai daug išpuolių prieš Ukrainą, per kuriuos žuvo mažiausiai 75 civiliai ir buvo sužeista daugiau nei 400 žmonių; kadangi, remiantis Jungtinių Tautų vyriausiojo žmogaus teisių komisaro biuro (OHCHR) duomenimis, nuo 2022 m. vasario 24 d. nužudyta daugiau kaip 15 500 civilių gyventojų ir daugiau kaip 43 000 civilių gyventojų buvo sužeista, tačiau tikėtina, kad faktiniai skaičiai yra gerokai didesni;</w:t>
      </w:r>
    </w:p>
    <w:p w14:paraId="401FDEAB" w14:textId="77777777" w:rsidR="009F1108" w:rsidRPr="00255B5D" w:rsidRDefault="009F1108" w:rsidP="009F1108">
      <w:pPr>
        <w:pStyle w:val="NormalHanging12a"/>
      </w:pPr>
      <w:r w:rsidRPr="00255B5D">
        <w:t>D.</w:t>
      </w:r>
      <w:r w:rsidRPr="00255B5D">
        <w:tab/>
        <w:t>kadangi, remiantis UNICEF duomenimis, daugiau kaip 3 200 vaikų Ukrainoje žuvo arba buvo sužeisti, daugiau kaip trečdalis Ukrainos vaikų tebėra perkelti, o tūkstančiai mokyklų ir švietimo įstaigų buvo apgadintos arba sugriautos, todėl vienas iš trijų vaikų negali visą dieną mokytis mokykloje; kadangi 2026 m. kovo mėn. JT nepriklausoma tarptautinė tyrimų komisija dėl Ukrainos padarė išvadą, kad Rusijos valdžios institucijos įvykdė nusikaltimus žmoniškumui ir karo nusikaltimus deportuodamos, priverstinai perkeldamos Ukrainos vaikus ir organizuodamos priverstinį jų dingimą; kadangi ES ne kartą ragino Rusiją ir Baltarusiją užtikrinti saugų ir besąlygišką visų deportuotų ar perkeltų Ukrainos vaikų ir kitų civilių gyventojų grąžinimą į Ukrainą; kadangi grąžinti vaikai praneša apie Rusijos valdžios institucijų ilgai vykdytus vadinamojo perauklėjimo veiksmus, kuriais siekta naikinti jų ukrainietišką tapatybę;</w:t>
      </w:r>
    </w:p>
    <w:p w14:paraId="21AE1134" w14:textId="77777777" w:rsidR="009F1108" w:rsidRPr="00255B5D" w:rsidRDefault="009F1108" w:rsidP="009F1108">
      <w:pPr>
        <w:pStyle w:val="NormalHanging12a"/>
      </w:pPr>
      <w:r w:rsidRPr="00255B5D">
        <w:t>E.</w:t>
      </w:r>
      <w:r w:rsidRPr="00255B5D">
        <w:tab/>
        <w:t>kadangi nuo 2022 m. vasario 24 d. Pasaulio sveikatos organizacija užfiksavo bent 2 881 išpuolį prieš sveikatos priežiūros darbuotojus, sveikatos priežiūros įstaigas, greitosios pagalbos automobilius ir medicinos reikmenų sandėlius visoje Ukrainoje;</w:t>
      </w:r>
    </w:p>
    <w:p w14:paraId="2DD6AB85" w14:textId="77777777" w:rsidR="009F1108" w:rsidRPr="00255B5D" w:rsidRDefault="009F1108" w:rsidP="009F1108">
      <w:pPr>
        <w:pStyle w:val="NormalHanging12a"/>
        <w:rPr>
          <w:bCs/>
        </w:rPr>
      </w:pPr>
      <w:r w:rsidRPr="00255B5D">
        <w:t>F.</w:t>
      </w:r>
      <w:r w:rsidRPr="00255B5D">
        <w:tab/>
        <w:t>kadangi JT Generalinė Asamblėja pripažino, kad Rusija turi būti patraukta atsakomybėn už visus tarptautinės teisės pažeidimus Ukrainoje arba prieš ją ir privalo prisiimti savo tarptautinės teisės požiūriu neteisėtų veiksmų teisines pasekmes, įskaitant tokiais veiksmais padarytos žalos atlyginimą; kadangi JT Generalinė Asamblėja taip pat pripažino, kad reikia sukurti tarptautinį žalos, nuostolių ar sužalojimų, padarytų dėl tarptautinės teisės požiūriu neteisėtų Rusijos Federacijos veiksmų, atlyginimo mechanizmą;</w:t>
      </w:r>
    </w:p>
    <w:p w14:paraId="1F7EC690" w14:textId="77777777" w:rsidR="009F1108" w:rsidRPr="00255B5D" w:rsidRDefault="009F1108" w:rsidP="009F1108">
      <w:pPr>
        <w:pStyle w:val="NormalHanging12a"/>
      </w:pPr>
      <w:r w:rsidRPr="00255B5D">
        <w:t>G.</w:t>
      </w:r>
      <w:r w:rsidRPr="00255B5D">
        <w:tab/>
        <w:t xml:space="preserve">kadangi 2023 m. kovo mėn. Tarptautinis baudžiamasis teismas išdavė Vladimiro Putino ir Marijos Lvovos-Belovos arešto orderius už karo nusikaltimą – neteisėtą ukrainiečių </w:t>
      </w:r>
      <w:r w:rsidRPr="00255B5D">
        <w:lastRenderedPageBreak/>
        <w:t>vaikų deportaciją ir perkėlimą; kadangi vėliau šis teismas išdavė dar keturių vyresniųjų Rusijos kariuomenės pareigūnų, t. y. Viktoro Sokolovo, Sergei Kobylasho, Sergei Shoigu ir Valery Gerasimovo, kurie kaltinami išpuolių nukreipimu į civilinius objektus ir nusikaltimais žmoniškumui, arešto orderius;</w:t>
      </w:r>
    </w:p>
    <w:p w14:paraId="5D945375" w14:textId="77777777" w:rsidR="009F1108" w:rsidRPr="00255B5D" w:rsidRDefault="009F1108" w:rsidP="009F1108">
      <w:pPr>
        <w:pStyle w:val="NormalHanging12a"/>
      </w:pPr>
      <w:r w:rsidRPr="00255B5D">
        <w:t>H.</w:t>
      </w:r>
      <w:r w:rsidRPr="00255B5D">
        <w:tab/>
        <w:t>kadangi Rusija sistemingai taikėsi į daugiau kaip 1 700 Ukrainos kultūros paveldo vietovių ir daugiau kaip 2 500 kultūros infrastruktūros objektų, įskaitant muziejus ir archyvus, padarė jiems žalą ir taip pažeidė 1954 m. Hagos kultūros vertybių apsaugos ginkluoto konflikto metu konvenciją; kadangi UNESCO užregistravo žalą daugiau kaip 500 kultūros paveldo vietovių Ukrainoje, visų pirma, patirtą dėl pakartotinių Rusijos raketų ir bepiločių orlaivių smūgių; kadangi tarp šių vietovių yra išskirtinės vietos, kurios yra visuotinės vertybės, visų pirma, Šv. Sofijos katedra Kyjive ir Odesos istorinis centras – pastarasis būtent dėl Rusijos agresijos karo įtrauktas į pasaulio paveldo objektų, kuriems gresia pavojus, sąrašą; kadangi tyčinis kultūrinės tapatybės naikinimas yra dar vienas Ukrainos žmonėms daromos žalos aspektas;</w:t>
      </w:r>
    </w:p>
    <w:p w14:paraId="1E52A4D8" w14:textId="77777777" w:rsidR="009F1108" w:rsidRPr="00255B5D" w:rsidRDefault="009F1108" w:rsidP="009F1108">
      <w:pPr>
        <w:pStyle w:val="NormalHanging12a"/>
      </w:pPr>
      <w:r w:rsidRPr="00255B5D">
        <w:t>I.</w:t>
      </w:r>
      <w:r w:rsidRPr="00255B5D">
        <w:tab/>
        <w:t>kadangi Rusija nuolat naudoja raketas ir dronus Ukrainos branduolinės energetikos objektų apylinkėse, be kita ko, netoli Černobylio draudžiamosios zonos, ir padarė didelę žalą naujajam apsauginiam gaubtui Černobylio atominėje elektrinėje – tokie veiksmai kelia nuolatinę didelę grėsmę branduolinei saugai ir saugumui;</w:t>
      </w:r>
    </w:p>
    <w:p w14:paraId="638AB72D" w14:textId="77777777" w:rsidR="009F1108" w:rsidRPr="00255B5D" w:rsidRDefault="009F1108" w:rsidP="009F1108">
      <w:pPr>
        <w:pStyle w:val="NormalHanging12a"/>
      </w:pPr>
      <w:r w:rsidRPr="00255B5D">
        <w:t>J.</w:t>
      </w:r>
      <w:r w:rsidRPr="00255B5D">
        <w:tab/>
        <w:t>kadangi ES dar kartą patvirtino esanti tvirtai pasiryžusi užtikrinti visišką atsakomybę už karo nusikaltimus ir kitus sunkiausius nusikaltimus, ragino nuolat stengtis užtikrinti, kad pradėtų veikti Specialusis tribunolas dėl agresijos nusikaltimo prieš Ukrainą, taip pat skyrė 10 mln. EUR įnašą parengiamajai grupei, kuri parengs šio tribunolo institucinius, logistinius ir organizacinius pagrindus, finansuoti;</w:t>
      </w:r>
    </w:p>
    <w:p w14:paraId="5BA228D7" w14:textId="77777777" w:rsidR="009F1108" w:rsidRPr="00255B5D" w:rsidRDefault="009F1108" w:rsidP="009F1108">
      <w:pPr>
        <w:pStyle w:val="NormalHanging12a"/>
      </w:pPr>
      <w:r w:rsidRPr="00255B5D">
        <w:t>K.</w:t>
      </w:r>
      <w:r w:rsidRPr="00255B5D">
        <w:tab/>
        <w:t>kadangi 2025 m. gruodžio 16 d. ES pasirašė Europos Tarybos konvenciją, kuria įsteigiama Tarptautinė paraiškų dėl Ukrainos nagrinėjimo komisija, taip siekiant sudaryti sąlygas kompensuoti žalą civiliams nukentėjusiems asmenims; kadangi 2026 m. gegužės 14 d. Kišiniove vyksiant 135-ajai Europos Tarybos Ministrų Komiteto sesijai bus iškilmingai inauguruota Tarptautinė paraiškų dėl Ukrainos nagrinėjimo komisija; kadangi 2023 m. sukurtas žalos registras yra reikalavimus atitinkančių paraiškų kompensuoti Rusijos padarytą žalą registras ir yra labai svarbi priemonė, suteikianti Ukrainai ir jos piliečiams galimybę siekti žalos atlyginimo pagal tarptautinę teisę;</w:t>
      </w:r>
    </w:p>
    <w:p w14:paraId="7705A4BB" w14:textId="77777777" w:rsidR="009F1108" w:rsidRPr="00255B5D" w:rsidRDefault="009F1108" w:rsidP="009F1108">
      <w:pPr>
        <w:pStyle w:val="NormalHanging12a"/>
      </w:pPr>
      <w:r w:rsidRPr="00255B5D">
        <w:t>L.</w:t>
      </w:r>
      <w:r w:rsidRPr="00255B5D">
        <w:tab/>
        <w:t xml:space="preserve">kadangi savo 2025 m. liepos 9 d. sprendime byloje </w:t>
      </w:r>
      <w:r w:rsidRPr="00255B5D">
        <w:rPr>
          <w:i/>
          <w:iCs/>
        </w:rPr>
        <w:t>Ukraina ir Nyderlandai prieš Rusiją</w:t>
      </w:r>
      <w:r w:rsidRPr="00255B5D">
        <w:t xml:space="preserve"> Europos Žmogaus Teisių Teismas pripažino Rusiją atsakinga už labai paplitusius ir šiurkščius žmogaus teisių pažeidimus, kuriais pažeidžiama Europos žmogaus teisių konvencija, kiek tai susiję su 2014 m. Rytų Ukrainoje prasidėjusiu konfliktu, įskaitant reisu MH17 skridusio lėktuvo numušimą 2014 m. liepos mėn.;</w:t>
      </w:r>
    </w:p>
    <w:p w14:paraId="2E8D97F7" w14:textId="77777777" w:rsidR="009F1108" w:rsidRPr="00255B5D" w:rsidRDefault="009F1108" w:rsidP="009F1108">
      <w:pPr>
        <w:pStyle w:val="NormalHanging12a"/>
      </w:pPr>
      <w:r w:rsidRPr="00255B5D">
        <w:t>M.</w:t>
      </w:r>
      <w:r w:rsidRPr="00255B5D">
        <w:tab/>
        <w:t>kadangi negalima leisti, kad bet kokie būsimi ugnies nutraukimo ar taikos procesai trukdytų vykstantiems ir būsimiems atsakomybės procesams, juos vilkintų ar jiems kenktų; kadangi atsakomybė ir taika yra vienas kitą stiprinantys imperatyvai pagal tarptautinę teisę;</w:t>
      </w:r>
    </w:p>
    <w:p w14:paraId="090BA64A" w14:textId="77777777" w:rsidR="009F1108" w:rsidRPr="00255B5D" w:rsidRDefault="009F1108" w:rsidP="009F1108">
      <w:pPr>
        <w:pStyle w:val="NormalHanging12a"/>
      </w:pPr>
      <w:r w:rsidRPr="00255B5D">
        <w:t>1.</w:t>
      </w:r>
      <w:r w:rsidRPr="00255B5D">
        <w:tab/>
        <w:t>pakartoja, kad kuo griežčiausiai smerkia žiaurų Rusijos agresijos karą prieš Ukrainą, įskaitant jos tyčines gyvenamųjų rajonų ir civilinės bei ypatingos svarbos infrastruktūros atakas, ir griežtai smerkia neseniai, t. y. 2026 m. balandžio mėn., Rusijos įvykdytus žiaurius išpuolius prieš civilius gyventojus;</w:t>
      </w:r>
    </w:p>
    <w:p w14:paraId="1EF72A45" w14:textId="77777777" w:rsidR="009F1108" w:rsidRPr="00255B5D" w:rsidRDefault="009F1108" w:rsidP="009F1108">
      <w:pPr>
        <w:pStyle w:val="NormalHanging12a"/>
      </w:pPr>
      <w:r w:rsidRPr="00255B5D">
        <w:lastRenderedPageBreak/>
        <w:t>2.</w:t>
      </w:r>
      <w:r w:rsidRPr="00255B5D">
        <w:tab/>
        <w:t>pakartoja savo reikalavimą, kad Rusija nedelsdama, visiškai ir besąlygiškai nutrauktų išpuolius prieš civilius gyventojus ir civilinę infrastruktūrą, išvestų visas karines pajėgas iš tarptautiniu mastu pripažintos Ukrainos teritorijos, nutrauktų priverstinio deportavimo ir neteisėto įvaikinimo veiksmus, nutrauktų vykdomus kankinimus ir nežmonišką elgesį ir paleistų bei grąžintų visus sulaikytus, pagrobtus ir neteisėtai įvaikintus civilius gyventojus;</w:t>
      </w:r>
    </w:p>
    <w:p w14:paraId="0B1D5430" w14:textId="77777777" w:rsidR="009F1108" w:rsidRPr="00255B5D" w:rsidRDefault="009F1108" w:rsidP="009F1108">
      <w:pPr>
        <w:pStyle w:val="NormalHanging12a"/>
      </w:pPr>
      <w:r w:rsidRPr="00255B5D">
        <w:t>3.</w:t>
      </w:r>
      <w:r w:rsidRPr="00255B5D">
        <w:tab/>
        <w:t>dar kartą patvirtina savo tvirtą solidarumą su drąsiais Ukrainos žmonėmis ir paramą Ukrainos nepriklausomybei, suverenitetui ir teritoriniam vientisumui, laikantis jos tarptautiniu mastu pripažintų sienų, ir pabrėžia Ukrainos prigimtinę savigynos teisę pagal JT Chartijos 51 straipsnį;</w:t>
      </w:r>
    </w:p>
    <w:p w14:paraId="7F3374F9" w14:textId="77777777" w:rsidR="009F1108" w:rsidRPr="00255B5D" w:rsidRDefault="009F1108" w:rsidP="009F1108">
      <w:pPr>
        <w:pStyle w:val="NormalHanging12a"/>
      </w:pPr>
      <w:r w:rsidRPr="00255B5D">
        <w:t>4.</w:t>
      </w:r>
      <w:r w:rsidRPr="00255B5D">
        <w:tab/>
        <w:t>pabrėžia, kad Rusijos agresijos karas yra akivaizdus tarptautinės teisės ir JT Chartijos pažeidimas, taip pat precedento neturintis išpuolis prieš Europos saugumą; pabrėžia, kad Rusijos vadovai ir jos sąjungininkai turi būti patraukti atsakomybėn už savo vaidmenį vykdant agresijos nusikaltimą, karo nusikaltimus, nusikaltimus žmoniškumui ir kitus tarptautinius nusikaltimus;</w:t>
      </w:r>
    </w:p>
    <w:p w14:paraId="28F249BA" w14:textId="29FACD6F" w:rsidR="00E14DD9" w:rsidRPr="00255B5D" w:rsidRDefault="001A738C" w:rsidP="009F1108">
      <w:pPr>
        <w:pStyle w:val="NormalHanging12a"/>
      </w:pPr>
      <w:r w:rsidRPr="00255B5D">
        <w:t>5</w:t>
      </w:r>
      <w:r w:rsidR="00E14DD9" w:rsidRPr="00255B5D">
        <w:t>.</w:t>
      </w:r>
      <w:r w:rsidR="00E14DD9" w:rsidRPr="00255B5D">
        <w:tab/>
        <w:t>su dideliu susirūpinimu pažymi, kad Rusijos valstybė ir jos pirmtakė Sovietų Sąjunga niekada nebuvo patrauktos atsakomybėn už savo nusikaltimus, įskaitant Katynės žudynes, kurių istorinę tiesą Maskva vėl siekia iškraipyti tiesiogiai prieštaraudama patvirtintiems įrodymams ir savo ankstesniems prisipažinimams, ir masinį ištisų tautų deportavimą į Sibirą, taip įtvirtinant nebaudžiamumo kultūrą, kuri buvo tęsiama vykdant karo nusikaltimus per Pirmąjį ir Antrąjį Čečėnijos karus, Rusijos agresiją prieš Gruziją 2008 m., karinę intervenciją Sirijoje, o nuo 2014 m. – Ukrainoje, ir kuri sudaro sąlygas tolesniems žiaurumams; mano, kad nuolatinis tokių asmenų kaip žymus Sovietų Sąjungos saugumo aparato įkūrėjas ir valstybės teroro architektas Felix Dzerzhinsky šlovinimas, įskaitant tai, kad neseniai jo vardu buvo pavadinta Federalinės saugumo tarnybos akademija, ir sistemingas Sovietų Sąjungos įvykdytų nusikaltimų prieš okupuotas tautas ir dabartinės Rusijos Federacijos teritorijoje gyvenančius asmenis neigimas, informacijos apie juos iškraipymas ir net jų pateisinimas yra akivaizdus šios nebaudžiamumo kultūros įsigalėjimas ir aiškus vertybių, kurių laikosi valdžioje esantys asmenys Rusijoje, požymis; todėl mano, kad Rusijos žiaurus elgesys Ukrainoje, kuriam vadovauja politinė vadovybė ir aukščiausios karinės struktūros, remiamos didelės visuomenės dalies, yra sisteminio pobūdžio ir atspindi giliai įsišaknijusią imperialistinę politiką, kuri yra neatsiejama nuo smurto, represijų ir kraujo praliejimo; įspėja, kad, jei dabar nebus užtikrinta ryžtingi ir vykdytini atsakomybės mechanizmai, bet kokie būsimų pokyčių lūkesčiai būtų ne tik nepagrįsti, bet ir pavojingai naivūs;</w:t>
      </w:r>
    </w:p>
    <w:p w14:paraId="44081659" w14:textId="60AB9C65" w:rsidR="00E14DD9" w:rsidRPr="00255B5D" w:rsidRDefault="001A738C" w:rsidP="009F1108">
      <w:pPr>
        <w:pStyle w:val="NormalHanging12a"/>
      </w:pPr>
      <w:r w:rsidRPr="00255B5D">
        <w:t>6</w:t>
      </w:r>
      <w:r w:rsidR="009F1108" w:rsidRPr="00255B5D">
        <w:t>.</w:t>
      </w:r>
      <w:r w:rsidR="009F1108" w:rsidRPr="00255B5D">
        <w:tab/>
        <w:t>apgailestauja dėl to, kad tarptautinių pastangų dar nepakanka Rusijos agresijai nutraukti; primygtinai ragina ES, jos valstybes nares ir partnerius intensyvinti spaudimą Rusijai ir labai padidinti savo karinę paramą Ukrainai, visų pirma oro gynybos ir smūgių giliame priešininko užnugaryje pajėgumų srityje, kad būtų apsaugoti Ukrainos civiliai gyventojai ir ypatingos svarbos infrastruktūra;</w:t>
      </w:r>
    </w:p>
    <w:p w14:paraId="5C854712" w14:textId="329BB917" w:rsidR="009F1108" w:rsidRPr="00255B5D" w:rsidRDefault="005044A2" w:rsidP="009F1108">
      <w:pPr>
        <w:pStyle w:val="NormalHanging12a"/>
      </w:pPr>
      <w:r w:rsidRPr="00255B5D">
        <w:t>7</w:t>
      </w:r>
      <w:r w:rsidR="009F1108" w:rsidRPr="00255B5D">
        <w:t>.</w:t>
      </w:r>
      <w:r w:rsidR="009F1108" w:rsidRPr="00255B5D">
        <w:tab/>
        <w:t>teigiamai vertina JT nepriklausomos tarptautinės tyrimų komisijos dėl Ukrainos darbą tiriant visus įtariamus pažeidimus ir žmogaus teisių pažeidimus, tarptautinės humanitarinės teisės pažeidimus bei su tuo susijusius nusikaltimus ir palankiai vertina šios komisijos įgaliojimų pratęsimą; griežtai atmeta Rusijos teiginius, kad ji taikosi tik į karinius objektus; primena Tyrimų komisijos išvadas, kad Rusijos pajėgos sistemingai taikosi į civilius gyventojus ir civilinius objektus;</w:t>
      </w:r>
    </w:p>
    <w:p w14:paraId="000468C4" w14:textId="1B187E80" w:rsidR="009F1108" w:rsidRPr="00255B5D" w:rsidRDefault="005044A2" w:rsidP="009F1108">
      <w:pPr>
        <w:pStyle w:val="NormalHanging12a"/>
      </w:pPr>
      <w:r w:rsidRPr="00255B5D">
        <w:lastRenderedPageBreak/>
        <w:t>8</w:t>
      </w:r>
      <w:r w:rsidR="009F1108" w:rsidRPr="00255B5D">
        <w:t>.</w:t>
      </w:r>
      <w:r w:rsidR="009F1108" w:rsidRPr="00255B5D">
        <w:tab/>
        <w:t>pritaria tam, kad būtų įsteigtas ir greitai pradėtų veikti Specialusis tribunolas dėl agresijos nusikaltimo prieš Ukrainą, ir skatina visas ES valstybes nares prie jo prisijungti; palankiai vertina Nyderlandų įsipareigojimą dėl pradinio Specialiojo tribunolo etapo organizavimo jos teritorijoje ir ragina dėti daugiau pastangų užbaigti procesą, per kurį būtų susitarta dėl antrojo etapo organizavimo; ragina ES ir jos valstybes nares toliau remti Specialiojo tribunolo dėl agresijos nusikaltimo prieš Ukrainą įsteigimą, užtikrinti, kad jis kuo greičiau pradėtų veiklą, ir siekti platesnės tarptautinės paramos jo veiklai;</w:t>
      </w:r>
    </w:p>
    <w:p w14:paraId="4433D7E8" w14:textId="15B9B17F" w:rsidR="009F1108" w:rsidRPr="00255B5D" w:rsidRDefault="005044A2" w:rsidP="009F1108">
      <w:pPr>
        <w:pStyle w:val="NormalHanging12a"/>
        <w:rPr>
          <w:bCs/>
        </w:rPr>
      </w:pPr>
      <w:r w:rsidRPr="00255B5D">
        <w:t>9</w:t>
      </w:r>
      <w:r w:rsidR="009F1108" w:rsidRPr="00255B5D">
        <w:t>.</w:t>
      </w:r>
      <w:r w:rsidR="009F1108" w:rsidRPr="00255B5D">
        <w:tab/>
        <w:t>teigiamai vertina itin svarbų Eurojusto ir jo bendros tyrimo grupės vaidmenį remiant atsakomybę už Ukrainoje įvykdytus nusikaltimus; ragina Komisiją užtikrinti nuolatinį Tarptautinio baudžiamojo persekiojimo už agresijos nusikaltimą prieš Ukrainą centro finansavimą po 2026 m. gruodžio mėn. ir garantuoti, kad visus surinktus įrodymus tebebūtų galima perduoti būsimam Specialiajam tribunolui;</w:t>
      </w:r>
    </w:p>
    <w:p w14:paraId="13EEBBAC" w14:textId="0FDB0312" w:rsidR="009F1108" w:rsidRPr="00255B5D" w:rsidRDefault="001A738C" w:rsidP="009F1108">
      <w:pPr>
        <w:pStyle w:val="NormalHanging12a"/>
      </w:pPr>
      <w:r w:rsidRPr="00255B5D">
        <w:t>1</w:t>
      </w:r>
      <w:r w:rsidR="005044A2" w:rsidRPr="00255B5D">
        <w:t>0</w:t>
      </w:r>
      <w:r w:rsidR="009F1108" w:rsidRPr="00255B5D">
        <w:t>.</w:t>
      </w:r>
      <w:r w:rsidR="009F1108" w:rsidRPr="00255B5D">
        <w:tab/>
        <w:t>palankiai vertina Ukrainos ir tarptautinių pilietinės visuomenės organizacijų darbą dokumentuojant Rusijos karo nusikaltimus Ukrainoje ir teikiant paramą nukentėjusiems asmenims ir liudytojams; palankiai vertina nuolatinę paramą, kurią Ukrainoje teikia ES patariamoji misija civilinio saugumo sektoriaus reformos srityje, tiek atskirai, tiek veikdama per Patariamąją grupę žiaurių nusikaltimų klausimais, kuri atlieka esminį vaidmenį stiprinant atsakomybės užtikrinimo mechanizmus;</w:t>
      </w:r>
    </w:p>
    <w:p w14:paraId="48A27566" w14:textId="60118A47" w:rsidR="009F1108" w:rsidRPr="00255B5D" w:rsidRDefault="001A738C" w:rsidP="009F1108">
      <w:pPr>
        <w:pStyle w:val="NormalHanging12a"/>
      </w:pPr>
      <w:r w:rsidRPr="00255B5D">
        <w:t>1</w:t>
      </w:r>
      <w:r w:rsidR="005044A2" w:rsidRPr="00255B5D">
        <w:t>1</w:t>
      </w:r>
      <w:r w:rsidR="009F1108" w:rsidRPr="00255B5D">
        <w:t>.</w:t>
      </w:r>
      <w:r w:rsidR="009F1108" w:rsidRPr="00255B5D">
        <w:tab/>
        <w:t>pabrėžia, kad atskaitomybė turi apimti visus asmenis, galinčius vadovauti agresijos nusikaltimui arba sudaryti jam sąlygas, įskaitant aukšto rango politinius, karinius ir teisminius veikėjus; atsižvelgdamas į tai pabrėžia, kad tokia atskaitomybė taip pat turėtų apimti Rusijos Federacijos konstitucinio teismo teisėjus ir Valstybės Dūmos narius, kurių sprendimais leista aneksuoti Ukrainos teritorijas, taip tiesiogiai prisidedant prie sąlygų agresijos nusikaltimui sudarymo, ir kad pirmiausia turėtų atsakyti tie, kuriems tenka didžiausia atsakomybė;</w:t>
      </w:r>
    </w:p>
    <w:p w14:paraId="1B7EA193" w14:textId="1BF29D3D" w:rsidR="009F1108" w:rsidRPr="00255B5D" w:rsidRDefault="001A738C" w:rsidP="009F1108">
      <w:pPr>
        <w:pStyle w:val="NormalHanging12a"/>
      </w:pPr>
      <w:r w:rsidRPr="00255B5D">
        <w:t>1</w:t>
      </w:r>
      <w:r w:rsidR="005044A2" w:rsidRPr="00255B5D">
        <w:t>2</w:t>
      </w:r>
      <w:r w:rsidR="009F1108" w:rsidRPr="00255B5D">
        <w:t>.</w:t>
      </w:r>
      <w:r w:rsidR="009F1108" w:rsidRPr="00255B5D">
        <w:tab/>
        <w:t>pabrėžia, kad visapusiškai remia Tarptautinio baudžiamojo teismo tyrimą dėl įtarimų Ukrainoje vykdžius karo nusikaltimus, nusikaltimus žmoniškumui ar genocidą; primena valstybių narių įsipareigojimus pagal Romos statutą suimti ir perduoti visus asmenis, kuriems yra išduoti Tarptautinio baudžiamojo teismo arešto orderiai ir kurie atvyksta į jų teritoriją; reiškia didžiausią susirūpinimą dėl JAV taikomų sankcijų Tarptautiniam baudžiamajam teismui ir jo prokurorams, teisėjams ir darbuotojams, nes jos kenkia visam šio teismo vykdomam tiriamajam ir baudžiamojo persekiojimo darbui ir yra rimtas išpuolis prieš tarptautinio teisingumo sistemą; ragina Komisiją skubiai pradėti taikyti blokavimo statutą, o valstybes nares skubiai dėti daugiau diplomatinių pastangų siekiant apsaugoti ir išsaugoti Tarptautinį baudžiamąjį teismą kaip būtiną tarptautinės teisingumo sistemos pagrindinį elementą;</w:t>
      </w:r>
    </w:p>
    <w:p w14:paraId="0DA4051D" w14:textId="624C7844" w:rsidR="005044A2" w:rsidRPr="00255B5D" w:rsidRDefault="005044A2" w:rsidP="009F1108">
      <w:pPr>
        <w:pStyle w:val="NormalHanging12a"/>
      </w:pPr>
      <w:r w:rsidRPr="00255B5D">
        <w:t xml:space="preserve">13. </w:t>
      </w:r>
      <w:r w:rsidRPr="00255B5D">
        <w:tab/>
        <w:t>smerkia Rusijos pavogtų grūdų eksportą iš okupuotų Ukrainos teritorijų ir pabrėžia, kad jų konfiskavimas gali būti laikomas karo nusikaltimu; ragina nedelsiant imtis veiksmų siekiant sustabdyti neteisėtai konfiskuotų grūdų eksportą ir prekybą jais;</w:t>
      </w:r>
    </w:p>
    <w:p w14:paraId="64093DDF" w14:textId="4586DFA9" w:rsidR="009F1108" w:rsidRPr="00255B5D" w:rsidRDefault="001A738C" w:rsidP="009F1108">
      <w:pPr>
        <w:pStyle w:val="NormalHanging12a"/>
      </w:pPr>
      <w:r w:rsidRPr="00255B5D">
        <w:t>14</w:t>
      </w:r>
      <w:r w:rsidR="009F1108" w:rsidRPr="00255B5D">
        <w:t>.</w:t>
      </w:r>
      <w:r w:rsidR="009F1108" w:rsidRPr="00255B5D">
        <w:tab/>
        <w:t>pritaria tam, kad ES taptų visateise Tarptautinės paraiškų dėl Ukrainos nagrinėjimo komisijos nare; ragina valstybes nares skubiai užbaigti visas oficialias prisijungimo procedūras ir taip sudaryti sąlygas Tarptautinei paraiškų dėl Ukrainos nagrinėjimo komisijai greitai pradėti savo darbą;</w:t>
      </w:r>
    </w:p>
    <w:p w14:paraId="51977A10" w14:textId="623F4091" w:rsidR="009F1108" w:rsidRPr="00255B5D" w:rsidRDefault="001A738C" w:rsidP="009F1108">
      <w:pPr>
        <w:pStyle w:val="NormalHanging12a"/>
      </w:pPr>
      <w:r w:rsidRPr="00255B5D">
        <w:t>15</w:t>
      </w:r>
      <w:r w:rsidR="009F1108" w:rsidRPr="00255B5D">
        <w:t>.</w:t>
      </w:r>
      <w:r w:rsidR="009F1108" w:rsidRPr="00255B5D">
        <w:tab/>
        <w:t xml:space="preserve">pabrėžia, kad reikia veiksmingai koordinuoti visus atskaitomybės mechanizmus, </w:t>
      </w:r>
      <w:r w:rsidR="009F1108" w:rsidRPr="00255B5D">
        <w:lastRenderedPageBreak/>
        <w:t>siekiant išvengti pastangų dubliavimo, užtikrinti veiksmingumą ir kuo labiau sumažinti neigiamą poveikį aukoms ir liudytojams;</w:t>
      </w:r>
    </w:p>
    <w:p w14:paraId="3B32A0CA" w14:textId="2F9CE347" w:rsidR="009F1108" w:rsidRPr="00255B5D" w:rsidRDefault="001A738C" w:rsidP="009F1108">
      <w:pPr>
        <w:pStyle w:val="NormalHanging12a"/>
      </w:pPr>
      <w:r w:rsidRPr="00255B5D">
        <w:t>16</w:t>
      </w:r>
      <w:r w:rsidR="009F1108" w:rsidRPr="00255B5D">
        <w:t>.</w:t>
      </w:r>
      <w:r w:rsidR="009F1108" w:rsidRPr="00255B5D">
        <w:tab/>
        <w:t>ragina Komisijos pirmininko pavaduotoją ir Sąjungos vyriausiąją įgaliotinę užsienio reikalams ir saugumo politikai ir Komisiją išsiųsti Europos Sąjungos delegaciją į Hagoje esančias tarptautines organizacijas, kurios šiuo metu apima Tarptautinį baudžiamąjį teismą, Tarptautinį Teisingumo Teismą ir Cheminio ginklo uždraudimo organizaciją, be kita ko, siekiant užtikrinti, kad ES veiksmingai dalyvautų šiose svarbiose naujai kuriamose tarptautinėse struktūrose;</w:t>
      </w:r>
    </w:p>
    <w:p w14:paraId="204F2B38" w14:textId="30C7E426" w:rsidR="009F1108" w:rsidRPr="00255B5D" w:rsidRDefault="001A738C" w:rsidP="009F1108">
      <w:pPr>
        <w:pStyle w:val="NormalHanging12a"/>
      </w:pPr>
      <w:r w:rsidRPr="00255B5D">
        <w:t>17</w:t>
      </w:r>
      <w:r w:rsidR="009F1108" w:rsidRPr="00255B5D">
        <w:t>.</w:t>
      </w:r>
      <w:r w:rsidR="009F1108" w:rsidRPr="00255B5D">
        <w:tab/>
        <w:t>palankiai vertina ilgai lauktą Tarybos pritarimą 90 mlrd. EUR ES paskolai Ukrainai; tikisi, kad, atsižvelgiant į 2026 m. vasario mėn. plenariniame posėdyje Komisijos pateiktus paaiškinimus, rinkinyje numatytas lankstumas pagal nukrypti leidžiančias nuostatas, nustatytas reglamento, kuriuo nustatoma paramos Ukrainai paskola</w:t>
      </w:r>
      <w:r w:rsidR="009F1108" w:rsidRPr="00255B5D">
        <w:rPr>
          <w:rStyle w:val="FootnoteReference"/>
        </w:rPr>
        <w:footnoteReference w:id="1"/>
      </w:r>
      <w:r w:rsidR="009F1108" w:rsidRPr="00255B5D">
        <w:t>, 13 straipsnio 5 dalyje, bus tinkamai įgyvendintas; pakartoja savo raginimą rasti teisėtų būdų panaudoti grynuosius pinigus, susijusius su Rusijos valstybės turtu, imobilizuotu pritaikius ES sankcijas, Ukrainos gynybai ir atstatymui remti, be kita ko, teikiant kompensacijas per Tarptautinę ieškinių dėl žalos Ukrainai komisiją, ir, greta kitų prioritetų, finansuoti naujo apsauginio gaubto Černobylio atominėje elektrinėje remontą ir atstatymą po to, kai jis buvo apgadintas per Rusijos bepiločių orlaivių išpuolius;</w:t>
      </w:r>
    </w:p>
    <w:p w14:paraId="1839C1E9" w14:textId="649DA0E9" w:rsidR="009F1108" w:rsidRPr="00255B5D" w:rsidRDefault="001A738C" w:rsidP="009F1108">
      <w:pPr>
        <w:pStyle w:val="NormalHanging12a"/>
      </w:pPr>
      <w:r w:rsidRPr="00255B5D">
        <w:t>18</w:t>
      </w:r>
      <w:r w:rsidR="009F1108" w:rsidRPr="00255B5D">
        <w:t>.</w:t>
      </w:r>
      <w:r w:rsidR="009F1108" w:rsidRPr="00255B5D">
        <w:tab/>
        <w:t>palankiai vertina tai, kad buvo priimtas 20-asis sankcijų Rusijai paketas; atkreipia dėmesį į tai, kad siekiant užkirsti kelią didesnės rizikos technologijų eksporto nukreipimui per ES nepriklausančias šalis naudojama kovos su priemonių vengimu priemonė; primygtinai reikalauja, kad jokios sankcijos nebūtų panaikintos, kol nebus susiderėta dėl taikos susitarimo ir kol jis nebus tvariai įgyvendintas; ragina ES ir jos valstybes nares sistemingai spręsti sankcijų apėjimo klausimą;</w:t>
      </w:r>
    </w:p>
    <w:p w14:paraId="7AD0D4D1" w14:textId="0E32FE7D" w:rsidR="009F1108" w:rsidRPr="00255B5D" w:rsidRDefault="001A738C" w:rsidP="009F1108">
      <w:pPr>
        <w:pStyle w:val="NormalHanging12a"/>
      </w:pPr>
      <w:r w:rsidRPr="00255B5D">
        <w:t>19</w:t>
      </w:r>
      <w:r w:rsidR="009F1108" w:rsidRPr="00255B5D">
        <w:t>.</w:t>
      </w:r>
      <w:r w:rsidR="009F1108" w:rsidRPr="00255B5D">
        <w:tab/>
        <w:t>ragina Tarybą ir Komisiją užtikrinti, kad ES sankcijos Rusijai būtų griežtai taikomos ir dar labiau išplėstos ir apimtų visus asmenis ir subjektus, kurių sprendimai sudarė sąlygas arba padėjo vykdyti karo nusikaltimus ir kitus sunkius nusikaltimus prieš Ukrainos civilius gyventojus;</w:t>
      </w:r>
    </w:p>
    <w:p w14:paraId="38815993" w14:textId="5559ADD7" w:rsidR="009F1108" w:rsidRPr="00255B5D" w:rsidRDefault="001A738C" w:rsidP="009F1108">
      <w:pPr>
        <w:pStyle w:val="NormalHanging12a"/>
      </w:pPr>
      <w:r w:rsidRPr="00255B5D">
        <w:t>20</w:t>
      </w:r>
      <w:r w:rsidR="009F1108" w:rsidRPr="00255B5D">
        <w:t>.</w:t>
      </w:r>
      <w:r w:rsidR="009F1108" w:rsidRPr="00255B5D">
        <w:tab/>
        <w:t>ragina ES institucijas ir įstaigas, visų pirma Europos išorės veiksmų tarnybą, bendradarbiauti su Ukrainos valdžios institucijomis ir inicijuoti aktyvią komunikacijos kampaniją visoje Europoje ir visame pasaulyje, siekiant padidinti informuotumą apie Rusijos ir jos sąjungininkų įvykdytus karo nusikaltimus ir stiprinti paramą atskaitomybei ir teisingumui;</w:t>
      </w:r>
    </w:p>
    <w:p w14:paraId="55563BC9" w14:textId="6C6F064A" w:rsidR="009F1108" w:rsidRPr="00255B5D" w:rsidRDefault="001A738C" w:rsidP="009F1108">
      <w:pPr>
        <w:pStyle w:val="NormalHanging12a"/>
      </w:pPr>
      <w:r w:rsidRPr="00255B5D">
        <w:t>21</w:t>
      </w:r>
      <w:r w:rsidR="009F1108" w:rsidRPr="00255B5D">
        <w:t>.</w:t>
      </w:r>
      <w:r w:rsidR="009F1108" w:rsidRPr="00255B5D">
        <w:tab/>
        <w:t>pakartoja, kad neteisėtas Ukrainos vaikų deportavimas ir priverstinis perkėlimas yra šiurkštus tarptautinės humanitarinės teisės pažeidimas ir esminis žmogaus teisių pažeidimas; palankiai vertina Komisijos iniciatyvą kartu su Ukraina ir Kanada 2026 m. gegužės mėn. Briuselyje surengti Tarptautinės Ukrainos vaikų grąžinimo koalicijos aukšto lygio susitikimą; ragina prie šios tarptautinės koalicijos dar neprisijungusias valstybes nares nedelsiant tai padaryti;</w:t>
      </w:r>
    </w:p>
    <w:p w14:paraId="6840709F" w14:textId="7A514861" w:rsidR="009F1108" w:rsidRPr="00255B5D" w:rsidRDefault="001A738C" w:rsidP="009F1108">
      <w:pPr>
        <w:pStyle w:val="NormalHanging12a"/>
      </w:pPr>
      <w:r w:rsidRPr="00255B5D">
        <w:t>22</w:t>
      </w:r>
      <w:r w:rsidR="009F1108" w:rsidRPr="00255B5D">
        <w:t>.</w:t>
      </w:r>
      <w:r w:rsidR="009F1108" w:rsidRPr="00255B5D">
        <w:tab/>
        <w:t xml:space="preserve">smerkia sistemingus Rusijos bandymus sunaikinti Ukrainos istoriją, kultūrą, kalbą ir </w:t>
      </w:r>
      <w:r w:rsidR="009F1108" w:rsidRPr="00255B5D">
        <w:lastRenderedPageBreak/>
        <w:t>tapatybę; primena, kad Rusijos agresijos vykdomos destrukcijos mastas tebėra didžiulis ir kad apskaičiuota, jog nuo 2026 m. balandžio mėn. tiesioginė žala Ukrainos kultūros infrastruktūrai ir paveldui siekia daugiau kaip 4 mlrd. EUR;</w:t>
      </w:r>
    </w:p>
    <w:p w14:paraId="0B2D8577" w14:textId="1B52A90D" w:rsidR="009F1108" w:rsidRPr="00255B5D" w:rsidRDefault="001A738C" w:rsidP="009F1108">
      <w:pPr>
        <w:pStyle w:val="NormalHanging12a"/>
      </w:pPr>
      <w:r w:rsidRPr="00255B5D">
        <w:t>23</w:t>
      </w:r>
      <w:r w:rsidR="009F1108" w:rsidRPr="00255B5D">
        <w:t>.</w:t>
      </w:r>
      <w:r w:rsidR="009F1108" w:rsidRPr="00255B5D">
        <w:tab/>
        <w:t>pabrėžia, kad Rusijos agresijos karas ir pramonės bei energetikos infrastruktūros puolimas padarė didžiulę ir ilgalaikę žalą Ukrainos aplinkai, įskaitant ekosistemų sunaikinimą ir vandens bei dirvožemio užteršimą; ragina ES ir jos valstybes nares remti visas iniciatyvas, kuriomis dokumentuojamas Rusijos karo sukeltas aplinkos naikinimas, ir pastangas užtikrinti atskaitomybę bei kompensacijas;</w:t>
      </w:r>
    </w:p>
    <w:p w14:paraId="6C65E9D0" w14:textId="4D2C1C48" w:rsidR="009F1108" w:rsidRPr="00255B5D" w:rsidRDefault="001A738C" w:rsidP="009F1108">
      <w:pPr>
        <w:pStyle w:val="NormalHanging12a"/>
      </w:pPr>
      <w:r w:rsidRPr="00255B5D">
        <w:t>24</w:t>
      </w:r>
      <w:r w:rsidR="009F1108" w:rsidRPr="00255B5D">
        <w:t>.</w:t>
      </w:r>
      <w:r w:rsidR="009F1108" w:rsidRPr="00255B5D">
        <w:tab/>
        <w:t>dar kartą pakartoja, kad ES yra tvirtai įsipareigojusi atstatyti Ukrainą ir pasirengusi padėti atkurti jos ekonomiką bei civilinę ir svarbiausią infrastruktūrą; pabrėžia Ukrainos priemonės strateginę svarbą stiprinant Ukrainos atsparumą, spartinant jos ekonomikos atsigavimą ir remiant jos pastangas siekti darnaus vystymosi ir narystės ES;</w:t>
      </w:r>
    </w:p>
    <w:p w14:paraId="62155BA2" w14:textId="3045D7B7" w:rsidR="00E365E1" w:rsidRPr="00255B5D" w:rsidRDefault="001A738C" w:rsidP="0083130A">
      <w:pPr>
        <w:pStyle w:val="NormalHanging12a"/>
      </w:pPr>
      <w:r w:rsidRPr="00255B5D">
        <w:t>25</w:t>
      </w:r>
      <w:r w:rsidR="009F1108" w:rsidRPr="00255B5D">
        <w:t>.</w:t>
      </w:r>
      <w:r w:rsidR="009F1108" w:rsidRPr="00255B5D">
        <w:tab/>
        <w:t>paveda Pirmininkei perduoti šią rezoliuciją Tarybai, Komisijai, Komisijos Pirmininko pavaduotojai ir Sąjungos vyriausiajai įgaliotinei užsienio reikalams ir saugumo politikai, valstybių narių vyriausybėms ir parlamentams, Ukrainos Prezidentui, Vyriausybei ir Aukščiausiajai Radai, Jungtinių Tautų generaliniam sekretoriui, Europos Tarybai, Jungtinių Amerikos Valstijų Kongresui, Tarptautiniam baudžiamajam teismui ir Rusijos valdžios institucijoms.</w:t>
      </w:r>
    </w:p>
    <w:sectPr w:rsidR="00E365E1" w:rsidRPr="00255B5D" w:rsidSect="00190DA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A2698" w14:textId="77777777" w:rsidR="00FB3212" w:rsidRPr="00190DAA" w:rsidRDefault="00FB3212">
      <w:r w:rsidRPr="00190DAA">
        <w:separator/>
      </w:r>
    </w:p>
  </w:endnote>
  <w:endnote w:type="continuationSeparator" w:id="0">
    <w:p w14:paraId="72FF8EB5" w14:textId="77777777" w:rsidR="00FB3212" w:rsidRPr="00190DAA" w:rsidRDefault="00FB3212">
      <w:r w:rsidRPr="00190D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BA7A9" w14:textId="77777777" w:rsidR="00FB3212" w:rsidRPr="00190DAA" w:rsidRDefault="00FB3212">
      <w:r w:rsidRPr="00190DAA">
        <w:separator/>
      </w:r>
    </w:p>
  </w:footnote>
  <w:footnote w:type="continuationSeparator" w:id="0">
    <w:p w14:paraId="610D264E" w14:textId="77777777" w:rsidR="00FB3212" w:rsidRPr="00190DAA" w:rsidRDefault="00FB3212">
      <w:r w:rsidRPr="00190DAA">
        <w:continuationSeparator/>
      </w:r>
    </w:p>
  </w:footnote>
  <w:footnote w:id="1">
    <w:p w14:paraId="37891F9A" w14:textId="35A3C592" w:rsidR="009F1108" w:rsidRPr="00190DAA" w:rsidRDefault="009F1108" w:rsidP="00190DAA">
      <w:pPr>
        <w:pStyle w:val="FootnoteText"/>
        <w:ind w:left="567" w:hanging="567"/>
        <w:rPr>
          <w:sz w:val="24"/>
          <w:lang w:val="lt-LT"/>
        </w:rPr>
      </w:pPr>
      <w:r w:rsidRPr="00190DAA">
        <w:rPr>
          <w:rStyle w:val="FootnoteReference"/>
          <w:sz w:val="24"/>
          <w:lang w:val="lt-LT"/>
        </w:rPr>
        <w:footnoteRef/>
      </w:r>
      <w:r w:rsidR="00190DAA" w:rsidRPr="00190DAA">
        <w:rPr>
          <w:sz w:val="24"/>
          <w:lang w:val="lt-LT"/>
        </w:rPr>
        <w:t xml:space="preserve"> </w:t>
      </w:r>
      <w:r w:rsidR="00190DAA" w:rsidRPr="00190DAA">
        <w:rPr>
          <w:sz w:val="24"/>
          <w:lang w:val="lt-LT"/>
        </w:rPr>
        <w:tab/>
      </w:r>
      <w:r w:rsidRPr="00190DAA">
        <w:rPr>
          <w:sz w:val="24"/>
          <w:lang w:val="lt-LT"/>
        </w:rPr>
        <w:t xml:space="preserve">2026 m. vasario 24 d. Europos Parlamento ir Tarybos reglamentas (ES) 2026/467, kuriuo įgyvendinamas tvirtesnis bendradarbiavimas dėl 2026 ir 2027 m. paramos Ukrainai paskolos nustatymo, (OL L, 2026/467, 2026 2 26, ELI: </w:t>
      </w:r>
      <w:hyperlink r:id="rId1" w:history="1">
        <w:r w:rsidRPr="005951D5">
          <w:rPr>
            <w:rStyle w:val="Hyperlink"/>
            <w:sz w:val="24"/>
            <w:lang w:val="lt-LT"/>
          </w:rPr>
          <w:t>http://data.europa.eu/eli/reg/2026/467/oj</w:t>
        </w:r>
      </w:hyperlink>
      <w:r w:rsidRPr="00190DAA">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0860709">
    <w:abstractNumId w:val="9"/>
  </w:num>
  <w:num w:numId="2" w16cid:durableId="384066446">
    <w:abstractNumId w:val="9"/>
  </w:num>
  <w:num w:numId="3" w16cid:durableId="856426044">
    <w:abstractNumId w:val="7"/>
  </w:num>
  <w:num w:numId="4" w16cid:durableId="1225483935">
    <w:abstractNumId w:val="7"/>
  </w:num>
  <w:num w:numId="5" w16cid:durableId="584847210">
    <w:abstractNumId w:val="6"/>
  </w:num>
  <w:num w:numId="6" w16cid:durableId="594362606">
    <w:abstractNumId w:val="6"/>
  </w:num>
  <w:num w:numId="7" w16cid:durableId="2015063857">
    <w:abstractNumId w:val="5"/>
  </w:num>
  <w:num w:numId="8" w16cid:durableId="749229804">
    <w:abstractNumId w:val="5"/>
  </w:num>
  <w:num w:numId="9" w16cid:durableId="1781728457">
    <w:abstractNumId w:val="4"/>
  </w:num>
  <w:num w:numId="10" w16cid:durableId="955529765">
    <w:abstractNumId w:val="4"/>
  </w:num>
  <w:num w:numId="11" w16cid:durableId="1407730676">
    <w:abstractNumId w:val="8"/>
  </w:num>
  <w:num w:numId="12" w16cid:durableId="734008633">
    <w:abstractNumId w:val="8"/>
  </w:num>
  <w:num w:numId="13" w16cid:durableId="2081251323">
    <w:abstractNumId w:val="3"/>
  </w:num>
  <w:num w:numId="14" w16cid:durableId="62870730">
    <w:abstractNumId w:val="3"/>
  </w:num>
  <w:num w:numId="15" w16cid:durableId="1785033095">
    <w:abstractNumId w:val="2"/>
  </w:num>
  <w:num w:numId="16" w16cid:durableId="525944412">
    <w:abstractNumId w:val="2"/>
  </w:num>
  <w:num w:numId="17" w16cid:durableId="1673986684">
    <w:abstractNumId w:val="1"/>
  </w:num>
  <w:num w:numId="18" w16cid:durableId="263880134">
    <w:abstractNumId w:val="1"/>
  </w:num>
  <w:num w:numId="19" w16cid:durableId="1928535313">
    <w:abstractNumId w:val="0"/>
  </w:num>
  <w:num w:numId="20" w16cid:durableId="1790661797">
    <w:abstractNumId w:val="0"/>
  </w:num>
  <w:num w:numId="21" w16cid:durableId="1315260968">
    <w:abstractNumId w:val="9"/>
  </w:num>
  <w:num w:numId="22" w16cid:durableId="1533151205">
    <w:abstractNumId w:val="7"/>
  </w:num>
  <w:num w:numId="23" w16cid:durableId="553320746">
    <w:abstractNumId w:val="6"/>
  </w:num>
  <w:num w:numId="24" w16cid:durableId="1863205841">
    <w:abstractNumId w:val="5"/>
  </w:num>
  <w:num w:numId="25" w16cid:durableId="1842232487">
    <w:abstractNumId w:val="4"/>
  </w:num>
  <w:num w:numId="26" w16cid:durableId="544875700">
    <w:abstractNumId w:val="8"/>
  </w:num>
  <w:num w:numId="27" w16cid:durableId="2024432188">
    <w:abstractNumId w:val="3"/>
  </w:num>
  <w:num w:numId="28" w16cid:durableId="336690356">
    <w:abstractNumId w:val="2"/>
  </w:num>
  <w:num w:numId="29" w16cid:durableId="575557577">
    <w:abstractNumId w:val="1"/>
  </w:num>
  <w:num w:numId="30" w16cid:durableId="1619945354">
    <w:abstractNumId w:val="0"/>
  </w:num>
  <w:num w:numId="31" w16cid:durableId="1931968017">
    <w:abstractNumId w:val="9"/>
  </w:num>
  <w:num w:numId="32" w16cid:durableId="1771582660">
    <w:abstractNumId w:val="7"/>
  </w:num>
  <w:num w:numId="33" w16cid:durableId="1174998874">
    <w:abstractNumId w:val="6"/>
  </w:num>
  <w:num w:numId="34" w16cid:durableId="634678080">
    <w:abstractNumId w:val="5"/>
  </w:num>
  <w:num w:numId="35" w16cid:durableId="1777872797">
    <w:abstractNumId w:val="4"/>
  </w:num>
  <w:num w:numId="36" w16cid:durableId="1728845455">
    <w:abstractNumId w:val="8"/>
  </w:num>
  <w:num w:numId="37" w16cid:durableId="475268169">
    <w:abstractNumId w:val="3"/>
  </w:num>
  <w:num w:numId="38" w16cid:durableId="218173730">
    <w:abstractNumId w:val="2"/>
  </w:num>
  <w:num w:numId="39" w16cid:durableId="1790776323">
    <w:abstractNumId w:val="1"/>
  </w:num>
  <w:num w:numId="40" w16cid:durableId="1716275613">
    <w:abstractNumId w:val="0"/>
  </w:num>
  <w:num w:numId="41" w16cid:durableId="1893229490">
    <w:abstractNumId w:val="10"/>
  </w:num>
  <w:num w:numId="42" w16cid:durableId="1962882063">
    <w:abstractNumId w:val="10"/>
  </w:num>
  <w:num w:numId="43" w16cid:durableId="1078286747">
    <w:abstractNumId w:val="10"/>
  </w:num>
  <w:num w:numId="44" w16cid:durableId="1045910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 0204, 0211, 0215 ir 0227/2026"/>
    <w:docVar w:name="dvlangue" w:val="LT"/>
    <w:docVar w:name="dvnumam" w:val="0"/>
    <w:docVar w:name="dvpe" w:val="783.236"/>
    <w:docVar w:name="dvtitre" w:val="2026 m. ... ... d. Europos Parlamento rezoliucija dėl atsakomybės ir teisingumo užtikrinimo reaguojant į nuolatinius Rusijos išpuolius prieš civilius gyventojus Ukrainoje (2026/2700(RSP))"/>
  </w:docVars>
  <w:rsids>
    <w:rsidRoot w:val="00FB3212"/>
    <w:rsid w:val="00002272"/>
    <w:rsid w:val="000417A5"/>
    <w:rsid w:val="00064002"/>
    <w:rsid w:val="000677B9"/>
    <w:rsid w:val="000831BA"/>
    <w:rsid w:val="000A42CC"/>
    <w:rsid w:val="000C7618"/>
    <w:rsid w:val="000E7DD9"/>
    <w:rsid w:val="0010095E"/>
    <w:rsid w:val="00125B37"/>
    <w:rsid w:val="00187494"/>
    <w:rsid w:val="00190DAA"/>
    <w:rsid w:val="001A738C"/>
    <w:rsid w:val="001F32AE"/>
    <w:rsid w:val="00255B5D"/>
    <w:rsid w:val="002767FF"/>
    <w:rsid w:val="00276ADF"/>
    <w:rsid w:val="002B18FE"/>
    <w:rsid w:val="002B5493"/>
    <w:rsid w:val="00343214"/>
    <w:rsid w:val="00361C00"/>
    <w:rsid w:val="00395FA1"/>
    <w:rsid w:val="003E15D4"/>
    <w:rsid w:val="00411CCE"/>
    <w:rsid w:val="0041666E"/>
    <w:rsid w:val="00421060"/>
    <w:rsid w:val="004265A9"/>
    <w:rsid w:val="00471C19"/>
    <w:rsid w:val="004867E3"/>
    <w:rsid w:val="00494A28"/>
    <w:rsid w:val="004C0004"/>
    <w:rsid w:val="004C5D52"/>
    <w:rsid w:val="005044A2"/>
    <w:rsid w:val="0050519A"/>
    <w:rsid w:val="005072A1"/>
    <w:rsid w:val="00514517"/>
    <w:rsid w:val="00545827"/>
    <w:rsid w:val="00560270"/>
    <w:rsid w:val="005951D5"/>
    <w:rsid w:val="005C2568"/>
    <w:rsid w:val="005F1B17"/>
    <w:rsid w:val="006037C0"/>
    <w:rsid w:val="006631B6"/>
    <w:rsid w:val="00680577"/>
    <w:rsid w:val="006F74FA"/>
    <w:rsid w:val="00731ADD"/>
    <w:rsid w:val="00734777"/>
    <w:rsid w:val="00747932"/>
    <w:rsid w:val="00751A4A"/>
    <w:rsid w:val="00756632"/>
    <w:rsid w:val="00762C74"/>
    <w:rsid w:val="00786EC0"/>
    <w:rsid w:val="007C46A2"/>
    <w:rsid w:val="007D1690"/>
    <w:rsid w:val="007E22AD"/>
    <w:rsid w:val="00817416"/>
    <w:rsid w:val="0083130A"/>
    <w:rsid w:val="00842779"/>
    <w:rsid w:val="00865F67"/>
    <w:rsid w:val="00881A7B"/>
    <w:rsid w:val="008840E5"/>
    <w:rsid w:val="00887B3E"/>
    <w:rsid w:val="008C2AC6"/>
    <w:rsid w:val="00930C23"/>
    <w:rsid w:val="0093193B"/>
    <w:rsid w:val="009509D8"/>
    <w:rsid w:val="00950B64"/>
    <w:rsid w:val="00981893"/>
    <w:rsid w:val="009F110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4DD9"/>
    <w:rsid w:val="00E365E1"/>
    <w:rsid w:val="00E820A4"/>
    <w:rsid w:val="00E8592B"/>
    <w:rsid w:val="00EB006A"/>
    <w:rsid w:val="00EB4772"/>
    <w:rsid w:val="00ED169E"/>
    <w:rsid w:val="00ED4235"/>
    <w:rsid w:val="00F04346"/>
    <w:rsid w:val="00F075DC"/>
    <w:rsid w:val="00F149E9"/>
    <w:rsid w:val="00F5134D"/>
    <w:rsid w:val="00F74202"/>
    <w:rsid w:val="00F87713"/>
    <w:rsid w:val="00FB32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5FD40"/>
  <w15:chartTrackingRefBased/>
  <w15:docId w15:val="{C3C67ADB-A45A-43B0-B1DF-A7CF79F0F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F1108"/>
    <w:pPr>
      <w:spacing w:after="240"/>
      <w:ind w:left="567" w:hanging="567"/>
    </w:pPr>
  </w:style>
  <w:style w:type="paragraph" w:customStyle="1" w:styleId="EPComma">
    <w:name w:val="EPComma"/>
    <w:basedOn w:val="Normal"/>
    <w:link w:val="EPCommaChar"/>
    <w:rsid w:val="009F1108"/>
    <w:pPr>
      <w:spacing w:before="480" w:after="240"/>
    </w:pPr>
  </w:style>
  <w:style w:type="character" w:customStyle="1" w:styleId="EPCommaChar">
    <w:name w:val="EPComma Char"/>
    <w:basedOn w:val="DefaultParagraphFont"/>
    <w:link w:val="EPComma"/>
    <w:rsid w:val="009F1108"/>
    <w:rPr>
      <w:sz w:val="24"/>
      <w:lang w:val="lt-LT"/>
    </w:rPr>
  </w:style>
  <w:style w:type="paragraph" w:styleId="Revision">
    <w:name w:val="Revision"/>
    <w:hidden/>
    <w:uiPriority w:val="99"/>
    <w:semiHidden/>
    <w:rsid w:val="005951D5"/>
    <w:rPr>
      <w:sz w:val="24"/>
      <w:lang w:val="lt-LT"/>
    </w:rPr>
  </w:style>
  <w:style w:type="character" w:styleId="Hyperlink">
    <w:name w:val="Hyperlink"/>
    <w:basedOn w:val="DefaultParagraphFont"/>
    <w:rsid w:val="005951D5"/>
    <w:rPr>
      <w:color w:val="0563C1" w:themeColor="hyperlink"/>
      <w:u w:val="single"/>
    </w:rPr>
  </w:style>
  <w:style w:type="character" w:styleId="UnresolvedMention">
    <w:name w:val="Unresolved Mention"/>
    <w:basedOn w:val="DefaultParagraphFont"/>
    <w:uiPriority w:val="99"/>
    <w:semiHidden/>
    <w:unhideWhenUsed/>
    <w:rsid w:val="00595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2645</Words>
  <Characters>18364</Characters>
  <Application>Microsoft Office Word</Application>
  <DocSecurity>0</DocSecurity>
  <Lines>153</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2026-04-30T13:16:00Z</dcterms:created>
  <dcterms:modified xsi:type="dcterms:W3CDTF">2026-04-30T13:16:00Z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B10-0201, 0204, 0211, 0215 ir 0227/2026</vt:lpwstr>
  </property>
  <property fmtid="{D5CDD505-2E9C-101B-9397-08002B2CF9AE}" pid="4" name="&lt;Type&gt;">
    <vt:lpwstr>RR</vt:lpwstr>
  </property>
</Properties>
</file>