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7E78" w14:paraId="01952A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6676D1" w14:textId="77777777" w:rsidR="00751A4A" w:rsidRPr="006E7E78" w:rsidRDefault="004B1904" w:rsidP="0010095E">
            <w:pPr>
              <w:pStyle w:val="EPName"/>
            </w:pPr>
            <w:r w:rsidRPr="006E7E78">
              <w:t>Parlament Europejski</w:t>
            </w:r>
          </w:p>
          <w:p w14:paraId="2BE8F756" w14:textId="77777777" w:rsidR="00751A4A" w:rsidRPr="006E7E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7E78">
              <w:t>2024</w:t>
            </w:r>
            <w:r w:rsidR="00817416" w:rsidRPr="006E7E78">
              <w:t>-202</w:t>
            </w:r>
            <w:r w:rsidRPr="006E7E78">
              <w:t>9</w:t>
            </w:r>
          </w:p>
        </w:tc>
        <w:tc>
          <w:tcPr>
            <w:tcW w:w="2268" w:type="dxa"/>
            <w:shd w:val="clear" w:color="auto" w:fill="auto"/>
          </w:tcPr>
          <w:p w14:paraId="236555B1" w14:textId="77777777" w:rsidR="00751A4A" w:rsidRPr="006E7E78" w:rsidRDefault="00187494" w:rsidP="0010095E">
            <w:pPr>
              <w:pStyle w:val="EPLogo"/>
            </w:pPr>
            <w:r w:rsidRPr="006E7E78">
              <w:rPr>
                <w:noProof/>
                <w:lang w:eastAsia="ja-JP"/>
              </w:rPr>
              <w:drawing>
                <wp:inline distT="0" distB="0" distL="0" distR="0" wp14:anchorId="2AA5FB34" wp14:editId="3CA2BC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927A8C" w14:textId="77777777" w:rsidR="00D058B8" w:rsidRPr="006E7E78" w:rsidRDefault="00D058B8" w:rsidP="004C5D52">
      <w:pPr>
        <w:pStyle w:val="LineTop"/>
      </w:pPr>
    </w:p>
    <w:p w14:paraId="58742EF1" w14:textId="77777777" w:rsidR="00680577" w:rsidRPr="006E7E78" w:rsidRDefault="004B1904" w:rsidP="00680577">
      <w:pPr>
        <w:pStyle w:val="EPBodyTA1"/>
      </w:pPr>
      <w:r w:rsidRPr="006E7E78">
        <w:t>TEKSTY PRZYJĘTE</w:t>
      </w:r>
    </w:p>
    <w:p w14:paraId="7C39AFEF" w14:textId="77777777" w:rsidR="00D058B8" w:rsidRPr="006E7E78" w:rsidRDefault="00D058B8" w:rsidP="00D058B8">
      <w:pPr>
        <w:pStyle w:val="LineBottom"/>
      </w:pPr>
    </w:p>
    <w:p w14:paraId="4C1F629A" w14:textId="147EBFE2" w:rsidR="004B1904" w:rsidRPr="006E7E78" w:rsidRDefault="004B1904" w:rsidP="004B1904">
      <w:pPr>
        <w:pStyle w:val="ATHeading1"/>
      </w:pPr>
      <w:bookmarkStart w:id="0" w:name="TANumber"/>
      <w:r w:rsidRPr="006E7E78">
        <w:t>P10_TA(2026)0</w:t>
      </w:r>
      <w:bookmarkEnd w:id="0"/>
      <w:r w:rsidR="002831F9">
        <w:t>161</w:t>
      </w:r>
    </w:p>
    <w:p w14:paraId="6B1694AB" w14:textId="77777777" w:rsidR="004B1904" w:rsidRPr="006E7E78" w:rsidRDefault="004B1904" w:rsidP="004B1904">
      <w:pPr>
        <w:pStyle w:val="ATHeading2"/>
      </w:pPr>
      <w:bookmarkStart w:id="1" w:name="title"/>
      <w:r w:rsidRPr="006E7E78">
        <w:t>Zapewnienie rozliczalności i sprawiedliwości w odpowiedzi na ciągłe ataki Rosji na ludność cywilną w Ukrainie</w:t>
      </w:r>
      <w:bookmarkEnd w:id="1"/>
    </w:p>
    <w:p w14:paraId="65C1D5C6" w14:textId="77777777" w:rsidR="00D75C36" w:rsidRPr="002C1DA3" w:rsidRDefault="00D75C36" w:rsidP="00D75C36">
      <w:pPr>
        <w:rPr>
          <w:i/>
          <w:vanish/>
        </w:rPr>
      </w:pPr>
      <w:r w:rsidRPr="002C1DA3">
        <w:rPr>
          <w:i/>
        </w:rPr>
        <w:fldChar w:fldCharType="begin"/>
      </w:r>
      <w:r w:rsidRPr="002C1DA3">
        <w:rPr>
          <w:i/>
        </w:rPr>
        <w:instrText xml:space="preserve"> TC"(</w:instrText>
      </w:r>
      <w:bookmarkStart w:id="2" w:name="DocNumber"/>
      <w:r w:rsidRPr="002C1DA3">
        <w:rPr>
          <w:i/>
        </w:rPr>
        <w:instrText>B10-0201</w:instrText>
      </w:r>
      <w:r>
        <w:rPr>
          <w:i/>
        </w:rPr>
        <w:instrText>, 0204, 0211, 0215 and 0227</w:instrText>
      </w:r>
      <w:r w:rsidRPr="002C1DA3">
        <w:rPr>
          <w:i/>
        </w:rPr>
        <w:instrText>/2026</w:instrText>
      </w:r>
      <w:bookmarkEnd w:id="2"/>
      <w:r w:rsidRPr="002C1DA3">
        <w:rPr>
          <w:i/>
        </w:rPr>
        <w:instrText xml:space="preserve">)"\l3 \n&gt; \* MERGEFORMAT </w:instrText>
      </w:r>
      <w:r w:rsidRPr="002C1DA3">
        <w:rPr>
          <w:i/>
        </w:rPr>
        <w:fldChar w:fldCharType="end"/>
      </w:r>
    </w:p>
    <w:p w14:paraId="600AB408" w14:textId="5832EC89" w:rsidR="004B1904" w:rsidRPr="006E7E78" w:rsidRDefault="00D75C36" w:rsidP="00D75C36">
      <w:pPr>
        <w:rPr>
          <w:vanish/>
        </w:rPr>
      </w:pPr>
      <w:bookmarkStart w:id="3" w:name="PE"/>
      <w:r w:rsidRPr="002C1DA3">
        <w:rPr>
          <w:vanish/>
        </w:rPr>
        <w:t>PE783.236</w:t>
      </w:r>
      <w:bookmarkEnd w:id="3"/>
    </w:p>
    <w:p w14:paraId="15A98D25" w14:textId="1DF8515D" w:rsidR="004B1904" w:rsidRPr="006E7E78" w:rsidRDefault="004B1904" w:rsidP="004B1904">
      <w:pPr>
        <w:pStyle w:val="ATHeading3"/>
      </w:pPr>
      <w:bookmarkStart w:id="4" w:name="Sujet"/>
      <w:r w:rsidRPr="006E7E78">
        <w:t xml:space="preserve">Rezolucja Parlamentu Europejskiego z dnia </w:t>
      </w:r>
      <w:r w:rsidR="002831F9">
        <w:t>30 kwietnia</w:t>
      </w:r>
      <w:r w:rsidRPr="006E7E78">
        <w:t xml:space="preserve"> 2026 r. w sprawie zapewnienia rozliczalności i sprawiedliwości w odpowiedzi na ciągłe ataki Rosji na ludność cywilną w Ukrainie </w:t>
      </w:r>
      <w:bookmarkStart w:id="5" w:name="References"/>
      <w:bookmarkEnd w:id="4"/>
      <w:r w:rsidRPr="006E7E78">
        <w:t>(2026/2700(RSP))</w:t>
      </w:r>
      <w:bookmarkEnd w:id="5"/>
    </w:p>
    <w:p w14:paraId="7E99C036" w14:textId="77777777" w:rsidR="00547264" w:rsidRPr="006E7E78" w:rsidRDefault="00547264" w:rsidP="00547264">
      <w:pPr>
        <w:pStyle w:val="EPComma"/>
      </w:pPr>
      <w:bookmarkStart w:id="6" w:name="TextBodyBegin"/>
      <w:bookmarkEnd w:id="6"/>
      <w:r w:rsidRPr="006E7E78">
        <w:rPr>
          <w:i/>
          <w:iCs/>
        </w:rPr>
        <w:t>Parlament Europejski,</w:t>
      </w:r>
    </w:p>
    <w:p w14:paraId="6B6FCCF4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swoje poprzednie rezolucje w sprawie Ukrainy i Rosji,</w:t>
      </w:r>
    </w:p>
    <w:p w14:paraId="3B1697DD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Kartę Narodów Zjednoczonych,</w:t>
      </w:r>
    </w:p>
    <w:p w14:paraId="6CCCD06D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konwencje genewskie z 1949 r. i protokoły dodatkowe do nich,</w:t>
      </w:r>
    </w:p>
    <w:p w14:paraId="0864C8F5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Rzymski Statut Międzynarodowego Trybunału Karnego,</w:t>
      </w:r>
    </w:p>
    <w:p w14:paraId="1D7E0D16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porozumienie między Radą Europy a Ukrainą z 25 czerwca 2025 r. w sprawie ustanowienia Specjalnego Trybunału do spraw Zbrodni Agresji przeciwko Ukrainie,</w:t>
      </w:r>
    </w:p>
    <w:p w14:paraId="07C8D3AC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</w:r>
      <w:bookmarkStart w:id="7" w:name="_Hlk228355480"/>
      <w:r w:rsidRPr="006E7E78">
        <w:t>uwzględniając konkluzje Rady Europejskiej z 26 czerwca 2025 r., 18 grudnia 2025 r. i 19 marca 2026 r.,</w:t>
      </w:r>
      <w:bookmarkEnd w:id="7"/>
    </w:p>
    <w:p w14:paraId="3E6D1652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rezolucje Zgromadzenia Ogólnego ONZ: z 2 marca 2022 r. potępiającą rosyjską agresję przeciwko Ukrainie stanowiącą naruszenie Karty Narodów Zjednoczonych oraz z 14 listopada 2022 r. w sprawie działań naprawczych i zadośćuczynienia za agresję przeciwko Ukrainie,</w:t>
      </w:r>
    </w:p>
    <w:p w14:paraId="79FE2166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Konwencję Rady Europy w sprawie utworzenia Międzynarodowej Komisji do spraw Roszczeń dla Ukrainy,</w:t>
      </w:r>
    </w:p>
    <w:p w14:paraId="25544F8D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utworzenie Międzynarodowego Centrum Ścigania Zbrodni Agresji przeciwko Ukrainie,</w:t>
      </w:r>
    </w:p>
    <w:p w14:paraId="2E7C93B0" w14:textId="77777777" w:rsidR="00547264" w:rsidRPr="006E7E78" w:rsidRDefault="00547264" w:rsidP="00547264">
      <w:pPr>
        <w:pStyle w:val="NormalHanging12a"/>
      </w:pPr>
      <w:r w:rsidRPr="006E7E78">
        <w:t>–</w:t>
      </w:r>
      <w:r w:rsidRPr="006E7E78">
        <w:tab/>
        <w:t>uwzględniając art. 136 ust. 2 i 4 Regulaminu,</w:t>
      </w:r>
    </w:p>
    <w:p w14:paraId="7C3A9B01" w14:textId="77777777" w:rsidR="00547264" w:rsidRPr="006E7E78" w:rsidRDefault="00547264" w:rsidP="00547264">
      <w:pPr>
        <w:pStyle w:val="NormalHanging12a"/>
      </w:pPr>
      <w:r w:rsidRPr="006E7E78">
        <w:t>A.</w:t>
      </w:r>
      <w:r w:rsidRPr="006E7E78">
        <w:tab/>
        <w:t xml:space="preserve">mając na uwadze, że minęły ponad cztery lata odkąd Rosja rozpoczęła bezprawną, </w:t>
      </w:r>
      <w:r w:rsidRPr="006E7E78">
        <w:lastRenderedPageBreak/>
        <w:t xml:space="preserve">niesprowokowaną i nieuzasadnioną </w:t>
      </w:r>
      <w:proofErr w:type="spellStart"/>
      <w:r w:rsidRPr="006E7E78">
        <w:t>pełnoskalową</w:t>
      </w:r>
      <w:proofErr w:type="spellEnd"/>
      <w:r w:rsidRPr="006E7E78">
        <w:t xml:space="preserve"> wojnę napastniczą przeciwko Ukrainie, kontynuując atak zapoczątkowany w 2014 r. aneksją Krymu i okupacją części obwodu donieckiego, co stanowi rażące naruszenie suwerenności i integralności terytorialnej Ukrainy oraz pociąga za sobą poważne konsekwencje humanitarne, gospodarcze, środowiskowe i regionalne; mając na uwadze, że rosyjska wojna napastnicza wynika z nacjonalistycznej ideologii imperialistycznej i jest elementem szerzej zakrojonych działań wymierzonych w Zachód, jego wartości i demokrację;</w:t>
      </w:r>
    </w:p>
    <w:p w14:paraId="6F596DEC" w14:textId="77777777" w:rsidR="00547264" w:rsidRPr="006E7E78" w:rsidRDefault="00547264" w:rsidP="00547264">
      <w:pPr>
        <w:pStyle w:val="NormalHanging12a"/>
      </w:pPr>
      <w:r w:rsidRPr="006E7E78">
        <w:t>B.</w:t>
      </w:r>
      <w:r w:rsidRPr="006E7E78">
        <w:tab/>
        <w:t>mając na uwadze, że Rosja celowo i wielokrotnie atakowała ludność cywilną i obiekty cywilne, w tym infrastrukturę energetyczną i placówki służby zdrowia, co stanowi poważne naruszenie międzynarodowego prawa humanitarnego, w tym konwencji genewskich i Rzymskiego Statutu Międzynarodowego Trybunału Karnego; mając na uwadze, że wielokrotne rosyjskie ataki na ukraińską cywilną infrastrukturę energetyczną minionej zimy zmusiły miliony Ukraińców do stawienia czoła fali mrozów przy ograniczonym dostępie do energii elektrycznej, ogrzewania i bieżącej wody; mając na uwadze, że ciągłe i systematyczne ataki na infrastrukturę energetyczną skutkują powszechnymi przerwami w dostawach energii elektrycznej, które dotykają m.in. szpitale i podstawowe usługi, zagrażając życiu ludności cywilnej;</w:t>
      </w:r>
    </w:p>
    <w:p w14:paraId="54DADA9D" w14:textId="77777777" w:rsidR="00547264" w:rsidRPr="006E7E78" w:rsidRDefault="00547264" w:rsidP="00547264">
      <w:pPr>
        <w:pStyle w:val="NormalHanging12a"/>
      </w:pPr>
      <w:r w:rsidRPr="006E7E78">
        <w:t>C.</w:t>
      </w:r>
      <w:r w:rsidRPr="006E7E78">
        <w:tab/>
        <w:t>mając na uwadze, że niedawno siły rosyjskie zintensyfikowały ataki powietrzne i rakietowe na główne ukraińskie miasta, w tym Kijów, Charków, Dniepr, Odessę i Zaporoże, co spowodowało wiele ofiar wśród ludności cywilnej i rozległe zniszczenia obszarów mieszkalnych; mając na uwadze, że w kwietniu 2026 r. Rosja przeprowadziła bezprecedensową liczbę ataków na Ukrainę, zabijając co najmniej 75 cywilów i raniąc ponad 400 osób; mając na uwadze, że według Biura Wysokiego Komisarza Narodów Zjednoczonych do spraw Praw Człowieka (OHCHR) od 24 lutego 2022 r. zginęło ponad 15 500 cywilów, a ponad 43 000 odniosło obrażenia, przy czym rzeczywiste liczby są prawdopodobnie znacznie wyższe;</w:t>
      </w:r>
    </w:p>
    <w:p w14:paraId="6B0197D1" w14:textId="77777777" w:rsidR="00547264" w:rsidRPr="006E7E78" w:rsidRDefault="00547264" w:rsidP="00547264">
      <w:pPr>
        <w:pStyle w:val="NormalHanging12a"/>
      </w:pPr>
      <w:r w:rsidRPr="006E7E78">
        <w:t>D.</w:t>
      </w:r>
      <w:r w:rsidRPr="006E7E78">
        <w:tab/>
        <w:t>mając na uwadze, że według danych UNICEF-u ponad 3 200 dzieci w Ukrainie poniosło śmierć lub zostało rannych, ponad jedna trzecia pozostaje przesiedlona, a tysiące szkół i placówek edukacyjnych zostało uszkodzonych lub zniszczonych, w związku z czym co trzecie dziecko nie może uczęszczać do szkoły w pełnym wymiarze godzin; mając na uwadze, że w marcu 2026 r. oenzetowska Niezależna Międzynarodowa Komisja Śledcza w sprawie Ukrainy stwierdziła, że władze rosyjskie dopuściły się zbrodni przeciwko ludzkości i zbrodni wojennych polegających na deportacji, przymusowym przemieszczaniu i wymuszonych zaginięciach dzieci ukraińskich; mając na uwadze, że UE wielokrotnie wzywała Rosję i Białoruś do zapewnienia bezpiecznego i bezwarunkowego powrotu do Ukrainy wszystkich dzieci ukraińskich i innych cywilów, które deportowano lub przemieszczono; mając na uwadze, że z wypowiedzi dzieci, które wróciły do kraju, wynika, że władze rosyjskie poddawały je „reedukacji”, aby wymazać ich ukraińską tożsamość;</w:t>
      </w:r>
    </w:p>
    <w:p w14:paraId="372A2483" w14:textId="77777777" w:rsidR="00547264" w:rsidRPr="006E7E78" w:rsidRDefault="00547264" w:rsidP="00547264">
      <w:pPr>
        <w:pStyle w:val="NormalHanging12a"/>
      </w:pPr>
      <w:r w:rsidRPr="006E7E78">
        <w:t>E.</w:t>
      </w:r>
      <w:r w:rsidRPr="006E7E78">
        <w:tab/>
        <w:t>mając na uwadze, że od 24 lutego 2022 r. Światowa Organizacja Zdrowia udokumentowała co najmniej 2 881 ataków na pracowników służby zdrowia, placówki opieki zdrowotnej, karetki pogotowia i magazyny medyczne w całej Ukrainie;</w:t>
      </w:r>
    </w:p>
    <w:p w14:paraId="66C78B88" w14:textId="77777777" w:rsidR="00547264" w:rsidRPr="006E7E78" w:rsidRDefault="00547264" w:rsidP="00547264">
      <w:pPr>
        <w:pStyle w:val="NormalHanging12a"/>
        <w:rPr>
          <w:bCs/>
        </w:rPr>
      </w:pPr>
      <w:r w:rsidRPr="006E7E78">
        <w:t>F.</w:t>
      </w:r>
      <w:r w:rsidRPr="006E7E78">
        <w:tab/>
        <w:t xml:space="preserve">mając na uwadze, że Zgromadzenie Ogólne ONZ uznało, że Rosja musi odpowiedzieć za wszystkie naruszenia prawa międzynarodowego w Ukrainie lub przeciwko Ukrainie oraz ponieść konsekwencje prawne swoich działań niezgodnych z prawem międzynarodowym, co obejmuje zadośćuczynienie za zniszczenia spowodowane takimi </w:t>
      </w:r>
      <w:r w:rsidRPr="006E7E78">
        <w:lastRenderedPageBreak/>
        <w:t>działaniami; mając na uwadze, że Zgromadzenie Ogólne ONZ uznało również, że należy ustanowić międzynarodowy mechanizm zadośćuczynienia za zniszczenia, straty i szkody powstałe w wyniku niezgodnych z prawem międzynarodowym działań Federacji Rosyjskiej;</w:t>
      </w:r>
    </w:p>
    <w:p w14:paraId="1040C75C" w14:textId="77777777" w:rsidR="00547264" w:rsidRPr="006E7E78" w:rsidRDefault="00547264" w:rsidP="00547264">
      <w:pPr>
        <w:pStyle w:val="NormalHanging12a"/>
      </w:pPr>
      <w:r w:rsidRPr="006E7E78">
        <w:t>G.</w:t>
      </w:r>
      <w:r w:rsidRPr="006E7E78">
        <w:tab/>
        <w:t xml:space="preserve">mając na uwadze, że w marcu 2023 r. Międzynarodowy Trybunał Karny wydał nakazy aresztowania Władimira Putina i Marii </w:t>
      </w:r>
      <w:proofErr w:type="spellStart"/>
      <w:r w:rsidRPr="006E7E78">
        <w:t>Lwowej-Biełowej</w:t>
      </w:r>
      <w:proofErr w:type="spellEnd"/>
      <w:r w:rsidRPr="006E7E78">
        <w:t xml:space="preserve"> za zbrodnię wojenną polegającą na bezprawnym przemieszczaniu i deportacji dzieci ukraińskich; mając na uwadze, że następnie trybunał wydał nakazy aresztowania czterech wyższych rangą rosyjskich wojskowych – Wiktora Sokołowa, Siergieja </w:t>
      </w:r>
      <w:proofErr w:type="spellStart"/>
      <w:r w:rsidRPr="006E7E78">
        <w:t>Kobylasza</w:t>
      </w:r>
      <w:proofErr w:type="spellEnd"/>
      <w:r w:rsidRPr="006E7E78">
        <w:t xml:space="preserve">, Siergieja </w:t>
      </w:r>
      <w:proofErr w:type="spellStart"/>
      <w:r w:rsidRPr="006E7E78">
        <w:t>Szojgu</w:t>
      </w:r>
      <w:proofErr w:type="spellEnd"/>
      <w:r w:rsidRPr="006E7E78">
        <w:t xml:space="preserve"> i Walerija Gierasimowa – oskarżonych o kierowanie atakami na obiekty cywilne i o zbrodnie przeciwko ludzkości;</w:t>
      </w:r>
    </w:p>
    <w:p w14:paraId="202CDDEE" w14:textId="77777777" w:rsidR="00547264" w:rsidRPr="006E7E78" w:rsidRDefault="00547264" w:rsidP="00547264">
      <w:pPr>
        <w:pStyle w:val="NormalHanging12a"/>
      </w:pPr>
      <w:r w:rsidRPr="006E7E78">
        <w:t>H.</w:t>
      </w:r>
      <w:r w:rsidRPr="006E7E78">
        <w:tab/>
        <w:t>mając na uwadze, że Rosja w sposób systematyczny zaatakowała i zniszczyła ponad 1 700 ukraińskich obiektów dziedzictwa kulturowego i ponad 2 500 obiektów infrastruktury kulturalnej, w tym muzea i archiwa, z naruszeniem Konwencji haskiej z 1954 r. o ochronie dóbr kulturalnych w razie konfliktu zbrojnego; mając na uwadze, że UNESCO odnotowało zniszczenia w ponad 500 obiektach dziedzictwa kulturowego w Ukrainie, w szczególności w wyniku powtarzających się rosyjskich ataków rakietowych i z użyciem dronów; mając na uwadze, że wśród nich znajdują się miejsca o wyjątkowej wartości uniwersalnej, w szczególności Sobór Sofijski w Kijowie oraz historyczne centrum Odessy wpisane na listę zagrożonego dziedzictwa światowego w bezpośredniej konsekwencji rosyjskiej wojny napastniczej; mając na uwadze, że celowe niszczenie tożsamości kulturowej stanowi dodatkowy wymiar krzywd wyrządzonych narodowi ukraińskiemu;</w:t>
      </w:r>
    </w:p>
    <w:p w14:paraId="744AAE34" w14:textId="77777777" w:rsidR="00547264" w:rsidRPr="006E7E78" w:rsidRDefault="00547264" w:rsidP="00547264">
      <w:pPr>
        <w:pStyle w:val="NormalHanging12a"/>
      </w:pPr>
      <w:r w:rsidRPr="006E7E78">
        <w:t>I.</w:t>
      </w:r>
      <w:r w:rsidRPr="006E7E78">
        <w:tab/>
        <w:t>mając na uwadze, że dalsze stosowanie przez Rosję pocisków rakietowych i dronów w pobliżu obiektów jądrowych w Ukrainie – w tym w strefie zamkniętej w Czarnobylu, w której spowodowało to poważne uszkodzenia nowej bezpiecznej powłoki elektrowni jądrowej – stanowi poważne i stałe zagrożenie dla bezpieczeństwa jądrowego i jądrowego bezpieczeństwa fizycznego;</w:t>
      </w:r>
    </w:p>
    <w:p w14:paraId="7009EA50" w14:textId="77777777" w:rsidR="00547264" w:rsidRPr="006E7E78" w:rsidRDefault="00547264" w:rsidP="00547264">
      <w:pPr>
        <w:pStyle w:val="NormalHanging12a"/>
      </w:pPr>
      <w:r w:rsidRPr="006E7E78">
        <w:t>J.</w:t>
      </w:r>
      <w:r w:rsidRPr="006E7E78">
        <w:tab/>
        <w:t>mając na uwadze, że UE potwierdziła swoje zaangażowanie na rzecz pełnego rozliczenia zbrodni wojennych i innych najpoważniejszych przestępstw oraz wezwała do długofalowych wysiłków, aby uruchomić Specjalny Trybunał do spraw Zbrodni Agresji przeciwko Ukrainie, a także przeznaczyła 10 mln EUR na finansowanie zespołu, który przygotuje instytucjonalne, logistyczne i organizacyjne podstawy tego organu;</w:t>
      </w:r>
    </w:p>
    <w:p w14:paraId="476EEEC8" w14:textId="77777777" w:rsidR="00547264" w:rsidRPr="006E7E78" w:rsidRDefault="00547264" w:rsidP="00547264">
      <w:pPr>
        <w:pStyle w:val="NormalHanging12a"/>
      </w:pPr>
      <w:r w:rsidRPr="006E7E78">
        <w:t>K.</w:t>
      </w:r>
      <w:r w:rsidRPr="006E7E78">
        <w:tab/>
        <w:t>mając na uwadze, że 16 grudnia 2025 r. UE podpisała Konwencję Rady Europy ustanawiającą Międzynarodową Komisję do spraw Roszczeń dla Ukrainy, aby umożliwić ofiarom cywilnym uzyskanie odszkodowań; mając na uwadze, że komisja ta ma zostać zainaugurowana przy okazji 135. sesji Komitetu Ministrów Rady Europy w Kiszyniowie 14 maja 2026 r.; mając na uwadze, że utworzony w 2023 r. rejestr szkód służy do ewidencjonowania kwalifikujących się roszczeń o odszkodowanie za szkody wyrządzone przez Rosję i jest podstawowym narzędziem umożliwiającym Ukrainie i jej obywatelom ubieganie się o reparacje wojenne na mocy prawa międzynarodowego;</w:t>
      </w:r>
    </w:p>
    <w:p w14:paraId="05CB41E8" w14:textId="77777777" w:rsidR="00547264" w:rsidRPr="006E7E78" w:rsidRDefault="00547264" w:rsidP="00547264">
      <w:pPr>
        <w:pStyle w:val="NormalHanging12a"/>
      </w:pPr>
      <w:r w:rsidRPr="006E7E78">
        <w:t>L.</w:t>
      </w:r>
      <w:r w:rsidRPr="006E7E78">
        <w:tab/>
        <w:t xml:space="preserve">mając na uwadze, że w wyroku z 9 lipca 2025 r. w sprawie </w:t>
      </w:r>
      <w:r w:rsidRPr="006E7E78">
        <w:rPr>
          <w:i/>
          <w:iCs/>
        </w:rPr>
        <w:t>Ukraina i Niderlandy przeciwko Rosji</w:t>
      </w:r>
      <w:r w:rsidRPr="006E7E78">
        <w:t xml:space="preserve"> Europejski Trybunał Praw Człowieka uznał, że w kontekście konfliktu, który rozpoczął się we wschodniej Ukrainie w 2014 r., Rosja ponosi odpowiedzialność </w:t>
      </w:r>
      <w:r w:rsidRPr="006E7E78">
        <w:lastRenderedPageBreak/>
        <w:t>za powszechne i rażące łamanie praw człowieka naruszające europejską konwencję praw człowieka, w tym za zestrzelenie samolotu MH17 w lipcu 2014 r.;</w:t>
      </w:r>
    </w:p>
    <w:p w14:paraId="61AC0D30" w14:textId="77777777" w:rsidR="00547264" w:rsidRPr="006E7E78" w:rsidRDefault="00547264" w:rsidP="00547264">
      <w:pPr>
        <w:pStyle w:val="NormalHanging12a"/>
      </w:pPr>
      <w:r w:rsidRPr="006E7E78">
        <w:t>M.</w:t>
      </w:r>
      <w:r w:rsidRPr="006E7E78">
        <w:tab/>
        <w:t>mając na uwadze, że jakiekolwiek przyszłe zawieszenie broni lub proces pokojowy nie mogą utrudniać, opóźniać ani podważać aktualnych i przyszłych rozliczeń; mając na uwadze, że rozliczalność i pokój są wzajemnie wzmacniającymi się imperatywami prawa międzynarodowego;</w:t>
      </w:r>
    </w:p>
    <w:p w14:paraId="2082D536" w14:textId="77777777" w:rsidR="00547264" w:rsidRPr="006E7E78" w:rsidRDefault="00547264" w:rsidP="00547264">
      <w:pPr>
        <w:pStyle w:val="NormalHanging12a"/>
      </w:pPr>
      <w:r w:rsidRPr="006E7E78">
        <w:t>1.</w:t>
      </w:r>
      <w:r w:rsidRPr="006E7E78">
        <w:tab/>
        <w:t>ponownie z całą stanowczością potępia brutalną wojnę napastniczą Rosji przeciwko Ukrainie, w tym celowe ataki na obszary mieszkalne oraz infrastrukturę cywilną i krytyczną, a także wyraża głębokie oburzenie w związku z niedawnymi brutalnymi atakami Rosji na ludność cywilną z kwietnia 2026 r.;</w:t>
      </w:r>
    </w:p>
    <w:p w14:paraId="563A4C3C" w14:textId="77777777" w:rsidR="00547264" w:rsidRPr="006E7E78" w:rsidRDefault="00547264" w:rsidP="00547264">
      <w:pPr>
        <w:pStyle w:val="NormalHanging12a"/>
      </w:pPr>
      <w:r w:rsidRPr="006E7E78">
        <w:t>2.</w:t>
      </w:r>
      <w:r w:rsidRPr="006E7E78">
        <w:tab/>
        <w:t>ponawia żądanie, aby Rosja natychmiast, całkowicie i bezwarunkowo zaprzestała ataków na ludność cywilną i infrastrukturę cywilną, wycofała wszystkie siły zbrojne z uznanego przez społeczność międzynarodową terytorium Ukrainy, zaprzestała przymusowych deportacji i nielegalnych adopcji oraz stosowania tortur i nieludzkiego traktowania, a także uwolniła i odesłała do kraju wszystkich zatrzymanych, porwanych i nielegalnie adoptowanych cywilów;</w:t>
      </w:r>
    </w:p>
    <w:p w14:paraId="158B8EEA" w14:textId="77777777" w:rsidR="00547264" w:rsidRPr="006E7E78" w:rsidRDefault="00547264" w:rsidP="00547264">
      <w:pPr>
        <w:pStyle w:val="NormalHanging12a"/>
      </w:pPr>
      <w:r w:rsidRPr="006E7E78">
        <w:t>3.</w:t>
      </w:r>
      <w:r w:rsidRPr="006E7E78">
        <w:tab/>
        <w:t>ponownie wyraża niezachwianą solidarność z odważnym narodem Ukrainy oraz poparcie dla niepodległości, suwerenności i integralności terytorialnej tego kraju w granicach uznanych na arenie międzynarodowej, a także zwraca uwagę na niezbywalne prawo Ukrainy do samoobrony na mocy art. 51 Karty Narodów Zjednoczonych;</w:t>
      </w:r>
    </w:p>
    <w:p w14:paraId="25F656D0" w14:textId="77777777" w:rsidR="00547264" w:rsidRDefault="00547264" w:rsidP="00547264">
      <w:pPr>
        <w:pStyle w:val="NormalHanging12a"/>
      </w:pPr>
      <w:r w:rsidRPr="006E7E78">
        <w:t>4.</w:t>
      </w:r>
      <w:r w:rsidRPr="006E7E78">
        <w:tab/>
        <w:t>podkreśla, że wojna napastnicza Rosji stanowi jawne naruszenie prawa międzynarodowego i Karty Narodów Zjednoczonych oraz bezprecedensowy atak na bezpieczeństwo Europy; podkreśla, że przywódcy Rosji i jej sojusznicy muszą zostać pociągnięci do odpowiedzialności za rolę, jaką odegrali w zbrodni agresji, zbrodniach wojennych, zbrodniach przeciwko ludzkości i innych zbrodniach wagi międzynarodowej;</w:t>
      </w:r>
    </w:p>
    <w:p w14:paraId="288AA752" w14:textId="18D9BF54" w:rsidR="00912605" w:rsidRPr="006E7E78" w:rsidRDefault="00912605" w:rsidP="00547264">
      <w:pPr>
        <w:pStyle w:val="NormalHanging12a"/>
      </w:pPr>
      <w:r>
        <w:t>5</w:t>
      </w:r>
      <w:r w:rsidRPr="00912605">
        <w:t>.</w:t>
      </w:r>
      <w:r w:rsidRPr="00912605">
        <w:tab/>
        <w:t xml:space="preserve">zauważa z głębokim zaniepokojeniem, że państwo rosyjskie i jego poprzednik, Związek Radziecki, nigdy nie zostały pociągnięte do odpowiedzialności za swoje zbrodnie, w tym za zbrodnię w Katyniu – prawdę historyczną o której Moskwa ponownie próbuje przeinaczyć, bezpośrednio zaprzeczając udokumentowanym dowodom i swoim wcześniejszym twierdzeniom– oraz za masową deportację całych narodów na Syberię, co utrwaliło kulturę bezkarności, którą kontynuowano w kontekście zbrodni wojennych popełnionych podczas pierwszej i drugiej wojny czeczeńskiej, rosyjskiej napaści na Gruzję w 2008 r., interwencji wojskowej w Syrii oraz od 2014 r. w Ukrainie, i co nadal umożliwia popełnianie kolejnych zbrodni; uważa, że dalsze gloryfikowanie osób takich jak znany założyciel radzieckiego aparatu bezpieczeństwa i architekt terroru państwowego Feliks Dzierżyński, w tym niedawne nazwanie jego imieniem akademii Federalnej Służby Bezpieczeństwa, a także systematyczne negowanie, zniekształcanie, a nawet usprawiedliwianie zbrodni popełnianych przez Związek Radziecki przeciwko ludności okupowanej i osobom zamieszkującym terytorium obecnej Federacji Rosyjskiej wyraźnie utrwalają tę kulturę bezkarności i jasno wskazują, jakie wartości wyznają osoby sprawujące władzę w Rosji; uważa w związku z tym, że brutalność Rosji w Ukrainie, którą napędzają przywódcy polityczni i najwyższe struktury wojskowe przy wsparciu wielu grupy społecznych, ma charakter systemowy i odzwierciedla głęboko zakorzenioną imperialistyczną politykę nierozerwalnie związaną </w:t>
      </w:r>
      <w:r w:rsidRPr="00912605">
        <w:lastRenderedPageBreak/>
        <w:t>z przemocą, represjami i rozlewem krwi; ostrzega, że jeżeli obecnie nie zostanie zagwarantowana zdecydowana i możliwa do wyegzekwowania rozliczalność, oczekiwanie, że w przyszłości sytuacja ulegnie zmianie, jest nie tylko nieuzasadnione, ale również niebezpiecznie naiwne;</w:t>
      </w:r>
    </w:p>
    <w:p w14:paraId="766D3F0D" w14:textId="09165F7C" w:rsidR="00547264" w:rsidRPr="006E7E78" w:rsidRDefault="00912605" w:rsidP="00547264">
      <w:pPr>
        <w:pStyle w:val="NormalHanging12a"/>
      </w:pPr>
      <w:r>
        <w:t>6</w:t>
      </w:r>
      <w:r w:rsidR="00547264" w:rsidRPr="006E7E78">
        <w:t>.</w:t>
      </w:r>
      <w:r w:rsidR="00547264" w:rsidRPr="006E7E78">
        <w:tab/>
        <w:t>ubolewa nad faktem, że dotychczasowe działania społeczności międzynarodowej nie zdołały położyć kresu rosyjskiej agresji; wzywa UE oraz jej państwa członkowskie i partnerów do zwiększenia presji na Rosję i znacznego wzmocnienia wsparcia wojskowego dla Ukrainy – w szczególności w dziedzinie obrony powietrznej i zdolności do głębokich ataków – w celu ochrony ukraińskiej ludności cywilnej i infrastruktury krytycznej;</w:t>
      </w:r>
    </w:p>
    <w:p w14:paraId="5818DF97" w14:textId="3A59D33E" w:rsidR="00547264" w:rsidRPr="006E7E78" w:rsidRDefault="00912605" w:rsidP="00547264">
      <w:pPr>
        <w:pStyle w:val="NormalHanging12a"/>
      </w:pPr>
      <w:r>
        <w:t>7</w:t>
      </w:r>
      <w:r w:rsidR="00547264" w:rsidRPr="006E7E78">
        <w:t>.</w:t>
      </w:r>
      <w:r w:rsidR="00547264" w:rsidRPr="006E7E78">
        <w:tab/>
        <w:t>pochwala oenzetowską Niezależną Międzynarodową Komisję Śledczą w sprawie Ukrainy za badanie zarzutów naruszeń i łamania praw człowieka oraz naruszeń międzynarodowego prawa humanitarnego i powiązanych z nimi zbrodni, a także wyraża zadowolenie z przedłużenia jej mandatu; zdecydowanie odrzuca twierdzenia Rosji, jakoby atakowała wyłącznie cele wojskowe; przypomina, że komisja śledcza ustaliła, że siły rosyjskie systematycznie atakują ludność cywilną i obiekty cywilne;</w:t>
      </w:r>
    </w:p>
    <w:p w14:paraId="4D468616" w14:textId="2309B808" w:rsidR="00547264" w:rsidRPr="006E7E78" w:rsidRDefault="00912605" w:rsidP="00547264">
      <w:pPr>
        <w:pStyle w:val="NormalHanging12a"/>
      </w:pPr>
      <w:r>
        <w:t>8</w:t>
      </w:r>
      <w:r w:rsidR="00547264" w:rsidRPr="006E7E78">
        <w:t>.</w:t>
      </w:r>
      <w:r w:rsidR="00547264" w:rsidRPr="006E7E78">
        <w:tab/>
        <w:t>popiera ustanowienie i szybkie rozpoczęcie działalności Specjalnego Trybunału do spraw Zbrodni Agresji przeciwko Ukrainie oraz zachęca wszystkie państwa członkowskie UE, by włączyły się w jego prace; z zadowoleniem przyjmuje zobowiązanie Niderlandów do goszczenia siedziby specjalnego trybunału w początkowej fazie i zachęca do wzmożenia działań na rzecz finalizacji oferty dotyczącej siedziby na potrzeby fazy drugiej; wzywa UE i jej państwa członkowskie, by nadal wspierały ustanowienie Specjalnego Trybunału do spraw Zbrodni Agresji przeciwko Ukrainie, by zapewniły jego jak najszybsze uruchomienie i by zabiegały o szersze poparcie dla niego na arenie międzynarodowej;</w:t>
      </w:r>
    </w:p>
    <w:p w14:paraId="2592D8DA" w14:textId="46E5E1D3" w:rsidR="00547264" w:rsidRPr="006E7E78" w:rsidRDefault="00912605" w:rsidP="00547264">
      <w:pPr>
        <w:pStyle w:val="NormalHanging12a"/>
        <w:rPr>
          <w:bCs/>
        </w:rPr>
      </w:pPr>
      <w:r>
        <w:t>9</w:t>
      </w:r>
      <w:r w:rsidR="00547264" w:rsidRPr="006E7E78">
        <w:t>.</w:t>
      </w:r>
      <w:r w:rsidR="00547264" w:rsidRPr="006E7E78">
        <w:tab/>
        <w:t xml:space="preserve">pochwala kluczową rolę </w:t>
      </w:r>
      <w:proofErr w:type="spellStart"/>
      <w:r w:rsidR="00547264" w:rsidRPr="006E7E78">
        <w:t>Eurojustu</w:t>
      </w:r>
      <w:proofErr w:type="spellEnd"/>
      <w:r w:rsidR="00547264" w:rsidRPr="006E7E78">
        <w:t xml:space="preserve"> i jego wspólnego zespołu dochodzeniowo-śledczego we wspieraniu rozliczeń za zbrodnie popełnione w Ukrainie; wzywa Komisję, aby zapewniła stałe finansowanie Międzynarodowemu Centrum Ścigania Zbrodni Agresji przeciwko Ukrainie po grudniu 2026 r., dzięki czemu zgromadzone dowody będzie można w całości przekazać przyszłemu specjalnemu trybunałowi;</w:t>
      </w:r>
    </w:p>
    <w:p w14:paraId="0D95FB64" w14:textId="7C152A19" w:rsidR="00547264" w:rsidRPr="006E7E78" w:rsidRDefault="00912605" w:rsidP="00547264">
      <w:pPr>
        <w:pStyle w:val="NormalHanging12a"/>
      </w:pPr>
      <w:r>
        <w:t>10</w:t>
      </w:r>
      <w:r w:rsidR="00547264" w:rsidRPr="006E7E78">
        <w:t>.</w:t>
      </w:r>
      <w:r w:rsidR="00547264" w:rsidRPr="006E7E78">
        <w:tab/>
        <w:t>pochwala ukraińskie i międzynarodowe organizacje społeczeństwa obywatelskiego, które dokumentują rosyjskie zbrodnie wojenne w Ukrainie oraz wspierają ofiary i świadków; z zadowoleniem przyjmuje stałe wsparcie udzielane przez misję doradczą UE na rzecz reformy cywilnego sektora bezpieczeństwa w Ukrainie, oddzielnie i w ramach grupy doradczej ds. masowych aktów okrucieństwa, która odgrywa kluczową rolę we wzmacnianiu mechanizmów rozliczalności;</w:t>
      </w:r>
    </w:p>
    <w:p w14:paraId="4DD9D6C9" w14:textId="52FD081A" w:rsidR="00547264" w:rsidRPr="006E7E78" w:rsidRDefault="00912605" w:rsidP="00547264">
      <w:pPr>
        <w:pStyle w:val="NormalHanging12a"/>
      </w:pPr>
      <w:r>
        <w:t>11</w:t>
      </w:r>
      <w:r w:rsidR="00547264" w:rsidRPr="006E7E78">
        <w:t>.</w:t>
      </w:r>
      <w:r w:rsidR="00547264" w:rsidRPr="006E7E78">
        <w:tab/>
        <w:t>podkreśla, że do odpowiedzialności należy pociągnąć wszystkie osoby mogące kierować zbrodnią agresji lub ją umożliwiać, w tym wysokich rangą polityków, wojskowych i pracowników wymiaru sprawiedliwości; podkreśla w związku z tym, że należy pociągnąć do odpowiedzialności również sędziów Trybunału Konstytucyjnego Federacji Rosyjskiej i członków Dumy Państwowej, których decyzje pozwoliły na aneksję terytoriów ukraińskich, a tym samym bezpośrednio umożliwiły zbrodnię agresji, przy czym należy w pierwszej kolejności zająć się osobami, które ponoszą największą odpowiedzialność;</w:t>
      </w:r>
    </w:p>
    <w:p w14:paraId="3911C459" w14:textId="502CB392" w:rsidR="00547264" w:rsidRDefault="00912605" w:rsidP="00547264">
      <w:pPr>
        <w:pStyle w:val="NormalHanging12a"/>
      </w:pPr>
      <w:r>
        <w:lastRenderedPageBreak/>
        <w:t>12</w:t>
      </w:r>
      <w:r w:rsidR="00547264" w:rsidRPr="006E7E78">
        <w:t>.</w:t>
      </w:r>
      <w:r w:rsidR="00547264" w:rsidRPr="006E7E78">
        <w:tab/>
        <w:t>podkreśla swoje pełne poparcie dla śledztwa Międzynarodowego Trybunału Karnego w sprawie zarzutów zbrodni wojennych, zbrodni przeciwko ludzkości lub zbrodni ludobójstwa popełnionych w Ukrainie; przypomina obowiązki państw członkowskich wynikające ze statutu rzymskiego, zgodnie z którymi muszą one aresztować i wydawać wjeżdżające na ich terytorium osoby podlegające nakazom aresztowania Międzynarodowego Trybunału Karnego; wyraża głębokie zaniepokojenie sankcjami nałożonymi przez Stany Zjednoczone na Międzynarodowy Trybunał Karny oraz na jego prokuratorów, sędziów i pracowników, które to sankcje narażają na szwank wszystkie dochodzenia oraz stanowią poważny atak na system międzynarodowego wymiaru sprawiedliwości; wzywa Komisję, by niezwłocznie uruchomiła status blokujący, a państwa członkowskie – by pilnie wzmogły starania dyplomatyczne o ochronę i zabezpieczenie Międzynarodowego Trybunału Karnego jako niezbędnego fundamentu międzynarodowego wymiaru sprawiedliwości;</w:t>
      </w:r>
    </w:p>
    <w:p w14:paraId="76E8DB23" w14:textId="3232B3D3" w:rsidR="00912605" w:rsidRPr="006E7E78" w:rsidRDefault="00912605" w:rsidP="00547264">
      <w:pPr>
        <w:pStyle w:val="NormalHanging12a"/>
      </w:pPr>
      <w:r>
        <w:t>13</w:t>
      </w:r>
      <w:r w:rsidRPr="00912605">
        <w:t>.</w:t>
      </w:r>
      <w:r w:rsidRPr="00912605">
        <w:tab/>
        <w:t>potępia wywóz przez Rosję skradzionego zboża z okupowanych obszarów Ukrainy i podkreśla, że jego konfiskata może stanowić zbrodnię wojenną; apeluje o natychmiastowe działania, aby powstrzymać wywóz nielegalnie skonfiskowanego zboża i handel nim;</w:t>
      </w:r>
    </w:p>
    <w:p w14:paraId="79A65050" w14:textId="5DF1D7FB" w:rsidR="00547264" w:rsidRPr="006E7E78" w:rsidRDefault="00912605" w:rsidP="00547264">
      <w:pPr>
        <w:pStyle w:val="NormalHanging12a"/>
      </w:pPr>
      <w:r>
        <w:t>14</w:t>
      </w:r>
      <w:r w:rsidR="00547264" w:rsidRPr="006E7E78">
        <w:t>.</w:t>
      </w:r>
      <w:r w:rsidR="00547264" w:rsidRPr="006E7E78">
        <w:tab/>
        <w:t>wyraża poparcie dla pełnego członkostwa UE w Międzynarodowej Komisji do spraw Roszczeń dla Ukrainy; wzywa państwa członkowskie, by sprawnie zakończyły wszystkie formalne procedury w celu przystąpienia do Międzynarodowej Komisji ds. Roszczeń, co umożliwi szybkie rozpoczęcie jej prac;</w:t>
      </w:r>
    </w:p>
    <w:p w14:paraId="7C63FFED" w14:textId="21F7A043" w:rsidR="00547264" w:rsidRPr="006E7E78" w:rsidRDefault="00912605" w:rsidP="00547264">
      <w:pPr>
        <w:pStyle w:val="NormalHanging12a"/>
      </w:pPr>
      <w:r>
        <w:t>15</w:t>
      </w:r>
      <w:r w:rsidR="00547264" w:rsidRPr="006E7E78">
        <w:t>.</w:t>
      </w:r>
      <w:r w:rsidR="00547264" w:rsidRPr="006E7E78">
        <w:tab/>
        <w:t>podkreśla potrzebę skutecznej koordynacji wszystkich mechanizmów rozliczalności, tak aby unikać powielania wysiłków, zapewnić skuteczność i zminimalizować negatywny wpływ na ofiary i świadków;</w:t>
      </w:r>
    </w:p>
    <w:p w14:paraId="235E1279" w14:textId="33CBE948" w:rsidR="00547264" w:rsidRPr="006E7E78" w:rsidRDefault="00912605" w:rsidP="00547264">
      <w:pPr>
        <w:pStyle w:val="NormalHanging12a"/>
      </w:pPr>
      <w:r>
        <w:t>16</w:t>
      </w:r>
      <w:r w:rsidR="00547264" w:rsidRPr="006E7E78">
        <w:t>.</w:t>
      </w:r>
      <w:r w:rsidR="00547264" w:rsidRPr="006E7E78">
        <w:tab/>
        <w:t>wzywa wiceprzewodniczącą Komisji / wysoką przedstawicielkę Unii do spraw zagranicznych i polityki bezpieczeństwa oraz Komisję do ustanowienia delegatury UE przy organizacjach międzynarodowych mających siedzibę w Hadze – do których obecnie zaliczają się Międzynarodowy Trybunał Karny, Międzynarodowy Trybunał Sprawiedliwości i Organizacja ds. Zakazu Broni Chemicznej – w tym w celu zagwarantowania, że UE będzie rzeczywiście brać udział w pracach nowych organów międzynarodowych, które mają tam zostać ustanowione;</w:t>
      </w:r>
    </w:p>
    <w:p w14:paraId="6AF76AAB" w14:textId="30C138D0" w:rsidR="00547264" w:rsidRPr="006E7E78" w:rsidRDefault="00912605" w:rsidP="00547264">
      <w:pPr>
        <w:pStyle w:val="NormalHanging12a"/>
      </w:pPr>
      <w:r>
        <w:t>17</w:t>
      </w:r>
      <w:r w:rsidR="00547264" w:rsidRPr="006E7E78">
        <w:t>.</w:t>
      </w:r>
      <w:r w:rsidR="00547264" w:rsidRPr="006E7E78">
        <w:tab/>
        <w:t>z zadowoleniem przyjmuje długo oczekiwane zatwierdzenie przez Radę pożyczki UE dla Ukrainy w wysokości 90 mld EUR; oczekuje – zgodnie z wyjaśnieniami przedstawionymi przez Komisję na sesji plenarnej w lutym 2026 r. – właściwego wdrożenia elastyczności przewidzianej w pakiecie w ramach systemu odstępstw określonego w art. 13 ust. 5 rozporządzenia ustanawiającego pożyczkę na potrzeby wsparcia Ukrainy</w:t>
      </w:r>
      <w:r w:rsidR="00547264" w:rsidRPr="006E7E78">
        <w:rPr>
          <w:rStyle w:val="FootnoteReference"/>
        </w:rPr>
        <w:footnoteReference w:id="1"/>
      </w:r>
      <w:r w:rsidR="00547264" w:rsidRPr="006E7E78">
        <w:t xml:space="preserve">; ponawia apel o znalezienie legalnych sposobów wykorzystania sald gotówkowych związanych z rosyjskimi aktywami państwowymi, które unieruchomiono w ramach sankcji UE, do wspierania obrony i odbudowy Ukrainy, w tym wypłaty rekompensat w ramach Międzynarodowej Komisji ds. Roszczeń dla Ukrainy, oraz m.in. do sfinansowania odbudowy nowej bezpiecznej powłoki elektrowni jądrowej w </w:t>
      </w:r>
      <w:r w:rsidR="00547264" w:rsidRPr="006E7E78">
        <w:lastRenderedPageBreak/>
        <w:t>Czarnobylu, którą zniszczyły ataki rosyjskich dronów;</w:t>
      </w:r>
    </w:p>
    <w:p w14:paraId="30C42399" w14:textId="7FAD4C3D" w:rsidR="00547264" w:rsidRPr="006E7E78" w:rsidRDefault="00912605" w:rsidP="00547264">
      <w:pPr>
        <w:pStyle w:val="NormalHanging12a"/>
      </w:pPr>
      <w:r>
        <w:t>18</w:t>
      </w:r>
      <w:r w:rsidR="00547264" w:rsidRPr="006E7E78">
        <w:t>.</w:t>
      </w:r>
      <w:r w:rsidR="00547264" w:rsidRPr="006E7E78">
        <w:tab/>
        <w:t>z zadowoleniem przyjmuje przyjęcie 20. pakietu sankcji przeciwko Rosji; odnotowuje, że narzędzie przeciwdziałające obchodzeniu sankcji wykorzystuje się do tego, by blokować przekierowywanie wywozu technologii wrażliwych przez państwa spoza UE; domaga się utrzymania sankcji do czasu wynegocjowania i trwałego wdrożenia porozumienia pokojowego; wzywa UE i jej państwa członkowskie do podejmowania systematycznych działań w celu rozwiązania problemu obchodzenia sankcji;</w:t>
      </w:r>
    </w:p>
    <w:p w14:paraId="6F9679A0" w14:textId="3652C7B5" w:rsidR="00547264" w:rsidRPr="006E7E78" w:rsidRDefault="00912605" w:rsidP="00547264">
      <w:pPr>
        <w:pStyle w:val="NormalHanging12a"/>
      </w:pPr>
      <w:r>
        <w:t>19</w:t>
      </w:r>
      <w:r w:rsidR="00547264" w:rsidRPr="006E7E78">
        <w:t>.</w:t>
      </w:r>
      <w:r w:rsidR="00547264" w:rsidRPr="006E7E78">
        <w:tab/>
        <w:t>wzywa Radę i Komisję do dbania o ścisłe utrzymanie sankcji unijnych wobec Rosji i do ich dalszego rozszerzenia na wszystkie osoby i podmioty, których decyzje umożliwiły lub ułatwiły popełnianie zbrodni wojennych i innych poważnych przestępstw przeciwko ukraińskiej ludności cywilnej;</w:t>
      </w:r>
    </w:p>
    <w:p w14:paraId="7AC4CF2E" w14:textId="20C434DC" w:rsidR="00547264" w:rsidRPr="006E7E78" w:rsidRDefault="00912605" w:rsidP="00547264">
      <w:pPr>
        <w:pStyle w:val="NormalHanging12a"/>
      </w:pPr>
      <w:r>
        <w:t>20</w:t>
      </w:r>
      <w:r w:rsidR="00547264" w:rsidRPr="006E7E78">
        <w:t>.</w:t>
      </w:r>
      <w:r w:rsidR="00547264" w:rsidRPr="006E7E78">
        <w:tab/>
        <w:t>wzywa instytucje i organy UE, szczególnie Europejską Służbę Działań Zewnętrznych, do współpracy z władzami ukraińskimi i do przewodzenia aktywnej kampanii komunikacyjnej w całej Europie i na świecie, tak aby informować o zbrodniach wojennych popełnionych przez Rosję i jej sojuszników oraz budować poparcie dla rozliczalności i sprawiedliwości;</w:t>
      </w:r>
    </w:p>
    <w:p w14:paraId="6B4D12D1" w14:textId="222CA80D" w:rsidR="00547264" w:rsidRPr="006E7E78" w:rsidRDefault="00912605" w:rsidP="00547264">
      <w:pPr>
        <w:pStyle w:val="NormalHanging12a"/>
      </w:pPr>
      <w:r>
        <w:t>21</w:t>
      </w:r>
      <w:r w:rsidR="00547264" w:rsidRPr="006E7E78">
        <w:t>.</w:t>
      </w:r>
      <w:r w:rsidR="00547264" w:rsidRPr="006E7E78">
        <w:tab/>
        <w:t>przypomina, że bezprawna deportacja i przymusowe przesiedlanie ukraińskich dzieci stanowi poważne naruszenie międzynarodowego prawa humanitarnego i praw człowieka; z zadowoleniem odnotowuje inicjatywę Komisji, aby wspólnie z Ukrainą i Kanadą zorganizować posiedzenie wysokiego szczebla Międzynarodowej Koalicji na rzecz Powrotu Ukraińskich Dzieci w maju 2026 r. w Brukseli; wzywa państwa członkowskie, które jeszcze nie przystąpiły do tej koalicji, by to niezwłocznie uczyniły;</w:t>
      </w:r>
    </w:p>
    <w:p w14:paraId="06D7C68D" w14:textId="2637C32E" w:rsidR="00547264" w:rsidRPr="006E7E78" w:rsidRDefault="00912605" w:rsidP="00547264">
      <w:pPr>
        <w:pStyle w:val="NormalHanging12a"/>
      </w:pPr>
      <w:r>
        <w:t>22</w:t>
      </w:r>
      <w:r w:rsidR="00547264" w:rsidRPr="006E7E78">
        <w:t>.</w:t>
      </w:r>
      <w:r w:rsidR="00547264" w:rsidRPr="006E7E78">
        <w:tab/>
        <w:t>piętnuje podejmowane przez Rosję systematyczne próby wymazania historii, kultury, języka i tożsamości Ukrainy; przypomina, że skala zniszczeń spowodowanych napaścią Rosji pozostaje poważna oraz że bezpośrednie szkody wyrządzone w infrastrukturze kulturalnej i dziedzictwie kulturowym Ukrainy do kwietnia 2026 r. szacuje się na ponad 4 mld EUR;</w:t>
      </w:r>
    </w:p>
    <w:p w14:paraId="1EE8D4FC" w14:textId="444787FD" w:rsidR="00547264" w:rsidRPr="006E7E78" w:rsidRDefault="00912605" w:rsidP="00547264">
      <w:pPr>
        <w:pStyle w:val="NormalHanging12a"/>
      </w:pPr>
      <w:r>
        <w:t>23</w:t>
      </w:r>
      <w:r w:rsidR="00547264" w:rsidRPr="006E7E78">
        <w:t>.</w:t>
      </w:r>
      <w:r w:rsidR="00547264" w:rsidRPr="006E7E78">
        <w:tab/>
        <w:t>przypomina, że rosyjska wojna napastnicza i ataki na infrastrukturę przemysłową i energetyczną spowodowały poważne i długotrwałe szkody dla środowiska w Ukrainie, w tym zniszczenie ekosystemów oraz zanieczyszczenie wody i gleby; wzywa UE i jej państwa członkowskie do poparcia wszystkich inicjatyw mających na celu udokumentowanie degradacji środowiska spowodowanej rosyjską wojną oraz do poparcia działań na rzecz zapewnienia rozliczalności i odszkodowań;</w:t>
      </w:r>
    </w:p>
    <w:p w14:paraId="653F7F24" w14:textId="0738CB4E" w:rsidR="00547264" w:rsidRPr="006E7E78" w:rsidRDefault="00912605" w:rsidP="00547264">
      <w:pPr>
        <w:pStyle w:val="NormalHanging12a"/>
      </w:pPr>
      <w:r>
        <w:t>24</w:t>
      </w:r>
      <w:r w:rsidR="00547264" w:rsidRPr="006E7E78">
        <w:t>.</w:t>
      </w:r>
      <w:r w:rsidR="00547264" w:rsidRPr="006E7E78">
        <w:tab/>
        <w:t>potwierdza niezachwiane zobowiązanie UE do wsparcia odbudowy Ukrainy oraz ponownie wyraża gotowość do udziału w odbudowie gospodarki Ukrainy oraz jej infrastruktury cywilnej i krytycznej; podkreśla strategiczne znaczenie Instrumentu na rzecz Ukrainy dla wzmocnienia odporności Ukrainy, przyspieszenia jej odbudowy oraz wsparcia jej na drodze do trwałego rozwoju i członkostwa w UE;</w:t>
      </w:r>
    </w:p>
    <w:p w14:paraId="4FFD7FBD" w14:textId="28DC335F" w:rsidR="006E7E78" w:rsidRPr="006E7E78" w:rsidRDefault="00912605" w:rsidP="006E7E78">
      <w:pPr>
        <w:pStyle w:val="NormalHanging12a"/>
      </w:pPr>
      <w:r>
        <w:t>25</w:t>
      </w:r>
      <w:r w:rsidR="00547264" w:rsidRPr="006E7E78">
        <w:t>.</w:t>
      </w:r>
      <w:r w:rsidR="00547264" w:rsidRPr="006E7E78">
        <w:tab/>
        <w:t xml:space="preserve">zobowiązuje swoją przewodniczącą do przekazania niniejszej rezolucji Radzie, Komisji, wiceprzewodniczącej Komisji / wysokiej przedstawicielce Unii do spraw zagranicznych i polityki bezpieczeństwa, rządom i parlamentom państw członkowskich, prezydentowi, rządowi i Radzie Najwyższej Ukrainy, sekretarzowi generalnemu ONZ, Radzie Europy, Kongresowi Stanów Zjednoczonych, Międzynarodowemu Trybunałowi </w:t>
      </w:r>
      <w:r w:rsidR="00547264" w:rsidRPr="006E7E78">
        <w:lastRenderedPageBreak/>
        <w:t>Karnemu i władzom rosyjskim.</w:t>
      </w:r>
    </w:p>
    <w:p w14:paraId="65F9642D" w14:textId="556FAB42" w:rsidR="00E365E1" w:rsidRPr="006E7E78" w:rsidRDefault="00E365E1" w:rsidP="004B1904"/>
    <w:sectPr w:rsidR="00E365E1" w:rsidRPr="006E7E78" w:rsidSect="006E7E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5491" w14:textId="77777777" w:rsidR="004B1904" w:rsidRPr="006E7E78" w:rsidRDefault="004B1904">
      <w:r w:rsidRPr="006E7E78">
        <w:separator/>
      </w:r>
    </w:p>
  </w:endnote>
  <w:endnote w:type="continuationSeparator" w:id="0">
    <w:p w14:paraId="24BB5D32" w14:textId="77777777" w:rsidR="004B1904" w:rsidRPr="006E7E78" w:rsidRDefault="004B1904">
      <w:r w:rsidRPr="006E7E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6377" w14:textId="77777777" w:rsidR="00064002" w:rsidRPr="006E7E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C9EE" w14:textId="77777777" w:rsidR="00064002" w:rsidRPr="006E7E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EF72" w14:textId="77777777" w:rsidR="00064002" w:rsidRPr="006E7E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82440" w14:textId="77777777" w:rsidR="004B1904" w:rsidRPr="006E7E78" w:rsidRDefault="004B1904">
      <w:r w:rsidRPr="006E7E78">
        <w:separator/>
      </w:r>
    </w:p>
  </w:footnote>
  <w:footnote w:type="continuationSeparator" w:id="0">
    <w:p w14:paraId="52C98EC3" w14:textId="77777777" w:rsidR="004B1904" w:rsidRPr="006E7E78" w:rsidRDefault="004B1904">
      <w:r w:rsidRPr="006E7E78">
        <w:continuationSeparator/>
      </w:r>
    </w:p>
  </w:footnote>
  <w:footnote w:id="1">
    <w:p w14:paraId="4BDE8DDE" w14:textId="7BB4F2EA" w:rsidR="00547264" w:rsidRPr="006E7E78" w:rsidRDefault="00547264" w:rsidP="006E7E78">
      <w:pPr>
        <w:pStyle w:val="FootnoteText"/>
        <w:ind w:left="567" w:hanging="567"/>
        <w:rPr>
          <w:sz w:val="24"/>
          <w:lang w:val="pl-PL"/>
        </w:rPr>
      </w:pPr>
      <w:r w:rsidRPr="006E7E78">
        <w:rPr>
          <w:rStyle w:val="FootnoteReference"/>
          <w:sz w:val="24"/>
          <w:lang w:val="pl-PL"/>
        </w:rPr>
        <w:footnoteRef/>
      </w:r>
      <w:r w:rsidR="006E7E78" w:rsidRPr="006E7E78">
        <w:rPr>
          <w:sz w:val="24"/>
          <w:lang w:val="pl-PL"/>
        </w:rPr>
        <w:t xml:space="preserve"> </w:t>
      </w:r>
      <w:r w:rsidR="006E7E78" w:rsidRPr="006E7E78">
        <w:rPr>
          <w:sz w:val="24"/>
          <w:lang w:val="pl-PL"/>
        </w:rPr>
        <w:tab/>
      </w:r>
      <w:r w:rsidRPr="006E7E78">
        <w:rPr>
          <w:sz w:val="24"/>
          <w:lang w:val="pl-PL"/>
        </w:rPr>
        <w:t>Rozporządzenie Parlamentu Europejskiego i Rady (UE) 2026/467 z dnia 24 lutego 2026 r. wdrażające wzmocnioną współpracę w zakresie ustanowienia pożyczki na potrzeby wsparcia Ukrainy na lata 2026 i 2027 (Dz.U. L, 2026/467, 26.2.2026, ELI: http://data.europa.eu/eli/reg/2026/467/oj).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7265" w14:textId="77777777" w:rsidR="00064002" w:rsidRPr="006E7E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8A98" w14:textId="77777777" w:rsidR="00064002" w:rsidRPr="006E7E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D9701" w14:textId="77777777" w:rsidR="00064002" w:rsidRPr="006E7E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5764536">
    <w:abstractNumId w:val="9"/>
  </w:num>
  <w:num w:numId="2" w16cid:durableId="1120949807">
    <w:abstractNumId w:val="9"/>
  </w:num>
  <w:num w:numId="3" w16cid:durableId="1239246041">
    <w:abstractNumId w:val="7"/>
  </w:num>
  <w:num w:numId="4" w16cid:durableId="770976386">
    <w:abstractNumId w:val="7"/>
  </w:num>
  <w:num w:numId="5" w16cid:durableId="289169372">
    <w:abstractNumId w:val="6"/>
  </w:num>
  <w:num w:numId="6" w16cid:durableId="169369287">
    <w:abstractNumId w:val="6"/>
  </w:num>
  <w:num w:numId="7" w16cid:durableId="2015915960">
    <w:abstractNumId w:val="5"/>
  </w:num>
  <w:num w:numId="8" w16cid:durableId="311376298">
    <w:abstractNumId w:val="5"/>
  </w:num>
  <w:num w:numId="9" w16cid:durableId="251397770">
    <w:abstractNumId w:val="4"/>
  </w:num>
  <w:num w:numId="10" w16cid:durableId="1421218019">
    <w:abstractNumId w:val="4"/>
  </w:num>
  <w:num w:numId="11" w16cid:durableId="877277356">
    <w:abstractNumId w:val="8"/>
  </w:num>
  <w:num w:numId="12" w16cid:durableId="1104039878">
    <w:abstractNumId w:val="8"/>
  </w:num>
  <w:num w:numId="13" w16cid:durableId="1810710005">
    <w:abstractNumId w:val="3"/>
  </w:num>
  <w:num w:numId="14" w16cid:durableId="1885293111">
    <w:abstractNumId w:val="3"/>
  </w:num>
  <w:num w:numId="15" w16cid:durableId="1404523401">
    <w:abstractNumId w:val="2"/>
  </w:num>
  <w:num w:numId="16" w16cid:durableId="1470783155">
    <w:abstractNumId w:val="2"/>
  </w:num>
  <w:num w:numId="17" w16cid:durableId="1485127803">
    <w:abstractNumId w:val="1"/>
  </w:num>
  <w:num w:numId="18" w16cid:durableId="593637301">
    <w:abstractNumId w:val="1"/>
  </w:num>
  <w:num w:numId="19" w16cid:durableId="1871143405">
    <w:abstractNumId w:val="0"/>
  </w:num>
  <w:num w:numId="20" w16cid:durableId="1392264071">
    <w:abstractNumId w:val="0"/>
  </w:num>
  <w:num w:numId="21" w16cid:durableId="158620359">
    <w:abstractNumId w:val="9"/>
  </w:num>
  <w:num w:numId="22" w16cid:durableId="1967394132">
    <w:abstractNumId w:val="7"/>
  </w:num>
  <w:num w:numId="23" w16cid:durableId="983777595">
    <w:abstractNumId w:val="6"/>
  </w:num>
  <w:num w:numId="24" w16cid:durableId="459959422">
    <w:abstractNumId w:val="5"/>
  </w:num>
  <w:num w:numId="25" w16cid:durableId="612518161">
    <w:abstractNumId w:val="4"/>
  </w:num>
  <w:num w:numId="26" w16cid:durableId="2120680684">
    <w:abstractNumId w:val="8"/>
  </w:num>
  <w:num w:numId="27" w16cid:durableId="1015964165">
    <w:abstractNumId w:val="3"/>
  </w:num>
  <w:num w:numId="28" w16cid:durableId="1088113420">
    <w:abstractNumId w:val="2"/>
  </w:num>
  <w:num w:numId="29" w16cid:durableId="1793665215">
    <w:abstractNumId w:val="1"/>
  </w:num>
  <w:num w:numId="30" w16cid:durableId="162162339">
    <w:abstractNumId w:val="0"/>
  </w:num>
  <w:num w:numId="31" w16cid:durableId="1811166857">
    <w:abstractNumId w:val="9"/>
  </w:num>
  <w:num w:numId="32" w16cid:durableId="655689990">
    <w:abstractNumId w:val="7"/>
  </w:num>
  <w:num w:numId="33" w16cid:durableId="1760976892">
    <w:abstractNumId w:val="6"/>
  </w:num>
  <w:num w:numId="34" w16cid:durableId="1753355411">
    <w:abstractNumId w:val="5"/>
  </w:num>
  <w:num w:numId="35" w16cid:durableId="1184635596">
    <w:abstractNumId w:val="4"/>
  </w:num>
  <w:num w:numId="36" w16cid:durableId="146214846">
    <w:abstractNumId w:val="8"/>
  </w:num>
  <w:num w:numId="37" w16cid:durableId="18120307">
    <w:abstractNumId w:val="3"/>
  </w:num>
  <w:num w:numId="38" w16cid:durableId="1259019186">
    <w:abstractNumId w:val="2"/>
  </w:num>
  <w:num w:numId="39" w16cid:durableId="720253971">
    <w:abstractNumId w:val="1"/>
  </w:num>
  <w:num w:numId="40" w16cid:durableId="1385838332">
    <w:abstractNumId w:val="0"/>
  </w:num>
  <w:num w:numId="41" w16cid:durableId="1925217456">
    <w:abstractNumId w:val="10"/>
  </w:num>
  <w:num w:numId="42" w16cid:durableId="1963222964">
    <w:abstractNumId w:val="10"/>
  </w:num>
  <w:num w:numId="43" w16cid:durableId="962808125">
    <w:abstractNumId w:val="10"/>
  </w:num>
  <w:num w:numId="44" w16cid:durableId="1159808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1/2026"/>
    <w:docVar w:name="dvlangue" w:val="PL"/>
    <w:docVar w:name="dvnumam" w:val="0"/>
    <w:docVar w:name="dvpe" w:val="783.236"/>
    <w:docVar w:name="dvtitre" w:val="Rezolucja Parlamentu Europejskiego z dnia  2026 r. w sprawie zapewnienia rozliczalności i sprawiedliwości w odpowiedzi na ciągłe ataki Rosji na ludność cywilną w Ukrainie (2026/2700(RSP))"/>
  </w:docVars>
  <w:rsids>
    <w:rsidRoot w:val="004B19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1F9"/>
    <w:rsid w:val="002B18FE"/>
    <w:rsid w:val="002B5493"/>
    <w:rsid w:val="002F2DC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904"/>
    <w:rsid w:val="004C0004"/>
    <w:rsid w:val="004C5D52"/>
    <w:rsid w:val="0050519A"/>
    <w:rsid w:val="005072A1"/>
    <w:rsid w:val="00514517"/>
    <w:rsid w:val="00545827"/>
    <w:rsid w:val="00547264"/>
    <w:rsid w:val="00560270"/>
    <w:rsid w:val="005C2568"/>
    <w:rsid w:val="005F1B17"/>
    <w:rsid w:val="006037C0"/>
    <w:rsid w:val="006631B6"/>
    <w:rsid w:val="00680577"/>
    <w:rsid w:val="006E7E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60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C5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C3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96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10B8F"/>
  <w15:chartTrackingRefBased/>
  <w15:docId w15:val="{0DC0BC7D-85D1-441D-A6D9-5549775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4726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4726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47264"/>
    <w:rPr>
      <w:sz w:val="24"/>
      <w:lang w:val="pl-PL"/>
    </w:rPr>
  </w:style>
  <w:style w:type="paragraph" w:styleId="Revision">
    <w:name w:val="Revision"/>
    <w:hidden/>
    <w:uiPriority w:val="99"/>
    <w:semiHidden/>
    <w:rsid w:val="0091260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2787</Words>
  <Characters>18702</Characters>
  <Application>Microsoft Office Word</Application>
  <DocSecurity>0</DocSecurity>
  <Lines>155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3</cp:revision>
  <cp:lastPrinted>2004-11-19T15:42:00Z</cp:lastPrinted>
  <dcterms:created xsi:type="dcterms:W3CDTF">2026-04-30T13:59:00Z</dcterms:created>
  <dcterms:modified xsi:type="dcterms:W3CDTF">2026-05-16T14:05:00Z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B10-0201/2026</vt:lpwstr>
  </property>
  <property fmtid="{D5CDD505-2E9C-101B-9397-08002B2CF9AE}" pid="4" name="&lt;Type&gt;">
    <vt:lpwstr>RR</vt:lpwstr>
  </property>
</Properties>
</file>