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8762E" w14:paraId="6AB288B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6DBB0A7" w14:textId="2C7BCF72" w:rsidR="00751A4A" w:rsidRPr="0078762E" w:rsidRDefault="0051269B" w:rsidP="0010095E">
            <w:pPr>
              <w:pStyle w:val="EPName"/>
            </w:pPr>
            <w:r w:rsidRPr="0078762E">
              <w:t xml:space="preserve">Parlamento </w:t>
            </w:r>
            <w:proofErr w:type="gramStart"/>
            <w:r w:rsidRPr="0078762E">
              <w:t>Europeu</w:t>
            </w:r>
            <w:proofErr w:type="gramEnd"/>
          </w:p>
          <w:p w14:paraId="0514A62D" w14:textId="77777777" w:rsidR="00751A4A" w:rsidRPr="0078762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8762E">
              <w:t>2024</w:t>
            </w:r>
            <w:r w:rsidR="00817416" w:rsidRPr="0078762E">
              <w:t>-202</w:t>
            </w:r>
            <w:r w:rsidRPr="0078762E">
              <w:t>9</w:t>
            </w:r>
          </w:p>
        </w:tc>
        <w:tc>
          <w:tcPr>
            <w:tcW w:w="2268" w:type="dxa"/>
            <w:shd w:val="clear" w:color="auto" w:fill="auto"/>
          </w:tcPr>
          <w:p w14:paraId="0437C5F9" w14:textId="77777777" w:rsidR="00751A4A" w:rsidRPr="0078762E" w:rsidRDefault="00187494" w:rsidP="0010095E">
            <w:pPr>
              <w:pStyle w:val="EPLogo"/>
            </w:pPr>
            <w:r w:rsidRPr="0078762E">
              <w:rPr>
                <w:noProof/>
                <w:lang w:eastAsia="ja-JP"/>
              </w:rPr>
              <w:drawing>
                <wp:inline distT="0" distB="0" distL="0" distR="0" wp14:anchorId="709A27FB" wp14:editId="64FCAE9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E33DB93" w14:textId="77777777" w:rsidR="00D058B8" w:rsidRPr="0078762E" w:rsidRDefault="00D058B8" w:rsidP="004C5D52">
      <w:pPr>
        <w:pStyle w:val="LineTop"/>
      </w:pPr>
    </w:p>
    <w:p w14:paraId="067B835A" w14:textId="28121BFC" w:rsidR="00680577" w:rsidRPr="0078762E" w:rsidRDefault="0051269B" w:rsidP="00680577">
      <w:pPr>
        <w:pStyle w:val="EPBodyTA1"/>
      </w:pPr>
      <w:r w:rsidRPr="0078762E">
        <w:t>TEXTOS APROVADOS</w:t>
      </w:r>
    </w:p>
    <w:p w14:paraId="4B6ACB38" w14:textId="77777777" w:rsidR="00D058B8" w:rsidRPr="0078762E" w:rsidRDefault="00D058B8" w:rsidP="00D058B8">
      <w:pPr>
        <w:pStyle w:val="LineBottom"/>
      </w:pPr>
    </w:p>
    <w:p w14:paraId="475E9FD1" w14:textId="6EFFDD5E" w:rsidR="0051269B" w:rsidRPr="0078762E" w:rsidRDefault="0051269B" w:rsidP="0051269B">
      <w:pPr>
        <w:pStyle w:val="ATHeading1"/>
      </w:pPr>
      <w:bookmarkStart w:id="0" w:name="TANumber"/>
      <w:r w:rsidRPr="0078762E">
        <w:t>P10_</w:t>
      </w:r>
      <w:proofErr w:type="gramStart"/>
      <w:r w:rsidRPr="0078762E">
        <w:t>TA(</w:t>
      </w:r>
      <w:proofErr w:type="gramEnd"/>
      <w:r w:rsidRPr="0078762E">
        <w:t>2026)</w:t>
      </w:r>
      <w:bookmarkEnd w:id="0"/>
      <w:r w:rsidR="005725FE" w:rsidRPr="0078762E">
        <w:t>0161</w:t>
      </w:r>
    </w:p>
    <w:p w14:paraId="0935020A" w14:textId="77777777" w:rsidR="0051269B" w:rsidRPr="0078762E" w:rsidRDefault="0051269B" w:rsidP="0051269B">
      <w:pPr>
        <w:pStyle w:val="ATHeading2"/>
      </w:pPr>
      <w:bookmarkStart w:id="1" w:name="title"/>
      <w:r w:rsidRPr="0078762E">
        <w:t>Assegurar a prestação de contas e a justiça em resposta aos persistentes ataques da Rússia contra a população civil na Ucrânia</w:t>
      </w:r>
      <w:bookmarkEnd w:id="1"/>
    </w:p>
    <w:p w14:paraId="6904A4C1" w14:textId="1873C23D" w:rsidR="0051269B" w:rsidRPr="0078762E" w:rsidRDefault="0051269B" w:rsidP="0051269B">
      <w:pPr>
        <w:rPr>
          <w:i/>
          <w:vanish/>
        </w:rPr>
      </w:pPr>
      <w:r w:rsidRPr="0078762E">
        <w:rPr>
          <w:i/>
        </w:rPr>
        <w:fldChar w:fldCharType="begin"/>
      </w:r>
      <w:r w:rsidRPr="0078762E">
        <w:rPr>
          <w:i/>
        </w:rPr>
        <w:instrText xml:space="preserve"> TC"(</w:instrText>
      </w:r>
      <w:bookmarkStart w:id="2" w:name="DocNumber"/>
      <w:r w:rsidRPr="0078762E">
        <w:rPr>
          <w:i/>
        </w:rPr>
        <w:instrText>B10-0201</w:instrText>
      </w:r>
      <w:r w:rsidR="00C00341" w:rsidRPr="0078762E">
        <w:rPr>
          <w:i/>
        </w:rPr>
        <w:instrText>, 0204, 0211, 0215 e 0227</w:instrText>
      </w:r>
      <w:r w:rsidRPr="0078762E">
        <w:rPr>
          <w:i/>
        </w:rPr>
        <w:instrText>/2026</w:instrText>
      </w:r>
      <w:bookmarkEnd w:id="2"/>
      <w:r w:rsidRPr="0078762E">
        <w:rPr>
          <w:i/>
        </w:rPr>
        <w:instrText xml:space="preserve">)"\l3 \n&gt; \* MERGEFORMAT </w:instrText>
      </w:r>
      <w:r w:rsidRPr="0078762E">
        <w:rPr>
          <w:i/>
        </w:rPr>
        <w:fldChar w:fldCharType="end"/>
      </w:r>
    </w:p>
    <w:p w14:paraId="77767B5E" w14:textId="77777777" w:rsidR="0051269B" w:rsidRPr="0078762E" w:rsidRDefault="0051269B" w:rsidP="0051269B">
      <w:pPr>
        <w:rPr>
          <w:vanish/>
        </w:rPr>
      </w:pPr>
      <w:bookmarkStart w:id="3" w:name="PE"/>
      <w:r w:rsidRPr="0078762E">
        <w:rPr>
          <w:vanish/>
        </w:rPr>
        <w:t>PE783.236</w:t>
      </w:r>
      <w:bookmarkEnd w:id="3"/>
    </w:p>
    <w:p w14:paraId="6ED2E09A" w14:textId="0D375C90" w:rsidR="0051269B" w:rsidRPr="0078762E" w:rsidRDefault="0051269B" w:rsidP="0051269B">
      <w:pPr>
        <w:pStyle w:val="ATHeading3"/>
      </w:pPr>
      <w:bookmarkStart w:id="4" w:name="Sujet"/>
      <w:r w:rsidRPr="0078762E">
        <w:t xml:space="preserve">Resolução do Parlamento Europeu, de </w:t>
      </w:r>
      <w:r w:rsidR="00C00341" w:rsidRPr="0078762E">
        <w:t xml:space="preserve">30 </w:t>
      </w:r>
      <w:r w:rsidRPr="0078762E">
        <w:t xml:space="preserve">de </w:t>
      </w:r>
      <w:r w:rsidR="00C00341" w:rsidRPr="0078762E">
        <w:t xml:space="preserve">abril </w:t>
      </w:r>
      <w:r w:rsidRPr="0078762E">
        <w:t>de 2026, «Assegurar a prestação de contas e a justiça em resposta aos persistentes ataques da Rússia contra a população civil na Ucrânia»</w:t>
      </w:r>
      <w:bookmarkEnd w:id="4"/>
      <w:r w:rsidRPr="0078762E">
        <w:t xml:space="preserve"> </w:t>
      </w:r>
      <w:bookmarkStart w:id="5" w:name="References"/>
      <w:r w:rsidRPr="0078762E">
        <w:t>(2026/2700(RSP))</w:t>
      </w:r>
      <w:bookmarkEnd w:id="5"/>
    </w:p>
    <w:p w14:paraId="10B4334F" w14:textId="77777777" w:rsidR="00441BDE" w:rsidRPr="0078762E" w:rsidRDefault="00441BDE" w:rsidP="00441BDE">
      <w:pPr>
        <w:pStyle w:val="EPComma"/>
      </w:pPr>
      <w:bookmarkStart w:id="6" w:name="TextBodyBegin"/>
      <w:bookmarkEnd w:id="6"/>
      <w:r w:rsidRPr="0078762E">
        <w:rPr>
          <w:i/>
        </w:rPr>
        <w:t>O Parlamento Europeu</w:t>
      </w:r>
      <w:r w:rsidRPr="0078762E">
        <w:t>,</w:t>
      </w:r>
    </w:p>
    <w:p w14:paraId="6C211332" w14:textId="77777777" w:rsidR="00441BDE" w:rsidRPr="0078762E" w:rsidRDefault="00441BDE" w:rsidP="00441BDE">
      <w:pPr>
        <w:pStyle w:val="NormalHanging12a"/>
      </w:pPr>
      <w:r w:rsidRPr="0078762E">
        <w:t>–</w:t>
      </w:r>
      <w:r w:rsidRPr="0078762E">
        <w:tab/>
        <w:t>Tendo em conta as suas anteriores resoluções sobre a Ucrânia e a Rússia,</w:t>
      </w:r>
    </w:p>
    <w:p w14:paraId="4BEA5987" w14:textId="77777777" w:rsidR="00441BDE" w:rsidRPr="0078762E" w:rsidRDefault="00441BDE" w:rsidP="00441BDE">
      <w:pPr>
        <w:pStyle w:val="NormalHanging12a"/>
      </w:pPr>
      <w:r w:rsidRPr="0078762E">
        <w:t>–</w:t>
      </w:r>
      <w:r w:rsidRPr="0078762E">
        <w:tab/>
        <w:t>Tendo em conta a Carta das Nações Unidas,</w:t>
      </w:r>
    </w:p>
    <w:p w14:paraId="78796D53" w14:textId="77777777" w:rsidR="00441BDE" w:rsidRPr="0078762E" w:rsidRDefault="00441BDE" w:rsidP="00441BDE">
      <w:pPr>
        <w:pStyle w:val="NormalHanging12a"/>
      </w:pPr>
      <w:r w:rsidRPr="0078762E">
        <w:t>–</w:t>
      </w:r>
      <w:r w:rsidRPr="0078762E">
        <w:tab/>
        <w:t>Tendo em conta as Convenções de Genebra de 1949 e os respetivos protocolos adicionais,</w:t>
      </w:r>
    </w:p>
    <w:p w14:paraId="65640ED3" w14:textId="77777777" w:rsidR="00441BDE" w:rsidRPr="0078762E" w:rsidRDefault="00441BDE" w:rsidP="00441BDE">
      <w:pPr>
        <w:pStyle w:val="NormalHanging12a"/>
      </w:pPr>
      <w:r w:rsidRPr="0078762E">
        <w:t>–</w:t>
      </w:r>
      <w:r w:rsidRPr="0078762E">
        <w:tab/>
        <w:t>Tendo em conta o Estatuto de Roma do Tribunal Penal Internacional,</w:t>
      </w:r>
    </w:p>
    <w:p w14:paraId="4A99904A" w14:textId="77777777" w:rsidR="00441BDE" w:rsidRPr="0078762E" w:rsidRDefault="00441BDE" w:rsidP="00441BDE">
      <w:pPr>
        <w:pStyle w:val="NormalHanging12a"/>
      </w:pPr>
      <w:r w:rsidRPr="0078762E">
        <w:t>–</w:t>
      </w:r>
      <w:r w:rsidRPr="0078762E">
        <w:tab/>
        <w:t>Tendo em conta o Acordo, de 25 de junho de 2025, entre o Conselho da Europa e a Ucrânia sobre a criação de um Tribunal Especial para o crime de agressão contra a Ucrânia,</w:t>
      </w:r>
    </w:p>
    <w:p w14:paraId="00414658" w14:textId="77777777" w:rsidR="00441BDE" w:rsidRPr="0078762E" w:rsidRDefault="00441BDE" w:rsidP="00441BDE">
      <w:pPr>
        <w:pStyle w:val="NormalHanging12a"/>
      </w:pPr>
      <w:r w:rsidRPr="0078762E">
        <w:t>–</w:t>
      </w:r>
      <w:r w:rsidRPr="0078762E">
        <w:tab/>
      </w:r>
      <w:bookmarkStart w:id="7" w:name="_Hlk228355480"/>
      <w:r w:rsidRPr="0078762E">
        <w:t>Tendo em conta as Conclusões do Conselho Europeu de 26 de junho de 2025, de 18 de dezembro de 2025 e de 19 de março de 2026,</w:t>
      </w:r>
      <w:bookmarkEnd w:id="7"/>
    </w:p>
    <w:p w14:paraId="6334612D" w14:textId="77777777" w:rsidR="00441BDE" w:rsidRPr="0078762E" w:rsidRDefault="00441BDE" w:rsidP="00441BDE">
      <w:pPr>
        <w:pStyle w:val="NormalHanging12a"/>
      </w:pPr>
      <w:r w:rsidRPr="0078762E">
        <w:t>–</w:t>
      </w:r>
      <w:r w:rsidRPr="0078762E">
        <w:tab/>
        <w:t>Tendo em conta as Resoluções da Assembleia Geral das Nações Unidas de 2 de março de 2022, na qual se deplora a agressão da Rússia contra a Ucrânia em violação da Carta das Nações Unidas, e de 14 de novembro de 2022, sobre a garantia de recursos judiciais e reparações em relação à agressão contra a Ucrânia,</w:t>
      </w:r>
    </w:p>
    <w:p w14:paraId="6B80F8ED" w14:textId="77777777" w:rsidR="00441BDE" w:rsidRPr="0078762E" w:rsidRDefault="00441BDE" w:rsidP="00441BDE">
      <w:pPr>
        <w:pStyle w:val="NormalHanging12a"/>
      </w:pPr>
      <w:r w:rsidRPr="0078762E">
        <w:t>–</w:t>
      </w:r>
      <w:r w:rsidRPr="0078762E">
        <w:tab/>
        <w:t>Tendo em conta a Convenção do Conselho da Europa que cria uma Comissão Internacional de Pedidos de Indemnização para a Ucrânia,</w:t>
      </w:r>
    </w:p>
    <w:p w14:paraId="4DDA94CE" w14:textId="77777777" w:rsidR="00441BDE" w:rsidRPr="0078762E" w:rsidRDefault="00441BDE" w:rsidP="00441BDE">
      <w:pPr>
        <w:pStyle w:val="NormalHanging12a"/>
      </w:pPr>
      <w:r w:rsidRPr="0078762E">
        <w:t>–</w:t>
      </w:r>
      <w:r w:rsidRPr="0078762E">
        <w:tab/>
        <w:t>Tendo em conta a criação do Centro Internacional de Ação Penal pelo Crime de Agressão contra a Ucrânia,</w:t>
      </w:r>
    </w:p>
    <w:p w14:paraId="558B94A7" w14:textId="77777777" w:rsidR="00441BDE" w:rsidRPr="0078762E" w:rsidRDefault="00441BDE" w:rsidP="00441BDE">
      <w:pPr>
        <w:pStyle w:val="NormalHanging12a"/>
      </w:pPr>
      <w:r w:rsidRPr="0078762E">
        <w:t>–</w:t>
      </w:r>
      <w:r w:rsidRPr="0078762E">
        <w:tab/>
        <w:t xml:space="preserve">Tendo em conta o artigo 136.º, </w:t>
      </w:r>
      <w:proofErr w:type="spellStart"/>
      <w:proofErr w:type="gramStart"/>
      <w:r w:rsidRPr="0078762E">
        <w:t>n.</w:t>
      </w:r>
      <w:r w:rsidRPr="0078762E">
        <w:rPr>
          <w:vertAlign w:val="superscript"/>
        </w:rPr>
        <w:t>os</w:t>
      </w:r>
      <w:proofErr w:type="spellEnd"/>
      <w:proofErr w:type="gramEnd"/>
      <w:r w:rsidRPr="0078762E">
        <w:t xml:space="preserve"> 2 e 4, do seu Regimento,</w:t>
      </w:r>
    </w:p>
    <w:p w14:paraId="66D2A122" w14:textId="15D3C133" w:rsidR="00441BDE" w:rsidRPr="0078762E" w:rsidRDefault="00441BDE" w:rsidP="00441BDE">
      <w:pPr>
        <w:pStyle w:val="NormalHanging12a"/>
      </w:pPr>
      <w:r w:rsidRPr="0078762E">
        <w:t>A.</w:t>
      </w:r>
      <w:r w:rsidRPr="0078762E">
        <w:tab/>
        <w:t xml:space="preserve">Considerando que já passaram mais de quatro anos desde que a Rússia iniciou uma </w:t>
      </w:r>
      <w:r w:rsidRPr="0078762E">
        <w:lastRenderedPageBreak/>
        <w:t>guerra de agressão em larga escala, ilegal, não provocada e injustificada contra a Ucrânia, dando seguimento ao ataque que havia iniciado em 2014 com a anexação da Crimeia e a ocupação de partes da região do Donbass, em flagrante violação da soberania e da integridade territorial da Ucrânia, com graves consequências humanitárias, económicas, ambientais e regionais</w:t>
      </w:r>
      <w:r w:rsidR="0074367C" w:rsidRPr="0078762E">
        <w:t>; considerando que</w:t>
      </w:r>
      <w:r w:rsidRPr="0078762E">
        <w:t xml:space="preserve"> a guerra de agressão da Rússia é movida por uma ideologia nacionalista</w:t>
      </w:r>
      <w:r w:rsidRPr="0078762E">
        <w:noBreakHyphen/>
        <w:t>imperialista e inscreve</w:t>
      </w:r>
      <w:r w:rsidRPr="0078762E">
        <w:noBreakHyphen/>
        <w:t>se num conjunto mais vasto de objetivos hostis ao Ocidente e aos seus interesses e valores;</w:t>
      </w:r>
    </w:p>
    <w:p w14:paraId="397C86B8" w14:textId="703A6245" w:rsidR="00441BDE" w:rsidRPr="0078762E" w:rsidRDefault="00441BDE" w:rsidP="00441BDE">
      <w:pPr>
        <w:pStyle w:val="NormalHanging12a"/>
      </w:pPr>
      <w:r w:rsidRPr="0078762E">
        <w:t>B.</w:t>
      </w:r>
      <w:r w:rsidRPr="0078762E">
        <w:tab/>
        <w:t>Considerando que a Rússia visou de forma deliberada e repetida civis e bens civis, incluindo infraestruturas energéticas e instalações sanitárias, atos estes que constituem violações graves do direito internacional humanitário, designadamente das Convenções de Genebra e do Estatuto de Roma do Tribunal Penal Internacional</w:t>
      </w:r>
      <w:r w:rsidR="0074367C" w:rsidRPr="0078762E">
        <w:t>; considerando que</w:t>
      </w:r>
      <w:r w:rsidRPr="0078762E">
        <w:t>, ao visar repetidamente as infraestruturas energéticas civis da Ucrânia no decurso do último inverno, a Rússia forçou milhões de pessoas na Ucrânia a suportar temperaturas gélidas com limitações de energia elétrica, aquecimento e água corrente</w:t>
      </w:r>
      <w:r w:rsidR="0074367C" w:rsidRPr="0078762E">
        <w:t>; considerando que</w:t>
      </w:r>
      <w:r w:rsidRPr="0078762E">
        <w:t xml:space="preserve"> o ataque contínuo e sistemático às infraestruturas energéticas conduz a apagões generalizados que afetam, nomeadamente, os hospitais e os serviços essenciais, pondo em perigo a vida da população civil;</w:t>
      </w:r>
    </w:p>
    <w:p w14:paraId="794913DC" w14:textId="402B3020" w:rsidR="00441BDE" w:rsidRPr="0078762E" w:rsidRDefault="00441BDE" w:rsidP="00441BDE">
      <w:pPr>
        <w:pStyle w:val="NormalHanging12a"/>
      </w:pPr>
      <w:r w:rsidRPr="0078762E">
        <w:t>C.</w:t>
      </w:r>
      <w:r w:rsidRPr="0078762E">
        <w:tab/>
        <w:t xml:space="preserve">Considerando que as forças russas intensificaram recentemente os ataques aéreos e com mísseis contra as principais cidades ucranianas, incluindo Kiev, </w:t>
      </w:r>
      <w:proofErr w:type="spellStart"/>
      <w:r w:rsidRPr="0078762E">
        <w:t>Carcóvia</w:t>
      </w:r>
      <w:proofErr w:type="spellEnd"/>
      <w:r w:rsidRPr="0078762E">
        <w:t xml:space="preserve">, </w:t>
      </w:r>
      <w:proofErr w:type="spellStart"/>
      <w:r w:rsidRPr="0078762E">
        <w:t>Danipro</w:t>
      </w:r>
      <w:proofErr w:type="spellEnd"/>
      <w:r w:rsidRPr="0078762E">
        <w:t xml:space="preserve">, Odessa e </w:t>
      </w:r>
      <w:proofErr w:type="spellStart"/>
      <w:r w:rsidRPr="0078762E">
        <w:t>Zaporíjia</w:t>
      </w:r>
      <w:proofErr w:type="spellEnd"/>
      <w:r w:rsidRPr="0078762E">
        <w:t>, o que resultou num número significativo de vítimas civis e na destruição generalizada de zonas residenciais</w:t>
      </w:r>
      <w:r w:rsidR="0074367C" w:rsidRPr="0078762E">
        <w:t>; considerando que</w:t>
      </w:r>
      <w:r w:rsidRPr="0078762E">
        <w:t>, ao longo do mês de abril de 2026, a Rússia lançou um número sem precedentes de ataques contra a Ucrânia, matando pelo menos 75 civis e ferindo mais de 400 pessoas</w:t>
      </w:r>
      <w:r w:rsidR="0074367C" w:rsidRPr="0078762E">
        <w:t>; considerando que</w:t>
      </w:r>
      <w:r w:rsidRPr="0078762E">
        <w:t>, de acordo com o Alto</w:t>
      </w:r>
      <w:r w:rsidRPr="0078762E">
        <w:noBreakHyphen/>
        <w:t>Comissariado das Nações Unidas para os Direitos Humanos (ACDH), mais de 15 500 civis foram mortos e mais de 43 000 ficaram feridos desde 24 de fevereiro de 2022, estimando</w:t>
      </w:r>
      <w:r w:rsidRPr="0078762E">
        <w:noBreakHyphen/>
        <w:t>se que os números reais sejam bastante mais elevados;</w:t>
      </w:r>
    </w:p>
    <w:p w14:paraId="038BE905" w14:textId="2E955F78" w:rsidR="00441BDE" w:rsidRPr="0078762E" w:rsidRDefault="00441BDE" w:rsidP="00441BDE">
      <w:pPr>
        <w:pStyle w:val="NormalHanging12a"/>
      </w:pPr>
      <w:r w:rsidRPr="0078762E">
        <w:t>D.</w:t>
      </w:r>
      <w:r w:rsidRPr="0078762E">
        <w:tab/>
        <w:t>Considerando que, de acordo com a UNICEF, mais de 3 200 crianças ucranianas foram mortas ou ficaram feridas, mais de um terço das crianças ucranianas continuam deslocadas e milhares de escolas e estabelecimentos de ensino foram danificados ou destruídos, o que impede que uma em cada três crianças possa frequentar de forma presencial a escola a tempo inteiro</w:t>
      </w:r>
      <w:r w:rsidR="0074367C" w:rsidRPr="0078762E">
        <w:t>; considerando que</w:t>
      </w:r>
      <w:r w:rsidRPr="0078762E">
        <w:t>, em março de 2026, a Comissão de Inquérito Internacional Independente das Nações Unidas sobre a Ucrânia concluiu que as autoridades russas tinham cometido crimes contra a humanidade e crimes de guerra sob a forma de deportação, transferência forçada e desaparecimento forçado de crianças ucranianas</w:t>
      </w:r>
      <w:r w:rsidR="0074367C" w:rsidRPr="0078762E">
        <w:t>; considerando que</w:t>
      </w:r>
      <w:r w:rsidRPr="0078762E">
        <w:t xml:space="preserve"> a UE tem apelado repetidamente à Rússia e à Bielorrússia para que garantam o regresso seguro e incondicional à Ucrânia de todas as crianças e de outros civis ucranianos que tenham sido deportados ou transferidos</w:t>
      </w:r>
      <w:r w:rsidR="0074367C" w:rsidRPr="0078762E">
        <w:t>; considerando que</w:t>
      </w:r>
      <w:r w:rsidRPr="0078762E">
        <w:t xml:space="preserve"> as crianças repatriadas afirmam ter sido alvo de tentativas de «reeducação» por parte das autoridades russas, destinadas a apagar a sua identidade ucraniana;</w:t>
      </w:r>
    </w:p>
    <w:p w14:paraId="29770F4D" w14:textId="77777777" w:rsidR="00441BDE" w:rsidRPr="0078762E" w:rsidRDefault="00441BDE" w:rsidP="00441BDE">
      <w:pPr>
        <w:pStyle w:val="NormalHanging12a"/>
      </w:pPr>
      <w:r w:rsidRPr="0078762E">
        <w:t>E.</w:t>
      </w:r>
      <w:r w:rsidRPr="0078762E">
        <w:tab/>
        <w:t>Considerando que, desde 24 de fevereiro de 2022, a Organização Mundial da Saúde documentou pelo menos 2 881 ataques contra profissionais de saúde, instalações de cuidados de saúde, ambulâncias e armazéns médicos por toda a Ucrânia;</w:t>
      </w:r>
    </w:p>
    <w:p w14:paraId="5792D670" w14:textId="337C5523" w:rsidR="00441BDE" w:rsidRPr="0078762E" w:rsidRDefault="00441BDE" w:rsidP="00441BDE">
      <w:pPr>
        <w:pStyle w:val="NormalHanging12a"/>
        <w:rPr>
          <w:bCs/>
        </w:rPr>
      </w:pPr>
      <w:r w:rsidRPr="0078762E">
        <w:t>F.</w:t>
      </w:r>
      <w:r w:rsidRPr="0078762E">
        <w:tab/>
        <w:t>Considerando que a Assembleia Geral das Nações Unidas reconheceu que a Rússia deve ser responsabilizada por todas as violações do direito internacional na Ucrânia ou contra a Ucrânia e deve arcar com as consequências jurídicas dos seus atos internacionalmente ilícitos, em particular a reparação dos danos causados por esses atos</w:t>
      </w:r>
      <w:r w:rsidR="0074367C" w:rsidRPr="0078762E">
        <w:t xml:space="preserve">; </w:t>
      </w:r>
      <w:r w:rsidR="0074367C" w:rsidRPr="0078762E">
        <w:lastRenderedPageBreak/>
        <w:t>considerando que</w:t>
      </w:r>
      <w:r w:rsidRPr="0078762E">
        <w:t xml:space="preserve"> a Assembleia Geral das Nações Unidas reconheceu igualmente a necessidade de criar um mecanismo internacional de reparação dos danos, perdas ou prejuízos resultantes dos atos internacionalmente ilícitos cometidos pela Federação da Rússia;</w:t>
      </w:r>
    </w:p>
    <w:p w14:paraId="37395BE2" w14:textId="0310E4DA" w:rsidR="00441BDE" w:rsidRPr="0078762E" w:rsidRDefault="00441BDE" w:rsidP="00441BDE">
      <w:pPr>
        <w:pStyle w:val="NormalHanging12a"/>
      </w:pPr>
      <w:r w:rsidRPr="0078762E">
        <w:t>G.</w:t>
      </w:r>
      <w:r w:rsidRPr="0078762E">
        <w:tab/>
        <w:t xml:space="preserve">Considerando que, em março de 2023, o Tribunal Penal Internacional emitiu mandados de detenção contra Vladimir Putin e Maria </w:t>
      </w:r>
      <w:proofErr w:type="spellStart"/>
      <w:r w:rsidRPr="0078762E">
        <w:t>Lvova</w:t>
      </w:r>
      <w:r w:rsidRPr="0078762E">
        <w:noBreakHyphen/>
        <w:t>Belova</w:t>
      </w:r>
      <w:proofErr w:type="spellEnd"/>
      <w:r w:rsidRPr="0078762E">
        <w:t xml:space="preserve"> pelo crime de guerra de deportação e transferência ilegais de crianças ucranianas</w:t>
      </w:r>
      <w:r w:rsidR="0074367C" w:rsidRPr="0078762E">
        <w:t>; considerando que</w:t>
      </w:r>
      <w:r w:rsidRPr="0078762E">
        <w:t xml:space="preserve">, posteriormente, o tribunal emitiu mandados contra quatro altos responsáveis militares russos </w:t>
      </w:r>
      <w:r w:rsidR="0074367C" w:rsidRPr="0078762E">
        <w:t xml:space="preserve">– </w:t>
      </w:r>
      <w:proofErr w:type="spellStart"/>
      <w:r w:rsidRPr="0078762E">
        <w:t>Viktor</w:t>
      </w:r>
      <w:proofErr w:type="spellEnd"/>
      <w:r w:rsidRPr="0078762E">
        <w:t xml:space="preserve"> </w:t>
      </w:r>
      <w:proofErr w:type="spellStart"/>
      <w:r w:rsidRPr="0078762E">
        <w:t>Sokolov</w:t>
      </w:r>
      <w:proofErr w:type="spellEnd"/>
      <w:r w:rsidRPr="0078762E">
        <w:t xml:space="preserve">, </w:t>
      </w:r>
      <w:proofErr w:type="spellStart"/>
      <w:r w:rsidRPr="0078762E">
        <w:t>Sergey</w:t>
      </w:r>
      <w:proofErr w:type="spellEnd"/>
      <w:r w:rsidRPr="0078762E">
        <w:t xml:space="preserve"> </w:t>
      </w:r>
      <w:proofErr w:type="spellStart"/>
      <w:r w:rsidRPr="0078762E">
        <w:t>Kobylash</w:t>
      </w:r>
      <w:proofErr w:type="spellEnd"/>
      <w:r w:rsidRPr="0078762E">
        <w:t xml:space="preserve">, Sergei </w:t>
      </w:r>
      <w:proofErr w:type="spellStart"/>
      <w:r w:rsidRPr="0078762E">
        <w:t>Shoigu</w:t>
      </w:r>
      <w:proofErr w:type="spellEnd"/>
      <w:r w:rsidRPr="0078762E">
        <w:t xml:space="preserve"> e </w:t>
      </w:r>
      <w:proofErr w:type="spellStart"/>
      <w:r w:rsidRPr="0078762E">
        <w:t>Valery</w:t>
      </w:r>
      <w:proofErr w:type="spellEnd"/>
      <w:r w:rsidRPr="0078762E">
        <w:t xml:space="preserve"> </w:t>
      </w:r>
      <w:proofErr w:type="spellStart"/>
      <w:r w:rsidRPr="0078762E">
        <w:t>Gerasimov</w:t>
      </w:r>
      <w:proofErr w:type="spellEnd"/>
      <w:r w:rsidRPr="0078762E">
        <w:t xml:space="preserve"> </w:t>
      </w:r>
      <w:r w:rsidR="0074367C" w:rsidRPr="0078762E">
        <w:t xml:space="preserve">–, </w:t>
      </w:r>
      <w:r w:rsidRPr="0078762E">
        <w:t>acusados de ordenar ataques contra alvos civis e de crimes contra a humanidade;</w:t>
      </w:r>
    </w:p>
    <w:p w14:paraId="2E86B4BC" w14:textId="78EBEB4A" w:rsidR="00441BDE" w:rsidRPr="0078762E" w:rsidRDefault="00441BDE" w:rsidP="00441BDE">
      <w:pPr>
        <w:pStyle w:val="NormalHanging12a"/>
      </w:pPr>
      <w:r w:rsidRPr="0078762E">
        <w:t>H.</w:t>
      </w:r>
      <w:r w:rsidRPr="0078762E">
        <w:tab/>
        <w:t>Considerando que a Rússia atacou e danificou sistematicamente mais de 1 700 sítios do património cultural ucraniano e mais de 2 500 bens que fazem parte de infraestruturas culturais, incluindo museus e arquivos, em violação da Convenção da Haia de 1954 para a Proteção dos Bens Culturais em caso de Conflito Armado</w:t>
      </w:r>
      <w:r w:rsidR="0074367C" w:rsidRPr="0078762E">
        <w:t>; considerando que</w:t>
      </w:r>
      <w:r w:rsidRPr="0078762E">
        <w:t xml:space="preserve"> a UNESCO registou danos em mais de 500 sítios classificados como património cultural, nomeadamente em resultado de repetidos ataques russos com mísseis e </w:t>
      </w:r>
      <w:proofErr w:type="spellStart"/>
      <w:r w:rsidRPr="0078762E">
        <w:t>drones</w:t>
      </w:r>
      <w:proofErr w:type="spellEnd"/>
      <w:r w:rsidR="0074367C" w:rsidRPr="0078762E">
        <w:t>; considerando que</w:t>
      </w:r>
      <w:r w:rsidRPr="0078762E">
        <w:t>, entre estes, figuram locais de valor universal excecional, nomeadamente a Catedral de Santa Sofia, em Kiev, e o centro histórico de Odessa, estando este último inscrito na lista do património mundial em perigo como consequência direta da guerra de agressão da Rússia</w:t>
      </w:r>
      <w:r w:rsidR="0074367C" w:rsidRPr="0078762E">
        <w:t>; considerando que</w:t>
      </w:r>
      <w:r w:rsidRPr="0078762E">
        <w:t xml:space="preserve"> a destruição deliberada da identidade cultural constitui uma dimensão adicional dos danos infligidos ao povo ucraniano;</w:t>
      </w:r>
    </w:p>
    <w:p w14:paraId="00D05CA7" w14:textId="77EC87A2" w:rsidR="00441BDE" w:rsidRPr="0078762E" w:rsidRDefault="00441BDE" w:rsidP="00441BDE">
      <w:pPr>
        <w:pStyle w:val="NormalHanging12a"/>
      </w:pPr>
      <w:r w:rsidRPr="0078762E">
        <w:t>I.</w:t>
      </w:r>
      <w:r w:rsidRPr="0078762E">
        <w:tab/>
        <w:t xml:space="preserve">Considerando que a utilização continuada de mísseis e </w:t>
      </w:r>
      <w:proofErr w:type="spellStart"/>
      <w:r w:rsidRPr="0078762E">
        <w:t>drones</w:t>
      </w:r>
      <w:proofErr w:type="spellEnd"/>
      <w:r w:rsidRPr="0078762E">
        <w:t xml:space="preserve"> pela Rússia na proximidade de instalações nucleares na Ucrânia </w:t>
      </w:r>
      <w:r w:rsidR="0074367C" w:rsidRPr="0078762E">
        <w:t xml:space="preserve">– </w:t>
      </w:r>
      <w:r w:rsidRPr="0078762E">
        <w:t xml:space="preserve">incluindo a zona de exclusão de Chernobil, onde foram infligidos danos graves ao novo confinamento de segurança da central nuclear </w:t>
      </w:r>
      <w:r w:rsidR="0074367C" w:rsidRPr="0078762E">
        <w:t xml:space="preserve">– </w:t>
      </w:r>
      <w:r w:rsidRPr="0078762E">
        <w:t>representa um risco grave e contínuo para a segurança nuclear intrínseca e extrínseca;</w:t>
      </w:r>
    </w:p>
    <w:p w14:paraId="547F29AA" w14:textId="77777777" w:rsidR="00441BDE" w:rsidRPr="0078762E" w:rsidRDefault="00441BDE" w:rsidP="00441BDE">
      <w:pPr>
        <w:pStyle w:val="NormalHanging12a"/>
      </w:pPr>
      <w:r w:rsidRPr="0078762E">
        <w:t>J.</w:t>
      </w:r>
      <w:r w:rsidRPr="0078762E">
        <w:tab/>
        <w:t>Considerando que a UE reafirmou a sua determinação de garantir a plena prestação de contas pelos crimes de guerra e por outros crimes muito graves, pediu a realização de esforços persistentes no sentido de pôr em marcha o Tribunal Especial para o Crime de Agressão contra a Ucrânia e contribuiu igualmente com 10 milhões de euros para financiar uma equipa avançada que preparará as bases institucionais, logísticas e organizacionais desse tribunal;</w:t>
      </w:r>
    </w:p>
    <w:p w14:paraId="2D6E450A" w14:textId="01D2516C" w:rsidR="00441BDE" w:rsidRPr="0078762E" w:rsidRDefault="00441BDE" w:rsidP="00441BDE">
      <w:pPr>
        <w:pStyle w:val="NormalHanging12a"/>
      </w:pPr>
      <w:r w:rsidRPr="0078762E">
        <w:t>K.</w:t>
      </w:r>
      <w:r w:rsidRPr="0078762E">
        <w:tab/>
        <w:t>Considerando que, em 16 de dezembro de 2025, a UE assinou a Convenção do Conselho da Europa que cria uma Comissão Internacional de Pedidos de Indemnização para a Ucrânia, com vista a permitir a indemnização das vítimas civis</w:t>
      </w:r>
      <w:r w:rsidR="0074367C" w:rsidRPr="0078762E">
        <w:t>; considerando que</w:t>
      </w:r>
      <w:r w:rsidRPr="0078762E">
        <w:t xml:space="preserve"> a Comissão Internacional de Pedidos de Indemnização para a Ucrânia deverá ser inaugurada à margem da 135.ª sessão do Comité de Ministros do Conselho da Europa, em </w:t>
      </w:r>
      <w:proofErr w:type="spellStart"/>
      <w:r w:rsidRPr="0078762E">
        <w:t>Quixinau</w:t>
      </w:r>
      <w:proofErr w:type="spellEnd"/>
      <w:r w:rsidRPr="0078762E">
        <w:t>, em 14 de maio de 2026</w:t>
      </w:r>
      <w:r w:rsidR="0074367C" w:rsidRPr="0078762E">
        <w:t>; considerando que</w:t>
      </w:r>
      <w:r w:rsidRPr="0078762E">
        <w:t xml:space="preserve"> o Registo de Danos, criado em 2023, serve de registo dos pedidos elegíveis de indemnização por danos infligidos pela Rússia e tem sido um instrumento essencial para garantir que a Ucrânia e os seus cidadãos possam obter reparação ao abrigo do direito internacional;</w:t>
      </w:r>
    </w:p>
    <w:p w14:paraId="7A5B4D3F" w14:textId="77777777" w:rsidR="00441BDE" w:rsidRPr="0078762E" w:rsidRDefault="00441BDE" w:rsidP="00441BDE">
      <w:pPr>
        <w:pStyle w:val="NormalHanging12a"/>
      </w:pPr>
      <w:r w:rsidRPr="0078762E">
        <w:t>L.</w:t>
      </w:r>
      <w:r w:rsidRPr="0078762E">
        <w:tab/>
        <w:t xml:space="preserve">Considerando que, no seu Acórdão de 9 de julho de 2025 no processo Ucrânia e Países Baixos/Rússia, o Tribunal Europeu dos Direitos Humanos considerou que a Rússia é responsável por violações generalizadas e flagrantes dos direitos humanos, em violação da Convenção Europeia dos Direitos Humanos, no contexto do conflito que teve início </w:t>
      </w:r>
      <w:r w:rsidRPr="0078762E">
        <w:lastRenderedPageBreak/>
        <w:t>no leste da Ucrânia em 2014, onde se inclui o abate do voo MH17 em julho de 2014;</w:t>
      </w:r>
    </w:p>
    <w:p w14:paraId="1BAF6812" w14:textId="7C8A3AA7" w:rsidR="00441BDE" w:rsidRPr="0078762E" w:rsidRDefault="00441BDE" w:rsidP="00441BDE">
      <w:pPr>
        <w:pStyle w:val="NormalHanging12a"/>
      </w:pPr>
      <w:r w:rsidRPr="0078762E">
        <w:t>M.</w:t>
      </w:r>
      <w:r w:rsidRPr="0078762E">
        <w:tab/>
        <w:t>Considerando que qualquer futuro cessar</w:t>
      </w:r>
      <w:r w:rsidRPr="0078762E">
        <w:noBreakHyphen/>
        <w:t>fogo ou processo de paz não deve entravar, atrasar ou comprometer os processos de prestação de contas atuais e futuros</w:t>
      </w:r>
      <w:r w:rsidR="0074367C" w:rsidRPr="0078762E">
        <w:t>; considerando que</w:t>
      </w:r>
      <w:r w:rsidRPr="0078762E">
        <w:t xml:space="preserve"> a prestação de contas e a paz são imperativos que se reforçam mutuamente ao abrigo do direito internacional;</w:t>
      </w:r>
    </w:p>
    <w:p w14:paraId="33382985" w14:textId="77777777" w:rsidR="00441BDE" w:rsidRPr="0078762E" w:rsidRDefault="00441BDE" w:rsidP="00441BDE">
      <w:pPr>
        <w:pStyle w:val="NormalHanging12a"/>
      </w:pPr>
      <w:r w:rsidRPr="0078762E">
        <w:t>1.</w:t>
      </w:r>
      <w:r w:rsidRPr="0078762E">
        <w:tab/>
        <w:t>Torna a condenar, com a maior veemência possível, a guerra brutal de agressão da Rússia contra a Ucrânia, incluindo os ataques deliberados contra zonas residenciais e infraestruturas civis e críticas, e repudia veementemente os recentes ataques cruéis perpetrados pela Rússia contra civis, em abril de 2026;</w:t>
      </w:r>
    </w:p>
    <w:p w14:paraId="0C9DA8E3" w14:textId="77777777" w:rsidR="00441BDE" w:rsidRPr="0078762E" w:rsidRDefault="00441BDE" w:rsidP="00441BDE">
      <w:pPr>
        <w:pStyle w:val="NormalHanging12a"/>
      </w:pPr>
      <w:r w:rsidRPr="0078762E">
        <w:t>2.</w:t>
      </w:r>
      <w:r w:rsidRPr="0078762E">
        <w:tab/>
        <w:t>Exige uma vez mais que a Rússia cesse de forma imediata, total e incondicional os seus ataques contra civis e infraestruturas civis, retire todas as forças militares do território internacionalmente reconhecido da Ucrânia, ponha termo às deportações forçadas e adoções ilegais, ponha fim à utilização de atos de tortura e de tratamento desumano, e liberte todos os civis detidos, raptados e adotados ilegalmente e permita o seu regresso;</w:t>
      </w:r>
    </w:p>
    <w:p w14:paraId="1764D094" w14:textId="77777777" w:rsidR="00441BDE" w:rsidRPr="0078762E" w:rsidRDefault="00441BDE" w:rsidP="00441BDE">
      <w:pPr>
        <w:pStyle w:val="NormalHanging12a"/>
      </w:pPr>
      <w:r w:rsidRPr="0078762E">
        <w:t>3.</w:t>
      </w:r>
      <w:r w:rsidRPr="0078762E">
        <w:tab/>
        <w:t>Reafirma a sua solidariedade inabalável com o corajoso povo da Ucrânia e o seu apoio à independência, à soberania e à integridade territorial da Ucrânia dentro das suas fronteiras internacionalmente reconhecidas, e sublinha o direito inerente de legítima defesa da Ucrânia ao abrigo do artigo 51.º da Carta das Nações Unidas;</w:t>
      </w:r>
    </w:p>
    <w:p w14:paraId="11A27584" w14:textId="77777777" w:rsidR="00441BDE" w:rsidRPr="0078762E" w:rsidRDefault="00441BDE" w:rsidP="00441BDE">
      <w:pPr>
        <w:pStyle w:val="NormalHanging12a"/>
      </w:pPr>
      <w:r w:rsidRPr="0078762E">
        <w:t>4.</w:t>
      </w:r>
      <w:r w:rsidRPr="0078762E">
        <w:tab/>
        <w:t>Sublinha que a guerra de agressão da Rússia constitui uma violação flagrante do direito internacional e da Carta das Nações Unidas, bem como um ataque sem precedentes à segurança europeia; sublinha que os dirigentes da Rússia e os seus aliados devem ser responsabilizados pelo seu papel no crime de agressão, nos crimes de guerra, nos crimes contra a humanidade e noutros crimes internacionais;</w:t>
      </w:r>
    </w:p>
    <w:p w14:paraId="7A0EA183" w14:textId="570726C0" w:rsidR="00791461" w:rsidRPr="0078762E" w:rsidRDefault="00227B59" w:rsidP="00441BDE">
      <w:pPr>
        <w:pStyle w:val="NormalHanging12a"/>
      </w:pPr>
      <w:r w:rsidRPr="0078762E">
        <w:t>5.</w:t>
      </w:r>
      <w:r w:rsidR="00791461" w:rsidRPr="0078762E">
        <w:tab/>
        <w:t xml:space="preserve">Observa com grande preocupação que o Estado russo e o seu antecessor, a União Soviética, nunca foram responsabilizados pelos seus crimes, incluindo o massacre de </w:t>
      </w:r>
      <w:proofErr w:type="spellStart"/>
      <w:r w:rsidR="00791461" w:rsidRPr="0078762E">
        <w:t>Katyn</w:t>
      </w:r>
      <w:proofErr w:type="spellEnd"/>
      <w:r w:rsidR="00791461" w:rsidRPr="0078762E">
        <w:t xml:space="preserve"> – cuja verdade histórica Moscovo procura, uma vez mais, distorcer em contradição direta com as provas estabelecidas e com o que tinha admitido anteriormente – e a deportação maciça de nações inteiras para a Sibéria, consolidando assim uma cultura de impunidade que continuou com os crimes de guerra cometidos durante a primeira e a segunda guerras da Chechénia, passando pela agressão russa contra a Geórgia em 2008, pela sua intervenção militar na Síria e, desde 2014, na Ucrânia, e que continua a permitir a perpetração de novas atrocidades; considera que a permanente glorificação de figuras como o célebre fundador do aparelho de segurança soviético e arquiteto do terror do Estado, </w:t>
      </w:r>
      <w:proofErr w:type="spellStart"/>
      <w:r w:rsidR="00791461" w:rsidRPr="0078762E">
        <w:t>Felix</w:t>
      </w:r>
      <w:proofErr w:type="spellEnd"/>
      <w:r w:rsidR="00791461" w:rsidRPr="0078762E">
        <w:t xml:space="preserve"> </w:t>
      </w:r>
      <w:proofErr w:type="spellStart"/>
      <w:r w:rsidR="00791461" w:rsidRPr="0078762E">
        <w:t>Dzerzhinsky</w:t>
      </w:r>
      <w:proofErr w:type="spellEnd"/>
      <w:r w:rsidR="00791461" w:rsidRPr="0078762E">
        <w:t>, incluindo a recente decisão de dar o seu nome à academia do Serviço Federal de Segurança, e a negação sistemática, a distorção e mesmo a justificação dos crimes cometidos pela União Soviética contra os povos ocupados e os que habitam o território da atual Federação da Rússia constituem uma perpetuação explícita desta cultura de impunidade e dão uma indicação clara dos valores defendidos pelos que se encontram em posições de poder na Rússia; considera, por conseguinte, que a brutalidade perpetrada pela Rússia na Ucrânia, impulsionada pelos dirigentes políticos e pelas mais altas estruturas militares, com o apoio de segmentos significativos da sociedade, é de natureza sistémica e reflete uma política imperialista profundamente enraizada, indissociável da violência, da repressão e do derramamento de sangue; alerta para o facto de que, a menos que se garanta agora uma responsabilização decisiva e executória, qualquer expectativa de mudança futura seria não só infundada, mas perigosamente ingénua;</w:t>
      </w:r>
    </w:p>
    <w:p w14:paraId="208301D3" w14:textId="65BA2629" w:rsidR="00441BDE" w:rsidRPr="0078762E" w:rsidRDefault="00227B59" w:rsidP="00441BDE">
      <w:pPr>
        <w:pStyle w:val="NormalHanging12a"/>
      </w:pPr>
      <w:r w:rsidRPr="0078762E">
        <w:lastRenderedPageBreak/>
        <w:t>6</w:t>
      </w:r>
      <w:r w:rsidR="00441BDE" w:rsidRPr="0078762E">
        <w:t>.</w:t>
      </w:r>
      <w:r w:rsidR="00441BDE" w:rsidRPr="0078762E">
        <w:tab/>
        <w:t>Lamenta que os esforços internacionais ainda não tenham sido suficientes para pôr termo à agressão da Rússia; exorta a UE, os seus Estados</w:t>
      </w:r>
      <w:r w:rsidR="00441BDE" w:rsidRPr="0078762E">
        <w:noBreakHyphen/>
        <w:t>Membros e os seus parceiros a intensificarem a pressão sobre a Rússia e a aumentarem drasticamente o seu apoio militar à Ucrânia, em especial no domínio da defesa aérea e das capacidades de ataque em profundidade, a fim de proteger a população civil e as infraestruturas críticas da Ucrânia;</w:t>
      </w:r>
    </w:p>
    <w:p w14:paraId="5CE9D052" w14:textId="3156E0BE" w:rsidR="00441BDE" w:rsidRPr="0078762E" w:rsidRDefault="00227B59" w:rsidP="00441BDE">
      <w:pPr>
        <w:pStyle w:val="NormalHanging12a"/>
      </w:pPr>
      <w:r w:rsidRPr="0078762E">
        <w:t>7</w:t>
      </w:r>
      <w:r w:rsidR="00441BDE" w:rsidRPr="0078762E">
        <w:t>.</w:t>
      </w:r>
      <w:r w:rsidR="00441BDE" w:rsidRPr="0078762E">
        <w:tab/>
        <w:t>Louva o trabalho da Comissão de Inquérito Internacional Independente das Nações Unidas sobre a Ucrânia na investigação de alegadas violações e abusos dos direitos humanos, violações do direito internacional humanitário e crimes conexos, e congratula</w:t>
      </w:r>
      <w:r w:rsidR="00441BDE" w:rsidRPr="0078762E">
        <w:noBreakHyphen/>
        <w:t>se com a prorrogação do seu mandato; rejeita com firmeza as alegações da Rússia de que visa exclusivamente objetivos militares; recorda as conclusões da Comissão de Inquérito de que as forças russas têm visado sistematicamente civis e bens civis;</w:t>
      </w:r>
    </w:p>
    <w:p w14:paraId="10E9BD5F" w14:textId="6CF89770" w:rsidR="00441BDE" w:rsidRPr="0078762E" w:rsidRDefault="00227B59" w:rsidP="00441BDE">
      <w:pPr>
        <w:pStyle w:val="NormalHanging12a"/>
      </w:pPr>
      <w:r w:rsidRPr="0078762E">
        <w:t>8</w:t>
      </w:r>
      <w:r w:rsidR="00441BDE" w:rsidRPr="0078762E">
        <w:t>.</w:t>
      </w:r>
      <w:r w:rsidR="00441BDE" w:rsidRPr="0078762E">
        <w:tab/>
        <w:t>Apoia a criação e a rápida entrada em funcionamento do Tribunal Especial para o crime de agressão contra a Ucrânia, e apela a todos os Estados</w:t>
      </w:r>
      <w:r w:rsidR="00441BDE" w:rsidRPr="0078762E">
        <w:noBreakHyphen/>
        <w:t>Membros da UE para que a ele adiram; congratula</w:t>
      </w:r>
      <w:r w:rsidR="00441BDE" w:rsidRPr="0078762E">
        <w:noBreakHyphen/>
        <w:t>se com o compromisso dos Países Baixos de acolher a sede do Tribunal Especial numa fase inicial e pede que sejam redobrados os esforços para ultimar a proposta relativa ao acolhimento da sede numa segunda fase; solicita à UE e aos seus Estados</w:t>
      </w:r>
      <w:r w:rsidR="00441BDE" w:rsidRPr="0078762E">
        <w:noBreakHyphen/>
        <w:t>Membros que continuem a apoiar a criação do Tribunal Especial para o Crime de Agressão contra a Ucrânia, que pugnem por que comece a funcionar com a maior brevidade possível e que o promovam no plano internacional de modo que colija um apoio mais amplo;</w:t>
      </w:r>
    </w:p>
    <w:p w14:paraId="7212A858" w14:textId="17D6894B" w:rsidR="00441BDE" w:rsidRPr="0078762E" w:rsidRDefault="00227B59" w:rsidP="00441BDE">
      <w:pPr>
        <w:pStyle w:val="NormalHanging12a"/>
        <w:rPr>
          <w:bCs/>
        </w:rPr>
      </w:pPr>
      <w:r w:rsidRPr="0078762E">
        <w:t>9</w:t>
      </w:r>
      <w:r w:rsidR="00441BDE" w:rsidRPr="0078762E">
        <w:t>.</w:t>
      </w:r>
      <w:r w:rsidR="00441BDE" w:rsidRPr="0078762E">
        <w:tab/>
        <w:t>Elogia o papel crucial desempenhado pela Eurojust e pela sua equipa de investigação conjunta na tarefa de garantir que os responsáveis pela prática de crimes na Ucrânia respondam em tribunal pelos seus atos; pede à Comissão que garanta um financiamento duradouro a favor do Centro Internacional de Ação Penal pelo Crime de Agressão contra a Ucrânia além de dezembro de 2026 e que vele por que todos os elementos de prova recolhidos sejam plenamente transferíveis para o futuro Tribunal Especial;</w:t>
      </w:r>
    </w:p>
    <w:p w14:paraId="50D13912" w14:textId="1C5DC16A" w:rsidR="00441BDE" w:rsidRPr="0078762E" w:rsidRDefault="00227B59" w:rsidP="00441BDE">
      <w:pPr>
        <w:pStyle w:val="NormalHanging12a"/>
      </w:pPr>
      <w:r w:rsidRPr="0078762E">
        <w:t>10</w:t>
      </w:r>
      <w:r w:rsidR="00441BDE" w:rsidRPr="0078762E">
        <w:t>.</w:t>
      </w:r>
      <w:r w:rsidR="00441BDE" w:rsidRPr="0078762E">
        <w:tab/>
        <w:t>Enaltece as organizações da sociedade civil ucranianas e internacionais que documentam os crimes de guerra da Rússia na Ucrânia e prestam apoio às vítimas e testemunhas; congratula</w:t>
      </w:r>
      <w:r w:rsidR="00441BDE" w:rsidRPr="0078762E">
        <w:noBreakHyphen/>
        <w:t>se com o apoio sustentado prestado pela Missão de Aconselhamento da UE sobre a Reforma do Setor da Segurança Civil na Ucrânia, separadamente e no âmbito do Grupo Consultivo sobre Atrocidades, que desempenha um papel vital no reforço dos mecanismos de responsabilização;</w:t>
      </w:r>
    </w:p>
    <w:p w14:paraId="0587402F" w14:textId="53D1B7B4" w:rsidR="00441BDE" w:rsidRPr="0078762E" w:rsidRDefault="00227B59" w:rsidP="00441BDE">
      <w:pPr>
        <w:pStyle w:val="NormalHanging12a"/>
      </w:pPr>
      <w:r w:rsidRPr="0078762E">
        <w:t>11</w:t>
      </w:r>
      <w:r w:rsidR="00441BDE" w:rsidRPr="0078762E">
        <w:t>.</w:t>
      </w:r>
      <w:r w:rsidR="00441BDE" w:rsidRPr="0078762E">
        <w:tab/>
        <w:t>Salienta que a prestação de contas deve ser alargada a todas as pessoas que estejam em posição de ordenar ou viabilizar a prática do crime de agressão, incluindo os altos funcionários políticos, militares e judiciais; sublinha, a este respeito, que essa prestação de contas deve também abranger os juízes do Tribunal Constitucional da Federação da Rússia e os membros da Duma, cujas decisões permitiram legitimar a anexação de territórios ucranianos, contribuindo assim diretamente para viabilizar o crime de agressão, atribuindo prioridade aos principais responsáveis;</w:t>
      </w:r>
    </w:p>
    <w:p w14:paraId="30B5F9FB" w14:textId="2F815713" w:rsidR="00441BDE" w:rsidRPr="0078762E" w:rsidRDefault="00227B59" w:rsidP="00441BDE">
      <w:pPr>
        <w:pStyle w:val="NormalHanging12a"/>
      </w:pPr>
      <w:r w:rsidRPr="0078762E">
        <w:t>12</w:t>
      </w:r>
      <w:r w:rsidR="00441BDE" w:rsidRPr="0078762E">
        <w:t>.</w:t>
      </w:r>
      <w:r w:rsidR="00441BDE" w:rsidRPr="0078762E">
        <w:tab/>
        <w:t>Manifesta o seu total apoio à investigação do Tribunal Penal Internacional sobre as alegações de crimes de guerra, crimes contra a humanidade ou genocídio cometidos na Ucrânia; recorda a obrigação dos Estados</w:t>
      </w:r>
      <w:r w:rsidR="00441BDE" w:rsidRPr="0078762E">
        <w:noBreakHyphen/>
        <w:t xml:space="preserve">Membros, nos termos do Estatuto de Roma, de deter e entregar quaisquer pessoas em relação às quais o Tribunal Penal Internacional tenha emitido um mandado de detenção e que entrem no seu território; manifesta </w:t>
      </w:r>
      <w:r w:rsidR="00441BDE" w:rsidRPr="0078762E">
        <w:lastRenderedPageBreak/>
        <w:t>profunda preocupação com as sanções impostas pelos Estados Unidos ao Tribunal Penal Internacional e aos seus procuradores, juízes e pessoal, que comprometem todo o seu trabalho de investigação e ação penal em curso e constituem um grave ataque ao sistema de justiça internacional; insta a Comissão a ativar, com caráter de urgência, o Estatuto de Bloqueio, e solicita aos Estados</w:t>
      </w:r>
      <w:r w:rsidR="00441BDE" w:rsidRPr="0078762E">
        <w:noBreakHyphen/>
        <w:t>Membros que intensifiquem urgentemente os seus esforços diplomáticos no sentido de proteger e salvaguardar o Tribunal Penal Internacional enquanto pedra angular imprescindível do sistema de justiça internacional;</w:t>
      </w:r>
    </w:p>
    <w:p w14:paraId="030134C7" w14:textId="571399B6" w:rsidR="00791461" w:rsidRPr="0078762E" w:rsidRDefault="00227B59" w:rsidP="00441BDE">
      <w:pPr>
        <w:pStyle w:val="NormalHanging12a"/>
      </w:pPr>
      <w:r w:rsidRPr="0078762E">
        <w:t>13.</w:t>
      </w:r>
      <w:r w:rsidR="00791461" w:rsidRPr="0078762E">
        <w:tab/>
        <w:t>Denuncia a exportação pela Rússia de cereais roubados das zonas ocupadas da Ucrânia e sublinha que o seu confisco pode constituir um crime de guerra; apela a uma ação imediata para pôr termo à exportação e ao comércio dos cereais ilegalmente confiscados;</w:t>
      </w:r>
    </w:p>
    <w:p w14:paraId="5043E0C8" w14:textId="0FF62FD9" w:rsidR="00441BDE" w:rsidRPr="0078762E" w:rsidRDefault="00227B59" w:rsidP="00441BDE">
      <w:pPr>
        <w:pStyle w:val="NormalHanging12a"/>
      </w:pPr>
      <w:r w:rsidRPr="0078762E">
        <w:t>14</w:t>
      </w:r>
      <w:r w:rsidR="00441BDE" w:rsidRPr="0078762E">
        <w:t>.</w:t>
      </w:r>
      <w:r w:rsidR="00441BDE" w:rsidRPr="0078762E">
        <w:tab/>
        <w:t>Faz votos por que a UE se torne membro de pleno direito da Comissão Internacional de Pedidos de Indemnização para a Ucrânia; convida os Estados</w:t>
      </w:r>
      <w:r w:rsidR="00441BDE" w:rsidRPr="0078762E">
        <w:noBreakHyphen/>
        <w:t>Membros a concluírem rapidamente todos os procedimentos formais para a sua adesão, viabilizando desse modo o rápido início dos trabalhos da Comissão Internacional de Pedidos de Indemnização;</w:t>
      </w:r>
    </w:p>
    <w:p w14:paraId="57134740" w14:textId="7296574B" w:rsidR="00441BDE" w:rsidRPr="0078762E" w:rsidRDefault="00227B59" w:rsidP="00441BDE">
      <w:pPr>
        <w:pStyle w:val="NormalHanging12a"/>
      </w:pPr>
      <w:r w:rsidRPr="0078762E">
        <w:t>15</w:t>
      </w:r>
      <w:r w:rsidR="00441BDE" w:rsidRPr="0078762E">
        <w:t>.</w:t>
      </w:r>
      <w:r w:rsidR="00441BDE" w:rsidRPr="0078762E">
        <w:tab/>
        <w:t>Sublinha a necessidade de uma coordenação eficaz de todos os mecanismos de responsabilização, a fim de evitar a duplicação de esforços, assegurar a eficiência e reduzir ao mínimo o impacto negativo sobre as vítimas e testemunhas;</w:t>
      </w:r>
    </w:p>
    <w:p w14:paraId="19A13FFD" w14:textId="0C9FD2AF" w:rsidR="00441BDE" w:rsidRPr="0078762E" w:rsidRDefault="00227B59" w:rsidP="00441BDE">
      <w:pPr>
        <w:pStyle w:val="NormalHanging12a"/>
      </w:pPr>
      <w:r w:rsidRPr="0078762E">
        <w:t>16</w:t>
      </w:r>
      <w:r w:rsidR="00441BDE" w:rsidRPr="0078762E">
        <w:t>.</w:t>
      </w:r>
      <w:r w:rsidR="00441BDE" w:rsidRPr="0078762E">
        <w:tab/>
        <w:t>Exorta a Vice</w:t>
      </w:r>
      <w:r w:rsidR="00441BDE" w:rsidRPr="0078762E">
        <w:noBreakHyphen/>
        <w:t>Presidente da Comissão/Alta Representante da União para os Negócios Estrangeiros e a Política de Segurança e a Comissão a estabelecerem uma delegação da UE junto das organizações internacionais situadas na Haia, que atualmente incluem o Tribunal Penal Internacional, o Tribunal Internacional de Justiça e a Organização para a Proibição de Armas Químicas, tendo também por objetivo garantir que a UE participe efetivamente nas importantes novas estruturas internacionais que aí terão a sua sede;</w:t>
      </w:r>
    </w:p>
    <w:p w14:paraId="5A20894D" w14:textId="6A622F8E" w:rsidR="00441BDE" w:rsidRPr="0078762E" w:rsidRDefault="00227B59" w:rsidP="00441BDE">
      <w:pPr>
        <w:pStyle w:val="NormalHanging12a"/>
      </w:pPr>
      <w:r w:rsidRPr="0078762E">
        <w:t>17</w:t>
      </w:r>
      <w:r w:rsidR="00441BDE" w:rsidRPr="0078762E">
        <w:t>.</w:t>
      </w:r>
      <w:r w:rsidR="00441BDE" w:rsidRPr="0078762E">
        <w:tab/>
        <w:t>Saúda a aguardada aprovação, pelo Conselho, de um empréstimo da UE à Ucrânia no valor de 90 mil milhões de euros; espera, em consonância com os esclarecimentos prestados pela Comissão durante a sessão plenária de fevereiro de 2026, que a flexibilidade prevista no pacote de medidas seja devidamente aplicada ao abrigo do regime de derrogações previsto no artigo 13.º, n.º 5, do Regulamento que cria o Empréstimo de Apoio à Ucrânia</w:t>
      </w:r>
      <w:r w:rsidR="00441BDE" w:rsidRPr="0078762E">
        <w:rPr>
          <w:rStyle w:val="FootnoteReference"/>
        </w:rPr>
        <w:footnoteReference w:id="1"/>
      </w:r>
      <w:r w:rsidR="00441BDE" w:rsidRPr="0078762E">
        <w:t xml:space="preserve">; reitera o seu apelo para que sejam encontradas formas legais de utilizar os saldos em caixa associados aos ativos soberanos russos imobilizados ao abrigo das sanções da UE para apoiar a defesa e a reconstrução da Ucrânia, incluindo o pagamento de indemnizações ao abrigo da Comissão Internacional de Pedidos de Indemnização para a Ucrânia, e, entre outras prioridades, para financiar a reparação do novo confinamento de segurança da central nuclear de Chernobil, após os danos provocados por ataques russos com </w:t>
      </w:r>
      <w:proofErr w:type="spellStart"/>
      <w:r w:rsidR="00441BDE" w:rsidRPr="0078762E">
        <w:t>drones</w:t>
      </w:r>
      <w:proofErr w:type="spellEnd"/>
      <w:r w:rsidR="00441BDE" w:rsidRPr="0078762E">
        <w:t>;</w:t>
      </w:r>
    </w:p>
    <w:p w14:paraId="2D403840" w14:textId="58C7964F" w:rsidR="00441BDE" w:rsidRPr="0078762E" w:rsidRDefault="00227B59" w:rsidP="00441BDE">
      <w:pPr>
        <w:pStyle w:val="NormalHanging12a"/>
      </w:pPr>
      <w:r w:rsidRPr="0078762E">
        <w:t>18</w:t>
      </w:r>
      <w:r w:rsidR="00441BDE" w:rsidRPr="0078762E">
        <w:t>.</w:t>
      </w:r>
      <w:r w:rsidR="00441BDE" w:rsidRPr="0078762E">
        <w:tab/>
        <w:t>Congratula</w:t>
      </w:r>
      <w:r w:rsidR="00441BDE" w:rsidRPr="0078762E">
        <w:noBreakHyphen/>
        <w:t xml:space="preserve">se com a adoção do 20.º pacote de sanções contra a Rússia; toma nota da utilização do instrumento </w:t>
      </w:r>
      <w:proofErr w:type="spellStart"/>
      <w:r w:rsidR="00441BDE" w:rsidRPr="0078762E">
        <w:t>antievasão</w:t>
      </w:r>
      <w:proofErr w:type="spellEnd"/>
      <w:r w:rsidR="00441BDE" w:rsidRPr="0078762E">
        <w:t xml:space="preserve"> para bloquear o desvio das exportações de tecnologias sensíveis através de países terceiros; insiste em que não devem ser levantadas sanções antes de um acordo de paz ser negociado e aplicado de forma </w:t>
      </w:r>
      <w:r w:rsidR="00441BDE" w:rsidRPr="0078762E">
        <w:lastRenderedPageBreak/>
        <w:t>duradoura; exorta a UE e os Estados</w:t>
      </w:r>
      <w:r w:rsidR="00441BDE" w:rsidRPr="0078762E">
        <w:noBreakHyphen/>
        <w:t>Membros a combaterem de forma sistemática o problema da evasão às sanções;</w:t>
      </w:r>
    </w:p>
    <w:p w14:paraId="13BAAA99" w14:textId="7BDE3E0C" w:rsidR="00441BDE" w:rsidRPr="0078762E" w:rsidRDefault="00227B59" w:rsidP="00441BDE">
      <w:pPr>
        <w:pStyle w:val="NormalHanging12a"/>
      </w:pPr>
      <w:r w:rsidRPr="0078762E">
        <w:t>19</w:t>
      </w:r>
      <w:r w:rsidR="00441BDE" w:rsidRPr="0078762E">
        <w:t>.</w:t>
      </w:r>
      <w:r w:rsidR="00441BDE" w:rsidRPr="0078762E">
        <w:tab/>
        <w:t>Exorta o Conselho e a Comissão a velarem por que as sanções impostas pela UE contra a Rússia sejam rigorosamente mantidas e alargadas a todas as pessoas e entidades cujas decisões tenham viabilizado ou facilitado a prática de crimes de guerra e de outros crimes graves contra a população civil ucraniana;</w:t>
      </w:r>
    </w:p>
    <w:p w14:paraId="7B2F5DA9" w14:textId="17FF3B09" w:rsidR="00441BDE" w:rsidRPr="0078762E" w:rsidRDefault="00227B59" w:rsidP="00441BDE">
      <w:pPr>
        <w:pStyle w:val="NormalHanging12a"/>
      </w:pPr>
      <w:r w:rsidRPr="0078762E">
        <w:t>20</w:t>
      </w:r>
      <w:r w:rsidR="00441BDE" w:rsidRPr="0078762E">
        <w:t>.</w:t>
      </w:r>
      <w:r w:rsidR="00441BDE" w:rsidRPr="0078762E">
        <w:tab/>
        <w:t>Insta as instituições e organismos da UE, em particular o Serviço Europeu para a Ação Externa, a colaborarem com as autoridades ucranianas e a liderarem uma campanha de comunicação ativa na Europa e em todo o mundo, tendo em vista chamar a atenção para os crimes de guerra cometidos pela Rússia e pelos seus aliados e granjear apoios para que sejam prestadas contas e seja feita justiça;</w:t>
      </w:r>
    </w:p>
    <w:p w14:paraId="6329116E" w14:textId="358898AB" w:rsidR="00441BDE" w:rsidRPr="0078762E" w:rsidRDefault="00227B59" w:rsidP="00441BDE">
      <w:pPr>
        <w:pStyle w:val="NormalHanging12a"/>
      </w:pPr>
      <w:r w:rsidRPr="0078762E">
        <w:t>21</w:t>
      </w:r>
      <w:r w:rsidR="00441BDE" w:rsidRPr="0078762E">
        <w:t>.</w:t>
      </w:r>
      <w:r w:rsidR="00441BDE" w:rsidRPr="0078762E">
        <w:tab/>
        <w:t>Reitera que a deportação ilegal e a transferência forçada de crianças ucranianas constituem uma grave violação do direito internacional humanitário e uma violação profunda dos direitos humanos; congratula</w:t>
      </w:r>
      <w:r w:rsidR="00441BDE" w:rsidRPr="0078762E">
        <w:noBreakHyphen/>
        <w:t>se com a iniciativa da Comissão, juntamente com a Ucrânia e o Canadá, de coorganizar uma reunião de alto nível da Coligação Internacional para o Regresso das Crianças Ucranianas, em Bruxelas, em maio de 2026; exorta os Estados</w:t>
      </w:r>
      <w:r w:rsidR="00441BDE" w:rsidRPr="0078762E">
        <w:noBreakHyphen/>
        <w:t>Membros que ainda não aderiram à Convenção de Istambul a que o façam sem demora;</w:t>
      </w:r>
    </w:p>
    <w:p w14:paraId="398E9EAD" w14:textId="5455AE23" w:rsidR="00441BDE" w:rsidRPr="0078762E" w:rsidRDefault="00227B59" w:rsidP="00441BDE">
      <w:pPr>
        <w:pStyle w:val="NormalHanging12a"/>
      </w:pPr>
      <w:r w:rsidRPr="0078762E">
        <w:t>22</w:t>
      </w:r>
      <w:r w:rsidR="00441BDE" w:rsidRPr="0078762E">
        <w:t>.</w:t>
      </w:r>
      <w:r w:rsidR="00441BDE" w:rsidRPr="0078762E">
        <w:tab/>
        <w:t>Denuncia as tentativas sistemáticas da Rússia de apagar a história, a cultura, a língua e a identidade da Ucrânia; recorda que a destruição causada pela agressão da Rússia continua a ser muito elevada e que, em abril de 2026, os danos diretos causados às infraestruturas culturais e ao património cultural da Ucrânia estão estimados em mais de 4 mil milhões de euros;</w:t>
      </w:r>
    </w:p>
    <w:p w14:paraId="2F6A1409" w14:textId="760662A2" w:rsidR="00441BDE" w:rsidRPr="0078762E" w:rsidRDefault="00227B59" w:rsidP="00441BDE">
      <w:pPr>
        <w:pStyle w:val="NormalHanging12a"/>
      </w:pPr>
      <w:r w:rsidRPr="0078762E">
        <w:t>23</w:t>
      </w:r>
      <w:r w:rsidR="00441BDE" w:rsidRPr="0078762E">
        <w:t>.</w:t>
      </w:r>
      <w:r w:rsidR="00441BDE" w:rsidRPr="0078762E">
        <w:tab/>
        <w:t>Sublinha que a guerra de agressão da Rússia e os ataques contra infraestruturas industriais e energéticas causaram danos graves e duradouros ao ambiente da Ucrânia, incluindo a destruição de ecossistemas e a contaminação da água e dos solos; exorta a UE e os seus Estados</w:t>
      </w:r>
      <w:r w:rsidR="00441BDE" w:rsidRPr="0078762E">
        <w:noBreakHyphen/>
        <w:t>Membros a apoiarem todas as iniciativas destinadas a documentar os danos causados ao ambiente pela guerra travada pela Rússia e a darem respaldo aos esforços destinados a garantir a prestação de contas e a indemnização pelos danos causados;</w:t>
      </w:r>
    </w:p>
    <w:p w14:paraId="138F7829" w14:textId="6E02CC99" w:rsidR="00441BDE" w:rsidRPr="0078762E" w:rsidRDefault="00227B59" w:rsidP="00441BDE">
      <w:pPr>
        <w:pStyle w:val="NormalHanging12a"/>
      </w:pPr>
      <w:r w:rsidRPr="0078762E">
        <w:t>24</w:t>
      </w:r>
      <w:r w:rsidR="00441BDE" w:rsidRPr="0078762E">
        <w:t>.</w:t>
      </w:r>
      <w:r w:rsidR="00441BDE" w:rsidRPr="0078762E">
        <w:tab/>
        <w:t>Reafirma o empenho inabalável da UE em prol da reconstrução da Ucrânia e reitera a sua disponibilidade para contribuir para a reconstrução da economia e das infraestruturas civis e críticas ucranianas; salienta a importância estratégica do Mecanismo para a Ucrânia para o reforço da capacidade de resistência da Ucrânia, a aceleração da sua recuperação e o apoio à sua trajetória rumo ao desenvolvimento sustentável e à adesão à UE;</w:t>
      </w:r>
    </w:p>
    <w:p w14:paraId="02017D0A" w14:textId="7C6FEB36" w:rsidR="0014103F" w:rsidRPr="0078762E" w:rsidRDefault="00227B59" w:rsidP="0014103F">
      <w:pPr>
        <w:pStyle w:val="NormalHanging12a"/>
      </w:pPr>
      <w:r w:rsidRPr="0078762E">
        <w:t>25</w:t>
      </w:r>
      <w:r w:rsidR="00441BDE" w:rsidRPr="0078762E">
        <w:t>.</w:t>
      </w:r>
      <w:r w:rsidR="00441BDE" w:rsidRPr="0078762E">
        <w:tab/>
        <w:t>Encarrega a sua Presidente de transmitir a presente resolução ao Conselho, à Comissão, à Vice</w:t>
      </w:r>
      <w:r w:rsidR="00441BDE" w:rsidRPr="0078762E">
        <w:noBreakHyphen/>
        <w:t>Presidente da Comissão/Alta Representante da União para os Negócios Estrangeiros e a Política de Segurança, aos governos e parlamentos dos Estados</w:t>
      </w:r>
      <w:r w:rsidR="00441BDE" w:rsidRPr="0078762E">
        <w:noBreakHyphen/>
        <w:t xml:space="preserve">Membros, ao Presidente, ao Governo e ao </w:t>
      </w:r>
      <w:proofErr w:type="spellStart"/>
      <w:r w:rsidR="00441BDE" w:rsidRPr="0078762E">
        <w:t>Verkhovna</w:t>
      </w:r>
      <w:proofErr w:type="spellEnd"/>
      <w:r w:rsidR="00441BDE" w:rsidRPr="0078762E">
        <w:t xml:space="preserve"> Rada da Ucrânia, ao Secretário</w:t>
      </w:r>
      <w:r w:rsidR="00441BDE" w:rsidRPr="0078762E">
        <w:noBreakHyphen/>
        <w:t>Geral das Nações Unidas, ao Conselho da Europa, ao Congresso dos Estados Unidos, ao Tribunal Penal Internacional e às autoridades russas.</w:t>
      </w:r>
    </w:p>
    <w:p w14:paraId="45714965" w14:textId="29346E55" w:rsidR="00E365E1" w:rsidRPr="0078762E" w:rsidRDefault="00E365E1" w:rsidP="0051269B"/>
    <w:sectPr w:rsidR="00E365E1" w:rsidRPr="0078762E" w:rsidSect="0014103F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B88FFC" w14:textId="77777777" w:rsidR="0051269B" w:rsidRPr="0014103F" w:rsidRDefault="0051269B">
      <w:r w:rsidRPr="0014103F">
        <w:separator/>
      </w:r>
    </w:p>
  </w:endnote>
  <w:endnote w:type="continuationSeparator" w:id="0">
    <w:p w14:paraId="64426367" w14:textId="77777777" w:rsidR="0051269B" w:rsidRPr="0014103F" w:rsidRDefault="0051269B">
      <w:r w:rsidRPr="001410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808F17" w14:textId="77777777" w:rsidR="0051269B" w:rsidRPr="0014103F" w:rsidRDefault="0051269B">
      <w:r w:rsidRPr="0014103F">
        <w:separator/>
      </w:r>
    </w:p>
  </w:footnote>
  <w:footnote w:type="continuationSeparator" w:id="0">
    <w:p w14:paraId="685EA5CA" w14:textId="77777777" w:rsidR="0051269B" w:rsidRPr="0014103F" w:rsidRDefault="0051269B">
      <w:r w:rsidRPr="0014103F">
        <w:continuationSeparator/>
      </w:r>
    </w:p>
  </w:footnote>
  <w:footnote w:id="1">
    <w:p w14:paraId="7748D1FC" w14:textId="4F1B4E26" w:rsidR="00441BDE" w:rsidRPr="0014103F" w:rsidRDefault="00441BDE" w:rsidP="0014103F">
      <w:pPr>
        <w:pStyle w:val="FootnoteText"/>
        <w:ind w:left="567" w:hanging="567"/>
        <w:rPr>
          <w:sz w:val="24"/>
          <w:lang w:val="pt-PT"/>
        </w:rPr>
      </w:pPr>
      <w:r w:rsidRPr="0014103F">
        <w:rPr>
          <w:rStyle w:val="FootnoteReference"/>
          <w:sz w:val="24"/>
          <w:lang w:val="pt-PT"/>
        </w:rPr>
        <w:footnoteRef/>
      </w:r>
      <w:r w:rsidR="0014103F" w:rsidRPr="0014103F">
        <w:rPr>
          <w:sz w:val="24"/>
          <w:lang w:val="pt-PT"/>
        </w:rPr>
        <w:t xml:space="preserve"> </w:t>
      </w:r>
      <w:r w:rsidR="0014103F" w:rsidRPr="0014103F">
        <w:rPr>
          <w:sz w:val="24"/>
          <w:lang w:val="pt-PT"/>
        </w:rPr>
        <w:tab/>
      </w:r>
      <w:r w:rsidRPr="0014103F">
        <w:rPr>
          <w:sz w:val="24"/>
          <w:lang w:val="pt-PT"/>
        </w:rPr>
        <w:t xml:space="preserve">Regulamento (UE) 2026/467 do Parlamento Europeu e do Conselho, de 24 de fevereiro de 2026, que dá execução a uma cooperação reforçada relativa à criação do Empréstimo de Apoio à Ucrânia para 2026 e 2027 (JO L, 2026/467, 26.2.2026, ELI: </w:t>
      </w:r>
      <w:hyperlink r:id="rId1" w:history="1">
        <w:r w:rsidRPr="0074367C">
          <w:rPr>
            <w:rStyle w:val="Hyperlink"/>
            <w:sz w:val="24"/>
            <w:lang w:val="pt-PT"/>
          </w:rPr>
          <w:t>http://data.europa.eu/eli/reg/2026/467/oj</w:t>
        </w:r>
      </w:hyperlink>
      <w:r w:rsidRPr="0014103F">
        <w:rPr>
          <w:sz w:val="24"/>
          <w:lang w:val="pt-PT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37582704">
    <w:abstractNumId w:val="9"/>
  </w:num>
  <w:num w:numId="2" w16cid:durableId="158935472">
    <w:abstractNumId w:val="9"/>
  </w:num>
  <w:num w:numId="3" w16cid:durableId="658507913">
    <w:abstractNumId w:val="7"/>
  </w:num>
  <w:num w:numId="4" w16cid:durableId="481242074">
    <w:abstractNumId w:val="7"/>
  </w:num>
  <w:num w:numId="5" w16cid:durableId="157112072">
    <w:abstractNumId w:val="6"/>
  </w:num>
  <w:num w:numId="6" w16cid:durableId="518785850">
    <w:abstractNumId w:val="6"/>
  </w:num>
  <w:num w:numId="7" w16cid:durableId="179273155">
    <w:abstractNumId w:val="5"/>
  </w:num>
  <w:num w:numId="8" w16cid:durableId="144587917">
    <w:abstractNumId w:val="5"/>
  </w:num>
  <w:num w:numId="9" w16cid:durableId="1787040823">
    <w:abstractNumId w:val="4"/>
  </w:num>
  <w:num w:numId="10" w16cid:durableId="1528373617">
    <w:abstractNumId w:val="4"/>
  </w:num>
  <w:num w:numId="11" w16cid:durableId="1185826488">
    <w:abstractNumId w:val="8"/>
  </w:num>
  <w:num w:numId="12" w16cid:durableId="837692829">
    <w:abstractNumId w:val="8"/>
  </w:num>
  <w:num w:numId="13" w16cid:durableId="247035455">
    <w:abstractNumId w:val="3"/>
  </w:num>
  <w:num w:numId="14" w16cid:durableId="2029066027">
    <w:abstractNumId w:val="3"/>
  </w:num>
  <w:num w:numId="15" w16cid:durableId="910458282">
    <w:abstractNumId w:val="2"/>
  </w:num>
  <w:num w:numId="16" w16cid:durableId="725954658">
    <w:abstractNumId w:val="2"/>
  </w:num>
  <w:num w:numId="17" w16cid:durableId="1693997952">
    <w:abstractNumId w:val="1"/>
  </w:num>
  <w:num w:numId="18" w16cid:durableId="1418941920">
    <w:abstractNumId w:val="1"/>
  </w:num>
  <w:num w:numId="19" w16cid:durableId="2063671037">
    <w:abstractNumId w:val="0"/>
  </w:num>
  <w:num w:numId="20" w16cid:durableId="1141733150">
    <w:abstractNumId w:val="0"/>
  </w:num>
  <w:num w:numId="21" w16cid:durableId="1854683906">
    <w:abstractNumId w:val="9"/>
  </w:num>
  <w:num w:numId="22" w16cid:durableId="1126504570">
    <w:abstractNumId w:val="7"/>
  </w:num>
  <w:num w:numId="23" w16cid:durableId="1430931212">
    <w:abstractNumId w:val="6"/>
  </w:num>
  <w:num w:numId="24" w16cid:durableId="1319769216">
    <w:abstractNumId w:val="5"/>
  </w:num>
  <w:num w:numId="25" w16cid:durableId="1584561539">
    <w:abstractNumId w:val="4"/>
  </w:num>
  <w:num w:numId="26" w16cid:durableId="1122382584">
    <w:abstractNumId w:val="8"/>
  </w:num>
  <w:num w:numId="27" w16cid:durableId="2046589092">
    <w:abstractNumId w:val="3"/>
  </w:num>
  <w:num w:numId="28" w16cid:durableId="1453089360">
    <w:abstractNumId w:val="2"/>
  </w:num>
  <w:num w:numId="29" w16cid:durableId="20518570">
    <w:abstractNumId w:val="1"/>
  </w:num>
  <w:num w:numId="30" w16cid:durableId="2085254554">
    <w:abstractNumId w:val="0"/>
  </w:num>
  <w:num w:numId="31" w16cid:durableId="827866449">
    <w:abstractNumId w:val="9"/>
  </w:num>
  <w:num w:numId="32" w16cid:durableId="2053917964">
    <w:abstractNumId w:val="7"/>
  </w:num>
  <w:num w:numId="33" w16cid:durableId="1100444943">
    <w:abstractNumId w:val="6"/>
  </w:num>
  <w:num w:numId="34" w16cid:durableId="1448739473">
    <w:abstractNumId w:val="5"/>
  </w:num>
  <w:num w:numId="35" w16cid:durableId="775371696">
    <w:abstractNumId w:val="4"/>
  </w:num>
  <w:num w:numId="36" w16cid:durableId="1961456004">
    <w:abstractNumId w:val="8"/>
  </w:num>
  <w:num w:numId="37" w16cid:durableId="1583638603">
    <w:abstractNumId w:val="3"/>
  </w:num>
  <w:num w:numId="38" w16cid:durableId="2126658184">
    <w:abstractNumId w:val="2"/>
  </w:num>
  <w:num w:numId="39" w16cid:durableId="1397628423">
    <w:abstractNumId w:val="1"/>
  </w:num>
  <w:num w:numId="40" w16cid:durableId="422337141">
    <w:abstractNumId w:val="0"/>
  </w:num>
  <w:num w:numId="41" w16cid:durableId="1873495174">
    <w:abstractNumId w:val="10"/>
  </w:num>
  <w:num w:numId="42" w16cid:durableId="77024782">
    <w:abstractNumId w:val="10"/>
  </w:num>
  <w:num w:numId="43" w16cid:durableId="1910187298">
    <w:abstractNumId w:val="10"/>
  </w:num>
  <w:num w:numId="44" w16cid:durableId="126812428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201/2026"/>
    <w:docVar w:name="dvlangue" w:val="PT"/>
    <w:docVar w:name="dvnumam" w:val="0"/>
    <w:docVar w:name="dvpe" w:val="783.236"/>
    <w:docVar w:name="dvtitre" w:val="Resolução do Parlamento Europeu, de ... de ... de 2026,_x000d__x000a_ «Assegurar a prestação de contas e a justiça em resposta aos persistentes ataques da Rússia contra a população civil na Ucrânia» (2026/2700(RSP))"/>
  </w:docVars>
  <w:rsids>
    <w:rsidRoot w:val="0051269B"/>
    <w:rsid w:val="00002272"/>
    <w:rsid w:val="00064002"/>
    <w:rsid w:val="000677B9"/>
    <w:rsid w:val="000831BA"/>
    <w:rsid w:val="000A42CC"/>
    <w:rsid w:val="000C30C5"/>
    <w:rsid w:val="000E7DD9"/>
    <w:rsid w:val="0010095E"/>
    <w:rsid w:val="00125B37"/>
    <w:rsid w:val="0014103F"/>
    <w:rsid w:val="00187494"/>
    <w:rsid w:val="001F32AE"/>
    <w:rsid w:val="00227B59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6E07"/>
    <w:rsid w:val="00441BDE"/>
    <w:rsid w:val="00471C19"/>
    <w:rsid w:val="004867E3"/>
    <w:rsid w:val="00494A28"/>
    <w:rsid w:val="004C0004"/>
    <w:rsid w:val="004C5D52"/>
    <w:rsid w:val="0050519A"/>
    <w:rsid w:val="005072A1"/>
    <w:rsid w:val="0051269B"/>
    <w:rsid w:val="00514517"/>
    <w:rsid w:val="00545827"/>
    <w:rsid w:val="00560270"/>
    <w:rsid w:val="005725FE"/>
    <w:rsid w:val="005B2800"/>
    <w:rsid w:val="005C2568"/>
    <w:rsid w:val="005F1B17"/>
    <w:rsid w:val="006037C0"/>
    <w:rsid w:val="006631B6"/>
    <w:rsid w:val="00680577"/>
    <w:rsid w:val="006F74FA"/>
    <w:rsid w:val="00731ADD"/>
    <w:rsid w:val="00734777"/>
    <w:rsid w:val="0074367C"/>
    <w:rsid w:val="00747932"/>
    <w:rsid w:val="00751A4A"/>
    <w:rsid w:val="00756632"/>
    <w:rsid w:val="00762C74"/>
    <w:rsid w:val="00786EC0"/>
    <w:rsid w:val="0078762E"/>
    <w:rsid w:val="00791461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0341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4FFDA0"/>
  <w15:chartTrackingRefBased/>
  <w15:docId w15:val="{C0FAEFCB-2C41-46E3-9176-9D59D4979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441BDE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441BDE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441BDE"/>
    <w:rPr>
      <w:sz w:val="24"/>
      <w:lang w:val="pt-PT"/>
    </w:rPr>
  </w:style>
  <w:style w:type="paragraph" w:styleId="Revision">
    <w:name w:val="Revision"/>
    <w:hidden/>
    <w:uiPriority w:val="99"/>
    <w:semiHidden/>
    <w:rsid w:val="00C00341"/>
    <w:rPr>
      <w:sz w:val="24"/>
      <w:lang w:val="pt-PT"/>
    </w:rPr>
  </w:style>
  <w:style w:type="character" w:styleId="Hyperlink">
    <w:name w:val="Hyperlink"/>
    <w:basedOn w:val="DefaultParagraphFont"/>
    <w:rsid w:val="0074367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4367C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791461"/>
    <w:rPr>
      <w:sz w:val="16"/>
      <w:szCs w:val="16"/>
    </w:rPr>
  </w:style>
  <w:style w:type="paragraph" w:styleId="CommentText">
    <w:name w:val="annotation text"/>
    <w:basedOn w:val="Normal"/>
    <w:link w:val="CommentTextChar"/>
    <w:rsid w:val="0079146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91461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7914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91461"/>
    <w:rPr>
      <w:b/>
      <w:bCs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26/46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3563</Words>
  <Characters>19168</Characters>
  <Application>Microsoft Office Word</Application>
  <DocSecurity>0</DocSecurity>
  <Lines>290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MARTINSIsabelAlex-RELEC1</cp:lastModifiedBy>
  <cp:revision>2</cp:revision>
  <cp:lastPrinted>2004-11-19T15:42:00Z</cp:lastPrinted>
  <dcterms:created xsi:type="dcterms:W3CDTF">2026-04-30T12:31:00Z</dcterms:created>
  <dcterms:modified xsi:type="dcterms:W3CDTF">2026-04-30T12:31:00Z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B10-0201/2026</vt:lpwstr>
  </property>
  <property fmtid="{D5CDD505-2E9C-101B-9397-08002B2CF9AE}" pid="4" name="&lt;Type&gt;">
    <vt:lpwstr>RR</vt:lpwstr>
  </property>
</Properties>
</file>