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7DF4" w14:paraId="7193694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311257" w14:textId="77777777" w:rsidR="00751A4A" w:rsidRPr="00137DF4" w:rsidRDefault="003D6394" w:rsidP="0010095E">
            <w:pPr>
              <w:pStyle w:val="EPName"/>
            </w:pPr>
            <w:r w:rsidRPr="00137DF4">
              <w:t>Evropský parlament</w:t>
            </w:r>
          </w:p>
          <w:p w14:paraId="0D9980A1" w14:textId="77777777" w:rsidR="00751A4A" w:rsidRPr="00137D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7DF4">
              <w:t>2024</w:t>
            </w:r>
            <w:r w:rsidR="00817416" w:rsidRPr="00137DF4">
              <w:t>-202</w:t>
            </w:r>
            <w:r w:rsidRPr="00137DF4">
              <w:t>9</w:t>
            </w:r>
          </w:p>
        </w:tc>
        <w:tc>
          <w:tcPr>
            <w:tcW w:w="2268" w:type="dxa"/>
            <w:shd w:val="clear" w:color="auto" w:fill="auto"/>
          </w:tcPr>
          <w:p w14:paraId="54E85F0D" w14:textId="77777777" w:rsidR="00751A4A" w:rsidRPr="00137DF4" w:rsidRDefault="00187494" w:rsidP="0010095E">
            <w:pPr>
              <w:pStyle w:val="EPLogo"/>
            </w:pPr>
            <w:r w:rsidRPr="00137DF4">
              <w:rPr>
                <w:noProof/>
                <w:lang w:eastAsia="ja-JP"/>
              </w:rPr>
              <w:drawing>
                <wp:inline distT="0" distB="0" distL="0" distR="0" wp14:anchorId="5C2F7CF6" wp14:editId="24D9CB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3A0CA0" w14:textId="77777777" w:rsidR="00D058B8" w:rsidRPr="00137DF4" w:rsidRDefault="00D058B8" w:rsidP="004C5D52">
      <w:pPr>
        <w:pStyle w:val="LineTop"/>
      </w:pPr>
    </w:p>
    <w:p w14:paraId="31033583" w14:textId="77777777" w:rsidR="00680577" w:rsidRPr="00137DF4" w:rsidRDefault="003D6394" w:rsidP="00680577">
      <w:pPr>
        <w:pStyle w:val="EPBodyTA1"/>
      </w:pPr>
      <w:r w:rsidRPr="00137DF4">
        <w:t>PŘIJATÉ TEXTY</w:t>
      </w:r>
    </w:p>
    <w:p w14:paraId="63289ED5" w14:textId="77777777" w:rsidR="00D058B8" w:rsidRPr="00137DF4" w:rsidRDefault="00D058B8" w:rsidP="00D058B8">
      <w:pPr>
        <w:pStyle w:val="LineBottom"/>
      </w:pPr>
    </w:p>
    <w:p w14:paraId="28622CB8" w14:textId="011D0419" w:rsidR="003D6394" w:rsidRPr="00137DF4" w:rsidRDefault="003D6394" w:rsidP="003D6394">
      <w:pPr>
        <w:pStyle w:val="ATHeading1"/>
      </w:pPr>
      <w:bookmarkStart w:id="0" w:name="TANumber"/>
      <w:r w:rsidRPr="00137DF4">
        <w:t>P10_TA(2026)0</w:t>
      </w:r>
      <w:r w:rsidR="001D01AE">
        <w:t>162</w:t>
      </w:r>
      <w:bookmarkEnd w:id="0"/>
    </w:p>
    <w:p w14:paraId="595A526E" w14:textId="77777777" w:rsidR="003D6394" w:rsidRPr="00137DF4" w:rsidRDefault="003D6394" w:rsidP="003D6394">
      <w:pPr>
        <w:pStyle w:val="ATHeading2"/>
      </w:pPr>
      <w:bookmarkStart w:id="1" w:name="title"/>
      <w:r w:rsidRPr="00137DF4">
        <w:t>Podpora demokratické odolnosti Arménie</w:t>
      </w:r>
      <w:bookmarkEnd w:id="1"/>
    </w:p>
    <w:p w14:paraId="791919A7" w14:textId="3EE7466E" w:rsidR="003D6394" w:rsidRPr="00137DF4" w:rsidRDefault="003D6394" w:rsidP="003D6394">
      <w:pPr>
        <w:rPr>
          <w:i/>
          <w:vanish/>
        </w:rPr>
      </w:pPr>
      <w:r w:rsidRPr="00137DF4">
        <w:rPr>
          <w:i/>
        </w:rPr>
        <w:fldChar w:fldCharType="begin"/>
      </w:r>
      <w:r w:rsidRPr="00137DF4">
        <w:rPr>
          <w:i/>
        </w:rPr>
        <w:instrText xml:space="preserve"> TC"(</w:instrText>
      </w:r>
      <w:bookmarkStart w:id="2" w:name="DocNumber"/>
      <w:r w:rsidRPr="00137DF4">
        <w:rPr>
          <w:i/>
        </w:rPr>
        <w:instrText>B10-0195</w:instrText>
      </w:r>
      <w:r w:rsidR="005B6BE8">
        <w:rPr>
          <w:i/>
        </w:rPr>
        <w:instrText>, 0196, 0198, 0199 a 0200</w:instrText>
      </w:r>
      <w:r w:rsidRPr="00137DF4">
        <w:rPr>
          <w:i/>
        </w:rPr>
        <w:instrText>/2026</w:instrText>
      </w:r>
      <w:bookmarkEnd w:id="2"/>
      <w:r w:rsidRPr="00137DF4">
        <w:rPr>
          <w:i/>
        </w:rPr>
        <w:instrText xml:space="preserve">)"\l3 \n&gt; \* MERGEFORMAT </w:instrText>
      </w:r>
      <w:r w:rsidRPr="00137DF4">
        <w:rPr>
          <w:i/>
        </w:rPr>
        <w:fldChar w:fldCharType="end"/>
      </w:r>
    </w:p>
    <w:p w14:paraId="52FA17C0" w14:textId="77777777" w:rsidR="003D6394" w:rsidRPr="00137DF4" w:rsidRDefault="003D6394" w:rsidP="003D6394">
      <w:pPr>
        <w:rPr>
          <w:vanish/>
        </w:rPr>
      </w:pPr>
      <w:bookmarkStart w:id="3" w:name="PE"/>
      <w:r w:rsidRPr="00137DF4">
        <w:rPr>
          <w:vanish/>
        </w:rPr>
        <w:t>PE783.229</w:t>
      </w:r>
      <w:bookmarkEnd w:id="3"/>
    </w:p>
    <w:p w14:paraId="5F6DF2CB" w14:textId="77777777" w:rsidR="003D6394" w:rsidRPr="00137DF4" w:rsidRDefault="003D6394" w:rsidP="003D6394">
      <w:pPr>
        <w:pStyle w:val="ATHeading3"/>
      </w:pPr>
      <w:bookmarkStart w:id="4" w:name="Sujet"/>
      <w:r w:rsidRPr="00137DF4">
        <w:t>Usnesení Evropského parlamentu ze dne 30. dubna 2026 o podpoře demokratické odolnosti Arménie</w:t>
      </w:r>
      <w:bookmarkEnd w:id="4"/>
      <w:r w:rsidRPr="00137DF4">
        <w:t xml:space="preserve"> </w:t>
      </w:r>
      <w:bookmarkStart w:id="5" w:name="References"/>
      <w:r w:rsidRPr="00137DF4">
        <w:t>(2026/2701(RSP))</w:t>
      </w:r>
      <w:bookmarkEnd w:id="5"/>
    </w:p>
    <w:p w14:paraId="7BC44E1C" w14:textId="77777777" w:rsidR="00772197" w:rsidRPr="00137DF4" w:rsidRDefault="00772197" w:rsidP="00772197">
      <w:pPr>
        <w:pStyle w:val="EPComma"/>
      </w:pPr>
      <w:bookmarkStart w:id="6" w:name="TextBodyBegin"/>
      <w:bookmarkEnd w:id="6"/>
      <w:r w:rsidRPr="00137DF4">
        <w:rPr>
          <w:i/>
        </w:rPr>
        <w:t>Evropský parlament</w:t>
      </w:r>
      <w:r w:rsidRPr="00137DF4">
        <w:t>,</w:t>
      </w:r>
    </w:p>
    <w:p w14:paraId="34F58AD9" w14:textId="77777777" w:rsidR="00772197" w:rsidRPr="00137DF4" w:rsidRDefault="00772197" w:rsidP="00F06CA6">
      <w:pPr>
        <w:pStyle w:val="NormalHanging12a"/>
      </w:pPr>
      <w:r w:rsidRPr="00137DF4">
        <w:rPr>
          <w:color w:val="000000"/>
        </w:rPr>
        <w:t>–</w:t>
      </w:r>
      <w:r w:rsidRPr="00137DF4">
        <w:tab/>
        <w:t>s ohledem na svá předchozí usnesení o Arménii,</w:t>
      </w:r>
    </w:p>
    <w:p w14:paraId="4ADC7847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 ohledem na Dohodu o komplexním a posíleném partnerství mezi Evropskou unií a Evropským společenstvím pro atomovou energii a jejich členskými státy na jedné straně a Arménskou republikou na straně druhé</w:t>
      </w:r>
      <w:r w:rsidRPr="00137DF4">
        <w:rPr>
          <w:rStyle w:val="FootnoteReference"/>
        </w:rPr>
        <w:footnoteReference w:id="1"/>
      </w:r>
      <w:r w:rsidRPr="00137DF4">
        <w:t>,</w:t>
      </w:r>
    </w:p>
    <w:p w14:paraId="06FF26A5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zákon přijatý Národním shromážděním Arménie dne 26. března 2025, kterým byl zahájen proces přistoupení Arménie k Evropské unii,</w:t>
      </w:r>
    </w:p>
    <w:p w14:paraId="057A3C2C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projev premiéra Nikola Pašinjana na zasedání Evropského parlamentu ve Štrasburku dne 11. března 2026,</w:t>
      </w:r>
    </w:p>
    <w:p w14:paraId="3D630840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společné tiskové prohlášení ze dne 3. prosince 2025 vydané v návaznosti na šesté zasedání Rady partnerství EU-Arménie,</w:t>
      </w:r>
    </w:p>
    <w:p w14:paraId="1B4055CB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přijetí strategického programu pro partnerství Arménie-EU;</w:t>
      </w:r>
    </w:p>
    <w:p w14:paraId="0E281EB9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plán EU a Arménie pro odolnost a růst a investiční závazky EU v rámci strategie Global Gateway,</w:t>
      </w:r>
    </w:p>
    <w:p w14:paraId="342F47BF" w14:textId="4998CE60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závěry politického a bezpečnostního dialogu mezi EU a Arménií ze dne 3.</w:t>
      </w:r>
      <w:r w:rsidR="001D01AE" w:rsidRPr="00137DF4">
        <w:t> </w:t>
      </w:r>
      <w:r w:rsidRPr="00137DF4">
        <w:t>února 2026,</w:t>
      </w:r>
    </w:p>
    <w:p w14:paraId="14E02821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rozhodnutí Rady (SZBP) 2025/211 ze dne 30. ledna 2025</w:t>
      </w:r>
      <w:r w:rsidRPr="00137DF4">
        <w:rPr>
          <w:rStyle w:val="FootnoteReference"/>
        </w:rPr>
        <w:footnoteReference w:id="2"/>
      </w:r>
      <w:r w:rsidRPr="00137DF4">
        <w:t>, jímž se prodlužuje mandát mise Evropské unie v Arménii o dva roky,</w:t>
      </w:r>
    </w:p>
    <w:p w14:paraId="7670473D" w14:textId="77777777" w:rsidR="00772197" w:rsidRPr="00137DF4" w:rsidRDefault="00772197" w:rsidP="00F06CA6">
      <w:pPr>
        <w:pStyle w:val="NormalHanging12a"/>
      </w:pPr>
      <w:r w:rsidRPr="00137DF4">
        <w:lastRenderedPageBreak/>
        <w:t>–</w:t>
      </w:r>
      <w:r w:rsidRPr="00137DF4">
        <w:tab/>
        <w:t>s ohledem na rozhodnutí Rady (SZBP) 2026/894 ze dne 21. dubna 2026</w:t>
      </w:r>
      <w:r w:rsidRPr="00137DF4">
        <w:rPr>
          <w:rStyle w:val="FootnoteReference"/>
        </w:rPr>
        <w:footnoteReference w:id="3"/>
      </w:r>
      <w:r w:rsidRPr="00137DF4">
        <w:t>, kterým se zřizuje partnerská mise EU v Arménii (EUPM Armenia) v rámci společné bezpečnostní a obranné politiky (SBOP),</w:t>
      </w:r>
    </w:p>
    <w:p w14:paraId="4C69D36A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rozhodnutí Rady (SZBP) 2024/2010 ze dne 22. července 2024</w:t>
      </w:r>
      <w:r w:rsidRPr="00137DF4">
        <w:rPr>
          <w:rStyle w:val="FootnoteReference"/>
        </w:rPr>
        <w:footnoteReference w:id="4"/>
      </w:r>
      <w:r w:rsidRPr="00137DF4">
        <w:t>, kterým se přijímá vůbec první opatření pomoci v rámci Evropského mírového nástroje na podporu arménských ozbrojených sil,</w:t>
      </w:r>
    </w:p>
    <w:p w14:paraId="12E064D9" w14:textId="4B357A72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ratifikaci rámcové dohody o účasti mezi Evropskou unií a Arménií</w:t>
      </w:r>
      <w:r w:rsidRPr="00137DF4">
        <w:rPr>
          <w:rStyle w:val="FootnoteReference"/>
        </w:rPr>
        <w:footnoteReference w:id="5"/>
      </w:r>
      <w:r w:rsidRPr="00137DF4">
        <w:t>, která byla uzavřena v rámci SBOP a oceněna ve společném tiskovém prohlášení ze dne 3.</w:t>
      </w:r>
      <w:r w:rsidR="001D01AE" w:rsidRPr="00137DF4">
        <w:t> </w:t>
      </w:r>
      <w:r w:rsidRPr="00137DF4">
        <w:t>prosince 2025 vydaném po šestém zasedání Rady partnerství EU-Arménie,</w:t>
      </w:r>
    </w:p>
    <w:p w14:paraId="45899C6B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Washingtonský mírový summit konaný dne 8. srpna 2025,</w:t>
      </w:r>
    </w:p>
    <w:p w14:paraId="4B428891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 xml:space="preserve">s ohledem na zprávu mise zaměřené na hodnocení potřeb, kterou zveřejnil Úřad pro demokratické instituce a lidská práva (ODIHR) Organizace pro bezpečnost a spolupráci v Evropě a která se týká arménských parlamentních voleb dne 7. června 2026, a s ohledem na práci Rady Evropy v oblasti volebních norem, svobody médií a integrity informací, </w:t>
      </w:r>
    </w:p>
    <w:p w14:paraId="527DF865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své usnesení ze dne 15. dubna 2015 o stém výročí genocidy Arménů</w:t>
      </w:r>
      <w:r w:rsidRPr="00137DF4">
        <w:rPr>
          <w:rStyle w:val="FootnoteReference"/>
        </w:rPr>
        <w:footnoteReference w:id="6"/>
      </w:r>
      <w:r w:rsidRPr="00137DF4">
        <w:t>,</w:t>
      </w:r>
    </w:p>
    <w:p w14:paraId="45AF0CBD" w14:textId="77777777" w:rsidR="00772197" w:rsidRPr="00137DF4" w:rsidRDefault="00772197" w:rsidP="00F06CA6">
      <w:pPr>
        <w:pStyle w:val="NormalHanging12a"/>
      </w:pPr>
      <w:r w:rsidRPr="00137DF4">
        <w:t>–</w:t>
      </w:r>
      <w:r w:rsidRPr="00137DF4">
        <w:tab/>
        <w:t>s ohledem na čl. 136 odst. 2 a 4 jednacího řádu,</w:t>
      </w:r>
    </w:p>
    <w:p w14:paraId="67888487" w14:textId="77777777" w:rsidR="00772197" w:rsidRPr="00137DF4" w:rsidRDefault="00772197" w:rsidP="00F06CA6">
      <w:pPr>
        <w:pStyle w:val="NormalHanging12a"/>
      </w:pPr>
      <w:r w:rsidRPr="00137DF4">
        <w:t>A.</w:t>
      </w:r>
      <w:r w:rsidRPr="00137DF4">
        <w:tab/>
        <w:t>vzhledem k tomu, že vztahy mezi EU a Arménií vstoupily do nové fáze, která se vyznačuje vyšší úrovní politické angažovanosti a rozšířenými bezpečnostními vztahy; vzhledem k tomu, že tyto vztahy jsou založeny na společných hodnotách, včetně demokracie, právního státu a dodržování lidských práv a základních svobod; vzhledem k tomu, že Rada partnerství EU-Arménie přijala novou strategickou agendu jako významný krok k posílení dvoustranných vazeb a že tato agenda pokrývá otázky demokracie, reformy soudnictví a lidských práv a širokou škálu dalších oblastí vycházejících z dohody o komplexním a posíleném partnerství; vzhledem k tomu, že EU znovu potvrdila, že neochvějně podporuje arménský program reforem, úsilí této země o boj proti hybridním hrozbám, pokrok, kterého dosáhla v jednání o uvolnění vízového režimu a plán odolnosti a růstu EU pro Arménii ve výši 270 milionů EUR; vzhledem k tomu, že Arménie v posledních letech provedla významné reformy; vzhledem k tomu, že další zlepšení jsou i nadále nutná;</w:t>
      </w:r>
    </w:p>
    <w:p w14:paraId="7B510F06" w14:textId="77777777" w:rsidR="00772197" w:rsidRPr="00137DF4" w:rsidRDefault="00772197" w:rsidP="00F06CA6">
      <w:pPr>
        <w:pStyle w:val="NormalHanging12a"/>
      </w:pPr>
      <w:r w:rsidRPr="00137DF4">
        <w:t>B.</w:t>
      </w:r>
      <w:r w:rsidRPr="00137DF4">
        <w:tab/>
        <w:t>vzhledem k tomu, že dne 26. března 2025 přijal arménský parlament zákon o zahájení procesu přistoupení Arménie k EU, čímž vyjádřil přání země stát se členem EU;</w:t>
      </w:r>
    </w:p>
    <w:p w14:paraId="6FBA4D2B" w14:textId="77777777" w:rsidR="00772197" w:rsidRPr="00137DF4" w:rsidRDefault="00772197" w:rsidP="00F06CA6">
      <w:pPr>
        <w:pStyle w:val="NormalHanging12a"/>
      </w:pPr>
      <w:r w:rsidRPr="00137DF4">
        <w:t>C.</w:t>
      </w:r>
      <w:r w:rsidRPr="00137DF4">
        <w:tab/>
        <w:t xml:space="preserve">vzhledem k tomu, že nová strategická agenda, která byla přijata v prosinci 2025 a vychází z úplného provádění Dohody o komplexním a posíleném partnerství, zahrnuje široké spektrum oblastí, včetně demokracie a právního státu, reformy justice a lidských práv; vzhledem k tomu, že tato rozhodnutí jsou důkazem svrchovaného závazku </w:t>
      </w:r>
      <w:r w:rsidRPr="00137DF4">
        <w:lastRenderedPageBreak/>
        <w:t>Arménie dodržovat demokratické normy a zásady právního státu v souladu s normami a hodnotami EU;</w:t>
      </w:r>
    </w:p>
    <w:p w14:paraId="592F4B5A" w14:textId="77777777" w:rsidR="00772197" w:rsidRPr="00137DF4" w:rsidRDefault="00772197" w:rsidP="00F06CA6">
      <w:pPr>
        <w:pStyle w:val="NormalHanging12a"/>
      </w:pPr>
      <w:r w:rsidRPr="00137DF4">
        <w:t>D.</w:t>
      </w:r>
      <w:r w:rsidRPr="00137DF4">
        <w:tab/>
        <w:t>vzhledem k tomu, že ve dnech 4. a 5. května 2026 se bude v Jerevanu konat osmý summit Evropského politického společenství a vůbec první summit EU a Arménie, což představuje historický symbol evropské solidarity s Arménií; vzhledem k tomu, že summit EU a Arménie, na němž se sejdou předseda Evropské rady, předsedkyně Komise a místopředsedkyně Komise, vysoká představitelka Unie pro zahraniční věci a bezpečnostní politiku, má přinést konkrétní výsledky v dvoustranných vztazích, zejména pokud jde o konektivitu v oblasti energetické, dopravní a digitální infrastruktury a o mír, bezpečnost a prosperitu na jižním Kavkaze;</w:t>
      </w:r>
    </w:p>
    <w:p w14:paraId="066AA8B8" w14:textId="77777777" w:rsidR="00772197" w:rsidRPr="00137DF4" w:rsidRDefault="00772197" w:rsidP="00F06CA6">
      <w:pPr>
        <w:pStyle w:val="NormalHanging12a"/>
      </w:pPr>
      <w:r w:rsidRPr="00137DF4">
        <w:t>E.</w:t>
      </w:r>
      <w:r w:rsidRPr="00137DF4">
        <w:tab/>
        <w:t>vzhledem k tomu, že dne 21. dubna 2026 zřídila Rada v rámci společné bezpečnostní a obranné politiky (SBOP) partnerskou misi EU v Arménii (EUPM Armenia), což představuje další krok k posílení demokratické odolnosti Arménie a její schopnosti zvládat krize; vzhledem k tomu, že mise bude Arménii pomáhat čelit vícerozměrným hrozbám, jako jsou zahraniční manipulace s informacemi a vměšování (FIMI), kybernetické útoky a nezákonné finanční toky; vzhledem k tomu, že zřízení této mise potvrzuje, že demokratická bezpečnost je nyní jedním z hlavních pilířů partnerství EU-Arménie; vzhledem k tomu, že mise EUPM Armenia bude arménským orgánům poskytovat strategické poradenství a zajistí budování kapacit, aby jim pomohla na tyto hrozby reagovat;</w:t>
      </w:r>
    </w:p>
    <w:p w14:paraId="44D75955" w14:textId="77777777" w:rsidR="00772197" w:rsidRPr="00137DF4" w:rsidRDefault="00772197" w:rsidP="00F06CA6">
      <w:pPr>
        <w:pStyle w:val="NormalHanging12a"/>
        <w:rPr>
          <w:bCs/>
        </w:rPr>
      </w:pPr>
      <w:r w:rsidRPr="00137DF4">
        <w:t>F.</w:t>
      </w:r>
      <w:r w:rsidRPr="00137DF4">
        <w:tab/>
        <w:t>vzhledem k tomu, že dne 7. června 2026 se budou v Arménii konat parlamentní volby, které jsou strategicky důležité nejen pro upevnění domácí demokracie, ale také pro udržitelnost míru, reforem a užší spolupráce s EU; vzhledem k tomu, že integrita voleb závisí na vytvoření podmínek pro svobodné, spravedlivé a konkurenční volby, na silných institucích, nezávislých médiích a spolehlivých zárukách proti dezinformacím, nezákonnému financování, kupování hlasů a dalším formám nepřátelského vměšování; vzhledem k tomu, že Úřad pro demokratické instituce a lidská práva (ODIHR) zaznamenal obavy týkající se připravenosti okrskových komisí, kybernetické bezpečnosti, vedení kampaně v rané fázi, zneužívání administrativních zdrojů, transparentnosti financování kampaní a polarizace médií; vzhledem k tomu, že k zahraničnímu vměšování – zejména systematickým hybridním operacím Ruska prováděným s pomocí jeho zástupných subjektů, včetně dezinformačních kampaní, kybernetických operací, hospodářského tlaku a mobilizace místních zástupných subjektů – dochází stále častěji prostřednictvím domácích zesilujících hlasů, jako jsou někteří náboženští aktéři a sítě oligarchů, což odráží vzorce pozorované v nedávných volbách v Moldavsku a Gruzii;</w:t>
      </w:r>
    </w:p>
    <w:p w14:paraId="148AFE74" w14:textId="77777777" w:rsidR="00772197" w:rsidRPr="00137DF4" w:rsidRDefault="00772197" w:rsidP="00F06CA6">
      <w:pPr>
        <w:pStyle w:val="NormalHanging12a"/>
        <w:rPr>
          <w:bCs/>
        </w:rPr>
      </w:pPr>
      <w:r w:rsidRPr="00137DF4">
        <w:t>G.</w:t>
      </w:r>
      <w:r w:rsidRPr="00137DF4">
        <w:tab/>
        <w:t>vzhledem k tomu, že Vladimir Putin vyvíjel nátlak na arménského premiéra Nikola Pašinjana během jejich setkání dne 1. dubna 2026, aby umožnil zadrženému rusko-arménskému miliardáři Samvelu Karapetjanovi účastnit se nadcházejících arménských voleb;</w:t>
      </w:r>
    </w:p>
    <w:p w14:paraId="3350632F" w14:textId="77777777" w:rsidR="00772197" w:rsidRPr="00137DF4" w:rsidRDefault="00772197" w:rsidP="00F06CA6">
      <w:pPr>
        <w:pStyle w:val="NormalHanging12a"/>
        <w:rPr>
          <w:bCs/>
        </w:rPr>
      </w:pPr>
      <w:r w:rsidRPr="00137DF4">
        <w:t>H.</w:t>
      </w:r>
      <w:r w:rsidRPr="00137DF4">
        <w:tab/>
        <w:t xml:space="preserve">vzhledem k tomu, že mise Evropské unie v Arménii hraje i nadále zásadní úlohu, pokud jde o přínos ke stabilitě, budování důvěry a bezpečnost lidí v oblastech zasažených konfliktem; vzhledem k tomu, že Rada dne 30. ledna 2025 prodloužila mandát mise Evropské unie v Arménii o dva roky; vzhledem k tomu, že mise Evropské unie v Arménii hraje zásadní stabilizační úlohu podél arménsko-ázerbájdžánské hranice; vzhledem k tomu, že rovněž přispívá ke sledování situace na místě a informování o ní a </w:t>
      </w:r>
      <w:r w:rsidRPr="00137DF4">
        <w:lastRenderedPageBreak/>
        <w:t>k podpoře budování důvěry mezi Arménií a Ázerbájdžánem;</w:t>
      </w:r>
    </w:p>
    <w:p w14:paraId="2DF9E103" w14:textId="77777777" w:rsidR="00772197" w:rsidRPr="00137DF4" w:rsidRDefault="00772197" w:rsidP="00F06CA6">
      <w:pPr>
        <w:pStyle w:val="NormalHanging12a"/>
      </w:pPr>
      <w:r w:rsidRPr="00137DF4">
        <w:t>I.</w:t>
      </w:r>
      <w:r w:rsidRPr="00137DF4">
        <w:tab/>
        <w:t>vzhledem k tomu, že proces, který by měl vést k míru mezi Arménií a Ázerbájdžánem, se začal vyvíjet obzvláště dynamicky, že existují plány na multimodální tranzitní dopravní propojení, které by mělo vést přes arménské území a mělo by spojovat pevninský Ázerbájdžán s Nachičevanskou autonomní republikou, při čemž by měla být plně respektována svrchovanost, územní celistvost a jurisdikce Arménie, a že toto propojení je klíčovým nástrojem ke snížení hospodářské závislosti Arménie na Rusku; vzhledem k tomu, že EU tento proces plně podporuje prostřednictvím partnerství EU a Arménie v oblasti konektivity a iniciativy Křižovatka míru;</w:t>
      </w:r>
    </w:p>
    <w:p w14:paraId="6639E8E2" w14:textId="77777777" w:rsidR="00772197" w:rsidRPr="00137DF4" w:rsidRDefault="00772197" w:rsidP="00F06CA6">
      <w:pPr>
        <w:pStyle w:val="NormalHanging12a"/>
      </w:pPr>
      <w:r w:rsidRPr="00137DF4">
        <w:t>1.</w:t>
      </w:r>
      <w:r w:rsidRPr="00137DF4">
        <w:tab/>
        <w:t>potvrzuje, že pevně věří v odhodlání arménských orgánů uspořádat svobodné, spravedlivé a transparentní volby, a podporuje jejich úsilí o ochranu demokratických institucí před zahraničním vměšováním;</w:t>
      </w:r>
    </w:p>
    <w:p w14:paraId="56A81A2A" w14:textId="77777777" w:rsidR="00772197" w:rsidRPr="00137DF4" w:rsidRDefault="00772197" w:rsidP="00F06CA6">
      <w:pPr>
        <w:pStyle w:val="NormalHanging12a"/>
      </w:pPr>
      <w:r w:rsidRPr="00137DF4">
        <w:t>2.</w:t>
      </w:r>
      <w:r w:rsidRPr="00137DF4">
        <w:tab/>
        <w:t>plně podporuje svobodné, spravedlivé a pokojné parlamentní volby, které se budou v Arménii konat v červnu 2026 a jejichž výsledek musí určit jedině samotný arménský lid; zdůrazňuje, že je důležité zaručit nezávislost volební správy, předvolební kampaň s rovnými podmínkami pro všechny kandidáty, mediální pluralitu a plné dodržování základních svobod v průběhu celého volebního cyklu; vyzývá k poskytnutí spolehlivých záruk, které zabrání dezinformacím, nezákonnému financování, kupování hlasů a nátlaku, k větší ochraně volební infrastruktury, transparentnímu financování kampaní, podpoře iniciativ zaměřených na ověřování faktů a podpoře občanské společnosti, a to i prostřednictvím sdílení informací a mechanismů včasného varování; vyzývá k zorganizování rozsáhlých mezinárodních a vnitrostátních volebních pozorovatelských misí, včetně mise vedené Úřadem pro demokratické instituce a lidská práva (ODIHR), a k plné spolupráci s těmito misemi;</w:t>
      </w:r>
    </w:p>
    <w:p w14:paraId="0A00A4F6" w14:textId="77777777" w:rsidR="00772197" w:rsidRPr="00137DF4" w:rsidRDefault="00772197" w:rsidP="00F06CA6">
      <w:pPr>
        <w:pStyle w:val="NormalHanging12a"/>
      </w:pPr>
      <w:r w:rsidRPr="00137DF4">
        <w:t>3.</w:t>
      </w:r>
      <w:r w:rsidRPr="00137DF4">
        <w:tab/>
        <w:t>ostře kritizuje zahraniční manipulaci s informacemi a vměšování, dezinformační kampaně a jiné hybridní hrozby namířené proti Arménii, zejména ty, jejichž původcem je Rusko a jeho zástupné síly, a včetně těch, jež mají podobu kybernetických útoků a nezákonného politického financování a které k zintenzivnění takových hrozeb využívají domácí aktéry, mj. sítě oligarchů; zdůrazňuje, že tyto hrozby jsou strukturální a dlouhodobé povahy a že o posílení demokratické odolnosti je třeba usilovat neustále, i po skončení volebního cyklu; vítá v tomto ohledu vznik mise EUPM Armenia a vyzývá k větší podpoře poskytované Evropskou unií prostřednictvím strategické komunikace, mediální gramotnosti, budování kapacit v oblasti kybernetické bezpečnosti a strukturované spolupráce s on-line platformami; vyzývá arménské orgány, aby zajistily plné dodržování práv opozice, nezávislost soudů a svobodu projevu;</w:t>
      </w:r>
    </w:p>
    <w:p w14:paraId="55C533D4" w14:textId="77777777" w:rsidR="00772197" w:rsidRPr="00137DF4" w:rsidRDefault="00772197" w:rsidP="00F06CA6">
      <w:pPr>
        <w:pStyle w:val="NormalHanging12a"/>
      </w:pPr>
      <w:r w:rsidRPr="00137DF4">
        <w:t>4.</w:t>
      </w:r>
      <w:r w:rsidRPr="00137DF4">
        <w:tab/>
        <w:t>bere na vědomí specifické problémy spojené s tím, že v Arménii žije početná ruská komunita, zahrnující i osoby s dvojím státním občanstvím, a zdůrazňuje, že je nutná ostražitost vůči pokusům o zneužití této situace k ovlivňování voleb;</w:t>
      </w:r>
    </w:p>
    <w:p w14:paraId="09622A47" w14:textId="77777777" w:rsidR="00772197" w:rsidRPr="00137DF4" w:rsidRDefault="00772197" w:rsidP="00F06CA6">
      <w:pPr>
        <w:pStyle w:val="NormalHanging12a"/>
      </w:pPr>
      <w:r w:rsidRPr="00137DF4">
        <w:t>5.</w:t>
      </w:r>
      <w:r w:rsidRPr="00137DF4">
        <w:tab/>
        <w:t>vítá silnou dynamiku vztahů mezi EU a Arménií a trvalé odhodlání Arménie prosazovat demokracii, právní stát, lidská práva a ambiciózní politické a hospodářské reformy;</w:t>
      </w:r>
    </w:p>
    <w:p w14:paraId="15FCAC9A" w14:textId="77777777" w:rsidR="00772197" w:rsidRPr="00137DF4" w:rsidRDefault="00772197" w:rsidP="00F06CA6">
      <w:pPr>
        <w:pStyle w:val="NormalHanging12a"/>
      </w:pPr>
      <w:r w:rsidRPr="00137DF4">
        <w:t>6.</w:t>
      </w:r>
      <w:r w:rsidRPr="00137DF4">
        <w:tab/>
        <w:t>vítá přijetí nového strategického programu pro partnerství mezi EU a Arménií, pokrok v provádění Dohody o komplexním a posíleném partnerství a v jednání o uvolnění vízového režimu a pokračující uplatňování plánu odolnosti a růstu; v této souvislosti vítá legislativní a politické snahy Arménie, jejichž cílem je prohloubit vztahy s EU;</w:t>
      </w:r>
    </w:p>
    <w:p w14:paraId="19765C60" w14:textId="77777777" w:rsidR="00772197" w:rsidRPr="00137DF4" w:rsidRDefault="00772197" w:rsidP="00F06CA6">
      <w:pPr>
        <w:pStyle w:val="NormalHanging12a"/>
      </w:pPr>
      <w:r w:rsidRPr="00137DF4">
        <w:lastRenderedPageBreak/>
        <w:t>7.</w:t>
      </w:r>
      <w:r w:rsidRPr="00137DF4">
        <w:tab/>
        <w:t>oceňuje skutečnost, že ve dnech 4. a 5. května 2026 proběhne v Jerevanu osmý summit Evropského politického společenství a vůbec první summit EU–Arménie, který považuje za výjimečný a historický milník; domnívá se, že pořádání těchto po sobě jdoucích summitů v Jerevanu je jednoznačným politickým signálem celoevropské solidarity s Arménií a závazku EU k podpoře arménského programu míru, reforem a odolnosti; vyzývá vedoucí představitele EU a Arménie, aby této příležitosti využili a usilovali o dosažení ambiciózních a konkrétních výsledků;</w:t>
      </w:r>
    </w:p>
    <w:p w14:paraId="6CC28CD7" w14:textId="77777777" w:rsidR="00772197" w:rsidRPr="00137DF4" w:rsidRDefault="00772197" w:rsidP="00F06CA6">
      <w:pPr>
        <w:pStyle w:val="NormalHanging12a"/>
      </w:pPr>
      <w:r w:rsidRPr="00137DF4">
        <w:t>8.</w:t>
      </w:r>
      <w:r w:rsidRPr="00137DF4">
        <w:tab/>
        <w:t>vítá skutečnost, že Arménie přijala právní předpis, v němž se odráží touha této země po členství v EU, a vyzývá orgány EU a arménské úřady, aby toto politické rozhodnutí podpořily praktickými kroky, které se budou opírat o demokracii, právní stát a základní práva;</w:t>
      </w:r>
    </w:p>
    <w:p w14:paraId="7EA1F642" w14:textId="77777777" w:rsidR="00772197" w:rsidRPr="00137DF4" w:rsidRDefault="00772197" w:rsidP="00F06CA6">
      <w:pPr>
        <w:pStyle w:val="NormalHanging12a"/>
        <w:rPr>
          <w:bCs/>
        </w:rPr>
      </w:pPr>
      <w:r w:rsidRPr="00137DF4">
        <w:t>9.</w:t>
      </w:r>
      <w:r w:rsidRPr="00137DF4">
        <w:tab/>
        <w:t>vyzývá Komisi, Evropskou službu pro vnější činnost a členské státy, aby prohloubily spolupráci s Arménií v oblasti demokratické správy věcí veřejných, právního státu, reformy soudnictví, boje proti korupci, kybernetické bezpečnosti a odolnosti vůči hybridním hrozbám a aby zvýšily dostupnou podporu nezávislých médií, občanské společnosti, místních institucí a reformně orientované veřejné správy; vyzývá k tomu, aby podpora těchto snah byla úzce koordinována s mezinárodními partnery;</w:t>
      </w:r>
    </w:p>
    <w:p w14:paraId="26714062" w14:textId="77777777" w:rsidR="00772197" w:rsidRPr="00137DF4" w:rsidRDefault="00772197" w:rsidP="00F06CA6">
      <w:pPr>
        <w:pStyle w:val="NormalHanging12a"/>
        <w:rPr>
          <w:bCs/>
        </w:rPr>
      </w:pPr>
      <w:r w:rsidRPr="00137DF4">
        <w:t>10.</w:t>
      </w:r>
      <w:r w:rsidRPr="00137DF4">
        <w:tab/>
        <w:t>důrazně podporuje pokračující úsilí Arménie o mír, usmíření a úplnou normalizaci vztahů s Ázerbájdžánem; vítá pokrok, jehož bylo dosaženo v mírovém procesu, a vyzývá obě strany, aby přistoupily k uzavření komplexní a právně závazné mírové dohody; zdůrazňuje, že udržitelný mír jakékoli podoby musí být založen na respektování svrchovanosti, územní celistvosti a nedotknutelnosti hranic;</w:t>
      </w:r>
    </w:p>
    <w:p w14:paraId="61BFB38F" w14:textId="77777777" w:rsidR="00772197" w:rsidRPr="00137DF4" w:rsidRDefault="00772197" w:rsidP="00F06CA6">
      <w:pPr>
        <w:pStyle w:val="NormalHanging12a"/>
      </w:pPr>
      <w:r w:rsidRPr="00137DF4">
        <w:t>11.</w:t>
      </w:r>
      <w:r w:rsidRPr="00137DF4">
        <w:tab/>
        <w:t>vybízí k posílenému sdílení informací a spolupráci s Moldavskou republikou, za podpory EU, a to s ohledem na srovnatelné zkušenosti s vměšováním do voleb;</w:t>
      </w:r>
    </w:p>
    <w:p w14:paraId="12586B7D" w14:textId="77777777" w:rsidR="00772197" w:rsidRPr="00137DF4" w:rsidRDefault="00772197" w:rsidP="00F06CA6">
      <w:pPr>
        <w:pStyle w:val="NormalHanging12a"/>
      </w:pPr>
      <w:r w:rsidRPr="00137DF4">
        <w:t>12.</w:t>
      </w:r>
      <w:r w:rsidRPr="00137DF4">
        <w:tab/>
        <w:t>opět opakuje, že podporuje práva Arménů z Náhorního Karabachu, včetně ochrany jejich identity, majetku a kulturního dědictví, a jejich právo na bezpečný, hladký a důstojný návrat na základě odpovídajících mezinárodních záruk; vyzývá k tomu, aby osoby odpovědné za ničení arménského kulturního a náboženského dědictví byly pohnány k odpovědnosti a do země byla vyslána mezinárodní hodnotící mise;</w:t>
      </w:r>
    </w:p>
    <w:p w14:paraId="65205B85" w14:textId="77777777" w:rsidR="00772197" w:rsidRPr="00137DF4" w:rsidRDefault="00772197" w:rsidP="00F06CA6">
      <w:pPr>
        <w:pStyle w:val="NormalHanging12a"/>
        <w:rPr>
          <w:bCs/>
        </w:rPr>
      </w:pPr>
      <w:r w:rsidRPr="00137DF4">
        <w:t>13.</w:t>
      </w:r>
      <w:r w:rsidRPr="00137DF4">
        <w:tab/>
        <w:t>kritizuje Ázerbájdžán za to, že nespravedlivě zadržuje arménské válečné zajatce, zatčené osoby a rukojmí; požaduje jejich okamžité a bezpodmínečné propuštění; bere na vědomí kroky, které byly dosud učiněny, a vyzývá k přijetí dalších opatření v zájmu budování důvěry; vyzývá k plnému dodržování mezinárodního humanitárního práva a lidských práv;</w:t>
      </w:r>
    </w:p>
    <w:p w14:paraId="2563F79A" w14:textId="77777777" w:rsidR="00772197" w:rsidRPr="00137DF4" w:rsidRDefault="00772197" w:rsidP="00F06CA6">
      <w:pPr>
        <w:pStyle w:val="NormalHanging12a"/>
      </w:pPr>
      <w:r w:rsidRPr="00137DF4">
        <w:t>14.</w:t>
      </w:r>
      <w:r w:rsidRPr="00137DF4">
        <w:tab/>
        <w:t>vyzývá EU, aby zvýšila finanční a technickou pomoc poskytovanou Arménii, mimo jiné prostřednictvím plánu pro odolnost a růst, a zaměřila ji na posilování institucionální odolnosti, energetické bezpečnosti, digitální správy a hospodářské diverzifikace a na snižování strukturální závislosti v kritických odvětvích, jako je energetika, doprava a infrastruktura; vybízí arménskou vládu, aby na reformy navázala dalšími kroky;</w:t>
      </w:r>
    </w:p>
    <w:p w14:paraId="071E9335" w14:textId="77777777" w:rsidR="00772197" w:rsidRPr="00137DF4" w:rsidRDefault="00772197" w:rsidP="00F06CA6">
      <w:pPr>
        <w:pStyle w:val="NormalHanging12a"/>
      </w:pPr>
      <w:r w:rsidRPr="00137DF4">
        <w:t>15.</w:t>
      </w:r>
      <w:r w:rsidRPr="00137DF4">
        <w:tab/>
        <w:t xml:space="preserve">vítá přijetí strategie pro občanskou společnosti v rámci mise EUMA; považuje to za důležitý krok k rozšíření spolupráce mise s arménskou občanskou společností nad rámec jejího hlavního mandátu, kterým je monitorování bezpečnosti, a vybízí misi EUMA, aby v rámci své podpory demokratické odolnosti posílila své kontakty </w:t>
      </w:r>
      <w:r w:rsidRPr="00137DF4">
        <w:lastRenderedPageBreak/>
        <w:t>s místními demokratickými aktéry, komunitními organizacemi a nezávislými médii; oceňuje práci arménské občanské společnosti na vyšetřování zahraničního vměšování, kybernetických útoků a dezinformací šířených na internetu;</w:t>
      </w:r>
    </w:p>
    <w:p w14:paraId="3B021DF0" w14:textId="77777777" w:rsidR="00772197" w:rsidRPr="00137DF4" w:rsidRDefault="00772197" w:rsidP="00F06CA6">
      <w:pPr>
        <w:pStyle w:val="NormalHanging12a"/>
        <w:rPr>
          <w:bCs/>
        </w:rPr>
      </w:pPr>
      <w:r w:rsidRPr="00137DF4">
        <w:t>16.</w:t>
      </w:r>
      <w:r w:rsidRPr="00137DF4">
        <w:tab/>
        <w:t>vítá pokračující úsilí o normalizaci vztahů mezi Arménií a Tureckem jako důležitý přínos k regionální stabilitě, usmíření a konektivitě; vyzývá obě strany, aby v dobré víře pokračovaly a učinily další kroky k budování důvěry, včetně znovuotevření hranic, což by významně přispělo k regionální stabilitě, usmíření a konektivitě;</w:t>
      </w:r>
    </w:p>
    <w:p w14:paraId="5B43572E" w14:textId="69C52FF2" w:rsidR="008F34E7" w:rsidRPr="00137DF4" w:rsidRDefault="00772197" w:rsidP="00F06CA6">
      <w:pPr>
        <w:pStyle w:val="NormalHanging12a"/>
      </w:pPr>
      <w:r w:rsidRPr="00137DF4">
        <w:t>17.</w:t>
      </w:r>
      <w:r w:rsidRPr="00137DF4">
        <w:tab/>
        <w:t>pověřuje svou předsedkyni, aby předala toto usnesení Radě, Komisi, místopředsedkyni Komise, vysoké představitelce Unie pro zahraniční věci a bezpečnostní politiku, vládám a parlamentům členských států, prezidentovi, vládě a parlamentu Arménské republiky, Organizaci pro bezpečnost a spolupráci v Evropě, Radě Evropy a Organizaci spojených národů.</w:t>
      </w:r>
    </w:p>
    <w:p w14:paraId="668D8376" w14:textId="1CB9FF15" w:rsidR="00E365E1" w:rsidRPr="00137DF4" w:rsidRDefault="00E365E1" w:rsidP="00F06CA6">
      <w:pPr>
        <w:spacing w:after="240"/>
        <w:ind w:left="567" w:hanging="567"/>
      </w:pPr>
    </w:p>
    <w:sectPr w:rsidR="00E365E1" w:rsidRPr="00137DF4" w:rsidSect="008F34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F18F9" w14:textId="77777777" w:rsidR="003D6394" w:rsidRPr="008F34E7" w:rsidRDefault="003D6394">
      <w:r w:rsidRPr="008F34E7">
        <w:separator/>
      </w:r>
    </w:p>
  </w:endnote>
  <w:endnote w:type="continuationSeparator" w:id="0">
    <w:p w14:paraId="6A9D831F" w14:textId="77777777" w:rsidR="003D6394" w:rsidRPr="008F34E7" w:rsidRDefault="003D6394">
      <w:r w:rsidRPr="008F34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AB06A" w14:textId="77777777" w:rsidR="00064002" w:rsidRPr="008F34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C0879" w14:textId="77777777" w:rsidR="00064002" w:rsidRPr="008F34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B2BC8" w14:textId="77777777" w:rsidR="00064002" w:rsidRPr="008F34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C9EAE" w14:textId="77777777" w:rsidR="003D6394" w:rsidRPr="008F34E7" w:rsidRDefault="003D6394">
      <w:r w:rsidRPr="008F34E7">
        <w:separator/>
      </w:r>
    </w:p>
  </w:footnote>
  <w:footnote w:type="continuationSeparator" w:id="0">
    <w:p w14:paraId="18A1DBD2" w14:textId="77777777" w:rsidR="003D6394" w:rsidRPr="008F34E7" w:rsidRDefault="003D6394">
      <w:r w:rsidRPr="008F34E7">
        <w:continuationSeparator/>
      </w:r>
    </w:p>
  </w:footnote>
  <w:footnote w:id="1">
    <w:p w14:paraId="26F2AF87" w14:textId="731E90B6" w:rsidR="00772197" w:rsidRPr="008F34E7" w:rsidRDefault="00772197" w:rsidP="008F34E7">
      <w:pPr>
        <w:pStyle w:val="FootnoteText"/>
        <w:ind w:left="567" w:hanging="567"/>
        <w:rPr>
          <w:sz w:val="24"/>
          <w:lang w:val="cs-CZ"/>
        </w:rPr>
      </w:pPr>
      <w:r w:rsidRPr="008F34E7">
        <w:rPr>
          <w:rStyle w:val="FootnoteReference"/>
          <w:sz w:val="24"/>
          <w:lang w:val="cs-CZ"/>
        </w:rPr>
        <w:footnoteRef/>
      </w:r>
      <w:r w:rsidR="008F34E7" w:rsidRPr="008F34E7">
        <w:rPr>
          <w:sz w:val="24"/>
          <w:lang w:val="cs-CZ"/>
        </w:rPr>
        <w:t xml:space="preserve"> </w:t>
      </w:r>
      <w:r w:rsidR="008F34E7" w:rsidRPr="008F34E7">
        <w:rPr>
          <w:sz w:val="24"/>
          <w:lang w:val="cs-CZ"/>
        </w:rPr>
        <w:tab/>
      </w:r>
      <w:r w:rsidRPr="008F34E7">
        <w:rPr>
          <w:sz w:val="24"/>
          <w:lang w:val="cs-CZ"/>
        </w:rPr>
        <w:t>Úř. věst. L 23, 26</w:t>
      </w:r>
      <w:r w:rsidR="004C35AB">
        <w:rPr>
          <w:sz w:val="24"/>
          <w:lang w:val="cs-CZ"/>
        </w:rPr>
        <w:t>.</w:t>
      </w:r>
      <w:r w:rsidRPr="008F34E7">
        <w:rPr>
          <w:sz w:val="24"/>
          <w:lang w:val="cs-CZ"/>
        </w:rPr>
        <w:t>1</w:t>
      </w:r>
      <w:r w:rsidR="004C35AB">
        <w:rPr>
          <w:sz w:val="24"/>
          <w:lang w:val="cs-CZ"/>
        </w:rPr>
        <w:t>.</w:t>
      </w:r>
      <w:r w:rsidRPr="008F34E7">
        <w:rPr>
          <w:sz w:val="24"/>
          <w:lang w:val="cs-CZ"/>
        </w:rPr>
        <w:t xml:space="preserve">2018, s. 4, ELI: </w:t>
      </w:r>
      <w:hyperlink r:id="rId1" w:history="1">
        <w:r w:rsidRPr="008F34E7">
          <w:rPr>
            <w:rStyle w:val="Hyperlink"/>
            <w:sz w:val="24"/>
            <w:lang w:val="cs-CZ"/>
          </w:rPr>
          <w:t>http://data.europa.eu/eli/agree_internation/2018/104/oj</w:t>
        </w:r>
      </w:hyperlink>
      <w:r w:rsidRPr="008F34E7">
        <w:rPr>
          <w:sz w:val="24"/>
          <w:lang w:val="cs-CZ"/>
        </w:rPr>
        <w:t>.</w:t>
      </w:r>
    </w:p>
  </w:footnote>
  <w:footnote w:id="2">
    <w:p w14:paraId="47448E08" w14:textId="70EB3C8B" w:rsidR="00772197" w:rsidRPr="008F34E7" w:rsidRDefault="00772197" w:rsidP="008F34E7">
      <w:pPr>
        <w:pStyle w:val="FootnoteText"/>
        <w:ind w:left="567" w:hanging="567"/>
        <w:rPr>
          <w:sz w:val="24"/>
          <w:lang w:val="cs-CZ"/>
        </w:rPr>
      </w:pPr>
      <w:r w:rsidRPr="008F34E7">
        <w:rPr>
          <w:rStyle w:val="FootnoteReference"/>
          <w:sz w:val="24"/>
          <w:lang w:val="cs-CZ"/>
        </w:rPr>
        <w:footnoteRef/>
      </w:r>
      <w:r w:rsidR="008F34E7" w:rsidRPr="008F34E7">
        <w:rPr>
          <w:sz w:val="24"/>
          <w:lang w:val="cs-CZ"/>
        </w:rPr>
        <w:t xml:space="preserve"> </w:t>
      </w:r>
      <w:r w:rsidR="008F34E7" w:rsidRPr="008F34E7">
        <w:rPr>
          <w:sz w:val="24"/>
          <w:lang w:val="cs-CZ"/>
        </w:rPr>
        <w:tab/>
      </w:r>
      <w:r w:rsidRPr="008F34E7">
        <w:rPr>
          <w:sz w:val="24"/>
          <w:lang w:val="cs-CZ"/>
        </w:rPr>
        <w:t xml:space="preserve">Úř. věst. L, 2025/211, 31.1.2025, ELI: </w:t>
      </w:r>
      <w:hyperlink r:id="rId2" w:history="1">
        <w:r w:rsidRPr="008F34E7">
          <w:rPr>
            <w:rStyle w:val="Hyperlink"/>
            <w:sz w:val="24"/>
            <w:lang w:val="cs-CZ"/>
          </w:rPr>
          <w:t>http://data.europa.eu/eli/dec/2025/211/oj</w:t>
        </w:r>
      </w:hyperlink>
      <w:r w:rsidRPr="008F34E7">
        <w:rPr>
          <w:sz w:val="24"/>
          <w:lang w:val="cs-CZ"/>
        </w:rPr>
        <w:t>.</w:t>
      </w:r>
    </w:p>
  </w:footnote>
  <w:footnote w:id="3">
    <w:p w14:paraId="2C09A764" w14:textId="1038EF32" w:rsidR="00772197" w:rsidRPr="008F34E7" w:rsidRDefault="00772197" w:rsidP="008F34E7">
      <w:pPr>
        <w:pStyle w:val="FootnoteText"/>
        <w:ind w:left="567" w:hanging="567"/>
        <w:rPr>
          <w:sz w:val="24"/>
          <w:lang w:val="cs-CZ"/>
        </w:rPr>
      </w:pPr>
      <w:r w:rsidRPr="008F34E7">
        <w:rPr>
          <w:rStyle w:val="FootnoteReference"/>
          <w:sz w:val="24"/>
          <w:lang w:val="cs-CZ"/>
        </w:rPr>
        <w:footnoteRef/>
      </w:r>
      <w:r w:rsidR="008F34E7" w:rsidRPr="008F34E7">
        <w:rPr>
          <w:sz w:val="24"/>
          <w:lang w:val="cs-CZ"/>
        </w:rPr>
        <w:t xml:space="preserve"> </w:t>
      </w:r>
      <w:r w:rsidR="008F34E7" w:rsidRPr="008F34E7">
        <w:rPr>
          <w:sz w:val="24"/>
          <w:lang w:val="cs-CZ"/>
        </w:rPr>
        <w:tab/>
      </w:r>
      <w:r w:rsidRPr="008F34E7">
        <w:rPr>
          <w:sz w:val="24"/>
          <w:lang w:val="cs-CZ"/>
        </w:rPr>
        <w:t xml:space="preserve">Úř. věst. L, 2026/894, 22.4.2026, ELI: </w:t>
      </w:r>
      <w:hyperlink r:id="rId3" w:history="1">
        <w:r w:rsidRPr="008F34E7">
          <w:rPr>
            <w:rStyle w:val="Hyperlink"/>
            <w:sz w:val="24"/>
            <w:lang w:val="cs-CZ"/>
          </w:rPr>
          <w:t>http://data.europa.eu/eli/dec/2026/894/oj</w:t>
        </w:r>
      </w:hyperlink>
      <w:r w:rsidRPr="008F34E7">
        <w:rPr>
          <w:sz w:val="24"/>
          <w:lang w:val="cs-CZ"/>
        </w:rPr>
        <w:t>.</w:t>
      </w:r>
    </w:p>
  </w:footnote>
  <w:footnote w:id="4">
    <w:p w14:paraId="0967830B" w14:textId="093ADE7C" w:rsidR="00772197" w:rsidRPr="008F34E7" w:rsidRDefault="00772197" w:rsidP="008F34E7">
      <w:pPr>
        <w:pStyle w:val="FootnoteText"/>
        <w:ind w:left="567" w:hanging="567"/>
        <w:rPr>
          <w:sz w:val="24"/>
          <w:lang w:val="cs-CZ"/>
        </w:rPr>
      </w:pPr>
      <w:r w:rsidRPr="008F34E7">
        <w:rPr>
          <w:rStyle w:val="FootnoteReference"/>
          <w:sz w:val="24"/>
          <w:lang w:val="cs-CZ"/>
        </w:rPr>
        <w:footnoteRef/>
      </w:r>
      <w:r w:rsidR="008F34E7" w:rsidRPr="008F34E7">
        <w:rPr>
          <w:sz w:val="24"/>
          <w:lang w:val="cs-CZ"/>
        </w:rPr>
        <w:t xml:space="preserve"> </w:t>
      </w:r>
      <w:r w:rsidR="008F34E7" w:rsidRPr="008F34E7">
        <w:rPr>
          <w:sz w:val="24"/>
          <w:lang w:val="cs-CZ"/>
        </w:rPr>
        <w:tab/>
      </w:r>
      <w:r w:rsidRPr="008F34E7">
        <w:rPr>
          <w:sz w:val="24"/>
          <w:lang w:val="cs-CZ"/>
        </w:rPr>
        <w:t xml:space="preserve">Úř. věst. L, 2024/2010, 23.7.2024, ELI: </w:t>
      </w:r>
      <w:hyperlink r:id="rId4" w:history="1">
        <w:r w:rsidRPr="008F34E7">
          <w:rPr>
            <w:rStyle w:val="Hyperlink"/>
            <w:sz w:val="24"/>
            <w:lang w:val="cs-CZ"/>
          </w:rPr>
          <w:t>http://data.europa.eu/eli/dec/2024/2010/oj</w:t>
        </w:r>
      </w:hyperlink>
      <w:r w:rsidRPr="008F34E7">
        <w:rPr>
          <w:sz w:val="24"/>
          <w:lang w:val="cs-CZ"/>
        </w:rPr>
        <w:t>.</w:t>
      </w:r>
    </w:p>
  </w:footnote>
  <w:footnote w:id="5">
    <w:p w14:paraId="631AFD0F" w14:textId="6FE22CA5" w:rsidR="00772197" w:rsidRPr="008F34E7" w:rsidRDefault="00772197" w:rsidP="008F34E7">
      <w:pPr>
        <w:pStyle w:val="FootnoteText"/>
        <w:ind w:left="567" w:hanging="567"/>
        <w:rPr>
          <w:sz w:val="24"/>
          <w:lang w:val="cs-CZ"/>
        </w:rPr>
      </w:pPr>
      <w:r w:rsidRPr="008F34E7">
        <w:rPr>
          <w:rStyle w:val="FootnoteReference"/>
          <w:sz w:val="24"/>
          <w:lang w:val="cs-CZ"/>
        </w:rPr>
        <w:footnoteRef/>
      </w:r>
      <w:r w:rsidR="008F34E7" w:rsidRPr="008F34E7">
        <w:rPr>
          <w:sz w:val="24"/>
          <w:lang w:val="cs-CZ"/>
        </w:rPr>
        <w:t xml:space="preserve"> </w:t>
      </w:r>
      <w:r w:rsidR="008F34E7" w:rsidRPr="008F34E7">
        <w:rPr>
          <w:sz w:val="24"/>
          <w:lang w:val="cs-CZ"/>
        </w:rPr>
        <w:tab/>
      </w:r>
      <w:r w:rsidRPr="008F34E7">
        <w:rPr>
          <w:sz w:val="24"/>
          <w:lang w:val="cs-CZ"/>
        </w:rPr>
        <w:t xml:space="preserve">Dohoda mezi Evropskou unií a Arménskou republikou o rámci pro účast Arménské republiky na operacích Evropské unie pro řešení krizí (Úř. věst. L, 2025/1553, 31.7.2025, ELI: </w:t>
      </w:r>
      <w:hyperlink r:id="rId5" w:history="1">
        <w:r w:rsidRPr="008F34E7">
          <w:rPr>
            <w:rStyle w:val="Hyperlink"/>
            <w:sz w:val="24"/>
            <w:lang w:val="cs-CZ"/>
          </w:rPr>
          <w:t>http://data.europa.eu/eli/agree_internation/2025/1553/oj</w:t>
        </w:r>
      </w:hyperlink>
      <w:r w:rsidRPr="008F34E7">
        <w:rPr>
          <w:sz w:val="24"/>
          <w:lang w:val="cs-CZ"/>
        </w:rPr>
        <w:t>).</w:t>
      </w:r>
    </w:p>
  </w:footnote>
  <w:footnote w:id="6">
    <w:p w14:paraId="1D6B0DE8" w14:textId="35B61ABF" w:rsidR="00772197" w:rsidRPr="008F34E7" w:rsidRDefault="00772197" w:rsidP="008F34E7">
      <w:pPr>
        <w:pStyle w:val="FootnoteText"/>
        <w:ind w:left="567" w:hanging="567"/>
        <w:rPr>
          <w:sz w:val="24"/>
          <w:lang w:val="cs-CZ"/>
        </w:rPr>
      </w:pPr>
      <w:r w:rsidRPr="008F34E7">
        <w:rPr>
          <w:rStyle w:val="FootnoteReference"/>
          <w:sz w:val="24"/>
          <w:lang w:val="cs-CZ"/>
        </w:rPr>
        <w:footnoteRef/>
      </w:r>
      <w:r w:rsidR="008F34E7" w:rsidRPr="008F34E7">
        <w:rPr>
          <w:sz w:val="24"/>
          <w:lang w:val="cs-CZ"/>
        </w:rPr>
        <w:t xml:space="preserve"> </w:t>
      </w:r>
      <w:r w:rsidR="008F34E7" w:rsidRPr="008F34E7">
        <w:rPr>
          <w:sz w:val="24"/>
          <w:lang w:val="cs-CZ"/>
        </w:rPr>
        <w:tab/>
      </w:r>
      <w:r w:rsidRPr="008F34E7">
        <w:rPr>
          <w:sz w:val="24"/>
          <w:lang w:val="cs-CZ"/>
        </w:rPr>
        <w:t>Úř. věst. C 328, 6.9.2016, s.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77A25" w14:textId="77777777" w:rsidR="00064002" w:rsidRPr="008F34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D692" w14:textId="77777777" w:rsidR="00064002" w:rsidRPr="008F34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6C829" w14:textId="77777777" w:rsidR="00064002" w:rsidRPr="008F34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4955889">
    <w:abstractNumId w:val="9"/>
  </w:num>
  <w:num w:numId="2" w16cid:durableId="701590267">
    <w:abstractNumId w:val="9"/>
  </w:num>
  <w:num w:numId="3" w16cid:durableId="1078601207">
    <w:abstractNumId w:val="7"/>
  </w:num>
  <w:num w:numId="4" w16cid:durableId="425614388">
    <w:abstractNumId w:val="7"/>
  </w:num>
  <w:num w:numId="5" w16cid:durableId="1846433699">
    <w:abstractNumId w:val="6"/>
  </w:num>
  <w:num w:numId="6" w16cid:durableId="1050836645">
    <w:abstractNumId w:val="6"/>
  </w:num>
  <w:num w:numId="7" w16cid:durableId="192810808">
    <w:abstractNumId w:val="5"/>
  </w:num>
  <w:num w:numId="8" w16cid:durableId="54353061">
    <w:abstractNumId w:val="5"/>
  </w:num>
  <w:num w:numId="9" w16cid:durableId="49694194">
    <w:abstractNumId w:val="4"/>
  </w:num>
  <w:num w:numId="10" w16cid:durableId="1893809315">
    <w:abstractNumId w:val="4"/>
  </w:num>
  <w:num w:numId="11" w16cid:durableId="72897414">
    <w:abstractNumId w:val="8"/>
  </w:num>
  <w:num w:numId="12" w16cid:durableId="2122607313">
    <w:abstractNumId w:val="8"/>
  </w:num>
  <w:num w:numId="13" w16cid:durableId="1663197077">
    <w:abstractNumId w:val="3"/>
  </w:num>
  <w:num w:numId="14" w16cid:durableId="1928223756">
    <w:abstractNumId w:val="3"/>
  </w:num>
  <w:num w:numId="15" w16cid:durableId="509879500">
    <w:abstractNumId w:val="2"/>
  </w:num>
  <w:num w:numId="16" w16cid:durableId="968828051">
    <w:abstractNumId w:val="2"/>
  </w:num>
  <w:num w:numId="17" w16cid:durableId="1694384787">
    <w:abstractNumId w:val="1"/>
  </w:num>
  <w:num w:numId="18" w16cid:durableId="1707874768">
    <w:abstractNumId w:val="1"/>
  </w:num>
  <w:num w:numId="19" w16cid:durableId="1478257478">
    <w:abstractNumId w:val="0"/>
  </w:num>
  <w:num w:numId="20" w16cid:durableId="802697732">
    <w:abstractNumId w:val="0"/>
  </w:num>
  <w:num w:numId="21" w16cid:durableId="553277493">
    <w:abstractNumId w:val="9"/>
  </w:num>
  <w:num w:numId="22" w16cid:durableId="1900245882">
    <w:abstractNumId w:val="7"/>
  </w:num>
  <w:num w:numId="23" w16cid:durableId="187989823">
    <w:abstractNumId w:val="6"/>
  </w:num>
  <w:num w:numId="24" w16cid:durableId="1737895974">
    <w:abstractNumId w:val="5"/>
  </w:num>
  <w:num w:numId="25" w16cid:durableId="1117793681">
    <w:abstractNumId w:val="4"/>
  </w:num>
  <w:num w:numId="26" w16cid:durableId="1220676622">
    <w:abstractNumId w:val="8"/>
  </w:num>
  <w:num w:numId="27" w16cid:durableId="126508447">
    <w:abstractNumId w:val="3"/>
  </w:num>
  <w:num w:numId="28" w16cid:durableId="1507554127">
    <w:abstractNumId w:val="2"/>
  </w:num>
  <w:num w:numId="29" w16cid:durableId="1955164059">
    <w:abstractNumId w:val="1"/>
  </w:num>
  <w:num w:numId="30" w16cid:durableId="786700107">
    <w:abstractNumId w:val="0"/>
  </w:num>
  <w:num w:numId="31" w16cid:durableId="327055280">
    <w:abstractNumId w:val="9"/>
  </w:num>
  <w:num w:numId="32" w16cid:durableId="1606110998">
    <w:abstractNumId w:val="7"/>
  </w:num>
  <w:num w:numId="33" w16cid:durableId="1008098254">
    <w:abstractNumId w:val="6"/>
  </w:num>
  <w:num w:numId="34" w16cid:durableId="659506639">
    <w:abstractNumId w:val="5"/>
  </w:num>
  <w:num w:numId="35" w16cid:durableId="471795266">
    <w:abstractNumId w:val="4"/>
  </w:num>
  <w:num w:numId="36" w16cid:durableId="804546385">
    <w:abstractNumId w:val="8"/>
  </w:num>
  <w:num w:numId="37" w16cid:durableId="461316255">
    <w:abstractNumId w:val="3"/>
  </w:num>
  <w:num w:numId="38" w16cid:durableId="1601716443">
    <w:abstractNumId w:val="2"/>
  </w:num>
  <w:num w:numId="39" w16cid:durableId="285162731">
    <w:abstractNumId w:val="1"/>
  </w:num>
  <w:num w:numId="40" w16cid:durableId="349569573">
    <w:abstractNumId w:val="0"/>
  </w:num>
  <w:num w:numId="41" w16cid:durableId="557018147">
    <w:abstractNumId w:val="10"/>
  </w:num>
  <w:num w:numId="42" w16cid:durableId="693847975">
    <w:abstractNumId w:val="10"/>
  </w:num>
  <w:num w:numId="43" w16cid:durableId="241989401">
    <w:abstractNumId w:val="10"/>
  </w:num>
  <w:num w:numId="44" w16cid:durableId="7340097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95/2026"/>
    <w:docVar w:name="dvlangue" w:val="CS"/>
    <w:docVar w:name="dvnumam" w:val="0"/>
    <w:docVar w:name="dvpe" w:val="783.229"/>
    <w:docVar w:name="dvtitre" w:val="Usnesení Evropského parlamentu ze dne 30. dubna 2026 o podpoře demokratické odolnosti Arménie(2026/2701(RSP))"/>
  </w:docVars>
  <w:rsids>
    <w:rsidRoot w:val="003D6394"/>
    <w:rsid w:val="00002272"/>
    <w:rsid w:val="00064002"/>
    <w:rsid w:val="000677B9"/>
    <w:rsid w:val="000831BA"/>
    <w:rsid w:val="000A42CC"/>
    <w:rsid w:val="000E7DD9"/>
    <w:rsid w:val="0010095E"/>
    <w:rsid w:val="00125B37"/>
    <w:rsid w:val="00137DF4"/>
    <w:rsid w:val="001845FB"/>
    <w:rsid w:val="00187494"/>
    <w:rsid w:val="001D01AE"/>
    <w:rsid w:val="001F32AE"/>
    <w:rsid w:val="002767FF"/>
    <w:rsid w:val="002B18FE"/>
    <w:rsid w:val="002B5493"/>
    <w:rsid w:val="00343214"/>
    <w:rsid w:val="00361C00"/>
    <w:rsid w:val="00395FA1"/>
    <w:rsid w:val="003D6394"/>
    <w:rsid w:val="003E15D4"/>
    <w:rsid w:val="00411CCE"/>
    <w:rsid w:val="0041666E"/>
    <w:rsid w:val="00421060"/>
    <w:rsid w:val="00471C19"/>
    <w:rsid w:val="004867E3"/>
    <w:rsid w:val="00494A28"/>
    <w:rsid w:val="004C0004"/>
    <w:rsid w:val="004C35AB"/>
    <w:rsid w:val="004C5D52"/>
    <w:rsid w:val="0050519A"/>
    <w:rsid w:val="005072A1"/>
    <w:rsid w:val="00514517"/>
    <w:rsid w:val="00545827"/>
    <w:rsid w:val="00560270"/>
    <w:rsid w:val="005B6BE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2197"/>
    <w:rsid w:val="00786EC0"/>
    <w:rsid w:val="0079734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4E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6CA6"/>
    <w:rsid w:val="00F075DC"/>
    <w:rsid w:val="00F149E9"/>
    <w:rsid w:val="00F5134D"/>
    <w:rsid w:val="00F53E6E"/>
    <w:rsid w:val="00F5464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86A9B"/>
  <w15:chartTrackingRefBased/>
  <w15:docId w15:val="{9DD5D984-193C-4921-9924-FE5D2A2E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72197"/>
    <w:pPr>
      <w:spacing w:after="240"/>
      <w:ind w:left="567" w:hanging="567"/>
    </w:pPr>
  </w:style>
  <w:style w:type="paragraph" w:customStyle="1" w:styleId="EPComma">
    <w:name w:val="EPComma"/>
    <w:basedOn w:val="Normal"/>
    <w:rsid w:val="00772197"/>
    <w:pPr>
      <w:spacing w:before="480" w:after="240"/>
    </w:pPr>
  </w:style>
  <w:style w:type="character" w:styleId="Hyperlink">
    <w:name w:val="Hyperlink"/>
    <w:basedOn w:val="DefaultParagraphFont"/>
    <w:rsid w:val="007721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6/894/oj" TargetMode="External"/><Relationship Id="rId2" Type="http://schemas.openxmlformats.org/officeDocument/2006/relationships/hyperlink" Target="http://data.europa.eu/eli/dec/2025/211/oj" TargetMode="External"/><Relationship Id="rId1" Type="http://schemas.openxmlformats.org/officeDocument/2006/relationships/hyperlink" Target="http://data.europa.eu/eli/agree_internation/2018/104/oj" TargetMode="External"/><Relationship Id="rId5" Type="http://schemas.openxmlformats.org/officeDocument/2006/relationships/hyperlink" Target="http://data.europa.eu/eli/agree_internation/2025/1553/oj" TargetMode="External"/><Relationship Id="rId4" Type="http://schemas.openxmlformats.org/officeDocument/2006/relationships/hyperlink" Target="http://data.europa.eu/eli/dec/2024/20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2195</Words>
  <Characters>13079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SMAKALOVA Sona</cp:lastModifiedBy>
  <cp:revision>2</cp:revision>
  <cp:lastPrinted>2004-11-19T15:42:00Z</cp:lastPrinted>
  <dcterms:created xsi:type="dcterms:W3CDTF">2026-06-05T08:37:00Z</dcterms:created>
  <dcterms:modified xsi:type="dcterms:W3CDTF">2026-06-05T08:37:00Z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B10-0195/2026</vt:lpwstr>
  </property>
  <property fmtid="{D5CDD505-2E9C-101B-9397-08002B2CF9AE}" pid="4" name="&lt;Type&gt;">
    <vt:lpwstr>RR</vt:lpwstr>
  </property>
</Properties>
</file>