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6821" w14:paraId="02E3BD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D24C71" w14:textId="77777777" w:rsidR="00751A4A" w:rsidRPr="00ED6821" w:rsidRDefault="009F282A" w:rsidP="0010095E">
            <w:pPr>
              <w:pStyle w:val="EPName"/>
            </w:pPr>
            <w:r w:rsidRPr="00ED6821">
              <w:t>Europski parlament</w:t>
            </w:r>
          </w:p>
          <w:p w14:paraId="5ACB6EA1" w14:textId="77777777" w:rsidR="00751A4A" w:rsidRPr="00ED68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6821">
              <w:t>2024</w:t>
            </w:r>
            <w:r w:rsidR="00817416" w:rsidRPr="00ED6821">
              <w:t>-202</w:t>
            </w:r>
            <w:r w:rsidRPr="00ED6821">
              <w:t>9</w:t>
            </w:r>
          </w:p>
        </w:tc>
        <w:tc>
          <w:tcPr>
            <w:tcW w:w="2268" w:type="dxa"/>
            <w:shd w:val="clear" w:color="auto" w:fill="auto"/>
          </w:tcPr>
          <w:p w14:paraId="495FFFC3" w14:textId="77777777" w:rsidR="00751A4A" w:rsidRPr="00ED6821" w:rsidRDefault="00187494" w:rsidP="0010095E">
            <w:pPr>
              <w:pStyle w:val="EPLogo"/>
            </w:pPr>
            <w:r w:rsidRPr="00ED6821">
              <w:rPr>
                <w:noProof/>
                <w:lang w:eastAsia="ja-JP"/>
              </w:rPr>
              <w:drawing>
                <wp:inline distT="0" distB="0" distL="0" distR="0" wp14:anchorId="52149B02" wp14:editId="7B8B90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B784D" w14:textId="77777777" w:rsidR="00D058B8" w:rsidRPr="00ED6821" w:rsidRDefault="00D058B8" w:rsidP="004C5D52">
      <w:pPr>
        <w:pStyle w:val="LineTop"/>
      </w:pPr>
    </w:p>
    <w:p w14:paraId="65731703" w14:textId="77777777" w:rsidR="00680577" w:rsidRPr="00ED6821" w:rsidRDefault="009F282A" w:rsidP="00680577">
      <w:pPr>
        <w:pStyle w:val="EPBodyTA1"/>
      </w:pPr>
      <w:r w:rsidRPr="00ED6821">
        <w:t>USVOJENI TEKSTOVI</w:t>
      </w:r>
    </w:p>
    <w:p w14:paraId="0B46B45F" w14:textId="77777777" w:rsidR="00D058B8" w:rsidRPr="00ED6821" w:rsidRDefault="00D058B8" w:rsidP="00D058B8">
      <w:pPr>
        <w:pStyle w:val="LineBottom"/>
      </w:pPr>
    </w:p>
    <w:p w14:paraId="328251AA" w14:textId="550E61D1" w:rsidR="009F282A" w:rsidRPr="00ED6821" w:rsidRDefault="009F282A" w:rsidP="009F282A">
      <w:pPr>
        <w:pStyle w:val="ATHeading1"/>
      </w:pPr>
      <w:bookmarkStart w:id="0" w:name="TANumber"/>
      <w:r w:rsidRPr="00ED6821">
        <w:t>P10_TA(2026)0</w:t>
      </w:r>
      <w:r w:rsidR="008B6AC6">
        <w:t>162</w:t>
      </w:r>
      <w:bookmarkEnd w:id="0"/>
    </w:p>
    <w:p w14:paraId="4C83C697" w14:textId="77777777" w:rsidR="009F282A" w:rsidRPr="00ED6821" w:rsidRDefault="009F282A" w:rsidP="009F282A">
      <w:pPr>
        <w:pStyle w:val="ATHeading2"/>
      </w:pPr>
      <w:bookmarkStart w:id="1" w:name="title"/>
      <w:r w:rsidRPr="00ED6821">
        <w:t>Potpora demokratskoj otpornosti u Armeniji</w:t>
      </w:r>
      <w:bookmarkEnd w:id="1"/>
    </w:p>
    <w:p w14:paraId="766674E8" w14:textId="7CAB1721" w:rsidR="009F282A" w:rsidRPr="00ED6821" w:rsidRDefault="009F282A" w:rsidP="009F282A">
      <w:pPr>
        <w:rPr>
          <w:i/>
          <w:vanish/>
        </w:rPr>
      </w:pPr>
      <w:r w:rsidRPr="00ED6821">
        <w:rPr>
          <w:i/>
        </w:rPr>
        <w:fldChar w:fldCharType="begin"/>
      </w:r>
      <w:r w:rsidRPr="00ED6821">
        <w:rPr>
          <w:i/>
        </w:rPr>
        <w:instrText xml:space="preserve"> TC"(</w:instrText>
      </w:r>
      <w:bookmarkStart w:id="2" w:name="DocNumber"/>
      <w:r w:rsidRPr="00ED6821">
        <w:rPr>
          <w:i/>
        </w:rPr>
        <w:instrText>B10-0195</w:instrText>
      </w:r>
      <w:r w:rsidR="00FC6445">
        <w:rPr>
          <w:i/>
        </w:rPr>
        <w:instrText>, 0196, 0198, 0199 i 0200</w:instrText>
      </w:r>
      <w:r w:rsidRPr="00ED6821">
        <w:rPr>
          <w:i/>
        </w:rPr>
        <w:instrText>/2026</w:instrText>
      </w:r>
      <w:bookmarkEnd w:id="2"/>
      <w:r w:rsidRPr="00ED6821">
        <w:rPr>
          <w:i/>
        </w:rPr>
        <w:instrText xml:space="preserve">)"\l3 \n&gt; \* MERGEFORMAT </w:instrText>
      </w:r>
      <w:r w:rsidRPr="00ED6821">
        <w:rPr>
          <w:i/>
        </w:rPr>
        <w:fldChar w:fldCharType="end"/>
      </w:r>
    </w:p>
    <w:p w14:paraId="539FD141" w14:textId="77777777" w:rsidR="009F282A" w:rsidRPr="00ED6821" w:rsidRDefault="009F282A" w:rsidP="009F282A">
      <w:pPr>
        <w:rPr>
          <w:vanish/>
        </w:rPr>
      </w:pPr>
      <w:bookmarkStart w:id="3" w:name="PE"/>
      <w:r w:rsidRPr="00ED6821">
        <w:rPr>
          <w:vanish/>
        </w:rPr>
        <w:t>PE783.229</w:t>
      </w:r>
      <w:bookmarkEnd w:id="3"/>
    </w:p>
    <w:p w14:paraId="352B96E3" w14:textId="2FC2CCF5" w:rsidR="009F282A" w:rsidRPr="00ED6821" w:rsidRDefault="009F282A" w:rsidP="009F282A">
      <w:pPr>
        <w:pStyle w:val="ATHeading3"/>
      </w:pPr>
      <w:bookmarkStart w:id="4" w:name="Sujet"/>
      <w:r w:rsidRPr="00ED6821">
        <w:t xml:space="preserve">Rezolucija Europskog parlamenta od </w:t>
      </w:r>
      <w:r w:rsidR="00ED6821">
        <w:t>30</w:t>
      </w:r>
      <w:r w:rsidRPr="00ED6821">
        <w:t xml:space="preserve">. </w:t>
      </w:r>
      <w:r w:rsidR="00ED6821">
        <w:t xml:space="preserve">travnja </w:t>
      </w:r>
      <w:r w:rsidRPr="00ED6821">
        <w:t>2026. o potpori demokratskoj otpornosti u Armeniji</w:t>
      </w:r>
      <w:bookmarkEnd w:id="4"/>
      <w:r w:rsidRPr="00ED6821">
        <w:t xml:space="preserve"> </w:t>
      </w:r>
      <w:bookmarkStart w:id="5" w:name="References"/>
      <w:r w:rsidRPr="00ED6821">
        <w:t>(2026/2701(RSP))</w:t>
      </w:r>
      <w:bookmarkEnd w:id="5"/>
    </w:p>
    <w:p w14:paraId="3188DBBF" w14:textId="77777777" w:rsidR="009A2BC8" w:rsidRPr="00ED6821" w:rsidRDefault="009A2BC8" w:rsidP="009A2BC8">
      <w:pPr>
        <w:pStyle w:val="EPComma"/>
      </w:pPr>
      <w:bookmarkStart w:id="6" w:name="TextBodyBegin"/>
      <w:bookmarkEnd w:id="6"/>
      <w:r w:rsidRPr="00ED6821">
        <w:rPr>
          <w:i/>
          <w:iCs/>
        </w:rPr>
        <w:t>Europski parlament</w:t>
      </w:r>
      <w:r w:rsidRPr="00ED6821">
        <w:t>,</w:t>
      </w:r>
    </w:p>
    <w:p w14:paraId="6A62F305" w14:textId="77777777" w:rsidR="009A2BC8" w:rsidRPr="00ED6821" w:rsidRDefault="009A2BC8" w:rsidP="009A2BC8">
      <w:pPr>
        <w:pStyle w:val="NormalHanging12a"/>
      </w:pPr>
      <w:r w:rsidRPr="00ED6821">
        <w:rPr>
          <w:color w:val="000000"/>
        </w:rPr>
        <w:t>–</w:t>
      </w:r>
      <w:r w:rsidRPr="00ED6821">
        <w:tab/>
        <w:t>uzimajući u obzir svoje prethodne rezolucije o Armeniji,</w:t>
      </w:r>
    </w:p>
    <w:p w14:paraId="7111EF57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Sveobuhvatni i pojačani sporazum o partnerstvu između Europske unije i Europske zajednice za atomsku energiju i njihovih država članica, s jedne strane, i Republike Armenije, s druge strane</w:t>
      </w:r>
      <w:r w:rsidRPr="00ED6821">
        <w:rPr>
          <w:rStyle w:val="FootnoteReference"/>
        </w:rPr>
        <w:footnoteReference w:id="1"/>
      </w:r>
      <w:r w:rsidRPr="00ED6821">
        <w:t>,</w:t>
      </w:r>
    </w:p>
    <w:p w14:paraId="5817C55B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zakon donesen 26. ožujka 2025. u Narodnoj skupštini Armenije kojim je pokrenut proces pristupanja Armenije Europskoj uniji,</w:t>
      </w:r>
    </w:p>
    <w:p w14:paraId="22FB0B81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 xml:space="preserve">uzimajući u obzir obraćanje premijera Nikola </w:t>
      </w:r>
      <w:proofErr w:type="spellStart"/>
      <w:r w:rsidRPr="00ED6821">
        <w:t>Pašinjana</w:t>
      </w:r>
      <w:proofErr w:type="spellEnd"/>
      <w:r w:rsidRPr="00ED6821">
        <w:t xml:space="preserve"> Europskom parlamentu 11. ožujka 2026. u Strasbourgu,</w:t>
      </w:r>
    </w:p>
    <w:p w14:paraId="13F5065E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zajedničku izjavu za medije od 3. prosinca 2025., objavljenu nakon šestog sastanka Vijeća za partnerstvo EU-a i Armenije,</w:t>
      </w:r>
    </w:p>
    <w:p w14:paraId="3A0207F6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donošenje strateškog programa za partnerstvo Armenije i EU-a;</w:t>
      </w:r>
    </w:p>
    <w:p w14:paraId="7AF82A9A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 xml:space="preserve">uzimajući u obzir plan EU-a i Armenije za otpornost i rast te obveze EU-a u pogledu ulaganja u okviru strategije </w:t>
      </w:r>
      <w:r w:rsidRPr="00ED6821">
        <w:rPr>
          <w:i/>
          <w:iCs/>
        </w:rPr>
        <w:t xml:space="preserve">Global </w:t>
      </w:r>
      <w:proofErr w:type="spellStart"/>
      <w:r w:rsidRPr="00ED6821">
        <w:rPr>
          <w:i/>
          <w:iCs/>
        </w:rPr>
        <w:t>Gateway</w:t>
      </w:r>
      <w:proofErr w:type="spellEnd"/>
      <w:r w:rsidRPr="00ED6821">
        <w:t>,</w:t>
      </w:r>
    </w:p>
    <w:p w14:paraId="1D8745AA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zaključke političkog i sigurnosnog dijaloga između EU-a i Armenije od 3. veljače 2026.,</w:t>
      </w:r>
    </w:p>
    <w:p w14:paraId="69885E00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Odluku Vijeća (ZVSP) 2025/211 od 30. siječnja 2025.</w:t>
      </w:r>
      <w:r w:rsidRPr="00ED6821">
        <w:rPr>
          <w:rStyle w:val="FootnoteReference"/>
        </w:rPr>
        <w:footnoteReference w:id="2"/>
      </w:r>
      <w:r w:rsidRPr="00ED6821">
        <w:t xml:space="preserve"> kojom se mandat Misije Europske unije u Armeniji (EUMA) produlje za dvije godine,</w:t>
      </w:r>
    </w:p>
    <w:p w14:paraId="2F8B1EA3" w14:textId="77777777" w:rsidR="009A2BC8" w:rsidRPr="00ED6821" w:rsidRDefault="009A2BC8" w:rsidP="009A2BC8">
      <w:pPr>
        <w:pStyle w:val="NormalHanging12a"/>
      </w:pPr>
      <w:r w:rsidRPr="00ED6821">
        <w:lastRenderedPageBreak/>
        <w:t>–</w:t>
      </w:r>
      <w:r w:rsidRPr="00ED6821">
        <w:tab/>
        <w:t>uzimajući u obzir Odluku Vijeća (ZVSP) 2026/894 od 21. travnja 2026.</w:t>
      </w:r>
      <w:r w:rsidRPr="00ED6821">
        <w:rPr>
          <w:rStyle w:val="FootnoteReference"/>
        </w:rPr>
        <w:footnoteReference w:id="3"/>
      </w:r>
      <w:r w:rsidRPr="00ED6821">
        <w:t xml:space="preserve"> kojom se uspostavlja Misija partnerstva EU-a u Armeniji (EUPM </w:t>
      </w:r>
      <w:proofErr w:type="spellStart"/>
      <w:r w:rsidRPr="00ED6821">
        <w:t>Armenia</w:t>
      </w:r>
      <w:proofErr w:type="spellEnd"/>
      <w:r w:rsidRPr="00ED6821">
        <w:t>) u okviru zajedničke sigurnosne i obrambene politike (ZSOP),</w:t>
      </w:r>
    </w:p>
    <w:p w14:paraId="072317A1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Odluku Vijeća (ZVSP) 2024/2010 od 22. srpnja 2024.</w:t>
      </w:r>
      <w:r w:rsidRPr="00ED6821">
        <w:rPr>
          <w:rStyle w:val="FootnoteReference"/>
        </w:rPr>
        <w:footnoteReference w:id="4"/>
      </w:r>
      <w:r w:rsidRPr="00ED6821">
        <w:t>, o prvoj ikad mjeri pomoći u okviru Europskog instrumenta mirovne pomoći za potporu oružanim snagama Republike Armenije,</w:t>
      </w:r>
    </w:p>
    <w:p w14:paraId="684E28BE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ratifikaciju sporazuma o sudjelovanju u okviru ZSOP-u između Europske unije i Armenije</w:t>
      </w:r>
      <w:r w:rsidRPr="00ED6821">
        <w:rPr>
          <w:rStyle w:val="FootnoteReference"/>
        </w:rPr>
        <w:footnoteReference w:id="5"/>
      </w:r>
      <w:r w:rsidRPr="00ED6821">
        <w:t>, kako je pozdravljeno u zajedničkoj izjavi za medije od 3. prosinca 2025. nakon šestog sastanka Vijeća za partnerstvo EU-a i Armenije,</w:t>
      </w:r>
    </w:p>
    <w:p w14:paraId="197DF624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sastanak na vrhu održan 8. kolovoza 2025. u Washingtonu,</w:t>
      </w:r>
    </w:p>
    <w:p w14:paraId="105872E3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 xml:space="preserve">uzimajući u obzir izvješće o misiji u svrhu procjene potreba Ureda za demokratske institucije i ljudska prava (ODIHR) Organizacije za europsku sigurnost i suradnju o parlamentarnim izborima u Armeniji koji će se održati 7. lipnja 2026. te rad Vijeća Europe na izbornim standardima, slobodi medija i integritetu informacija, </w:t>
      </w:r>
    </w:p>
    <w:p w14:paraId="2C3C1D99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svoju Rezoluciju od 15. travnja 2015. o stotoj obljetnici genocida nad Armencima</w:t>
      </w:r>
      <w:r w:rsidRPr="00ED6821">
        <w:rPr>
          <w:rStyle w:val="FootnoteReference"/>
        </w:rPr>
        <w:footnoteReference w:id="6"/>
      </w:r>
      <w:r w:rsidRPr="00ED6821">
        <w:t>,</w:t>
      </w:r>
    </w:p>
    <w:p w14:paraId="194833BA" w14:textId="77777777" w:rsidR="009A2BC8" w:rsidRPr="00ED6821" w:rsidRDefault="009A2BC8" w:rsidP="009A2BC8">
      <w:pPr>
        <w:pStyle w:val="NormalHanging12a"/>
      </w:pPr>
      <w:r w:rsidRPr="00ED6821">
        <w:t>–</w:t>
      </w:r>
      <w:r w:rsidRPr="00ED6821">
        <w:tab/>
        <w:t>uzimajući u obzir članak 136. stavke 2. i 4. Poslovnika,</w:t>
      </w:r>
    </w:p>
    <w:p w14:paraId="01F52271" w14:textId="10326598" w:rsidR="009A2BC8" w:rsidRPr="00ED6821" w:rsidRDefault="009A2BC8" w:rsidP="009A2BC8">
      <w:pPr>
        <w:pStyle w:val="NormalHanging12a"/>
      </w:pPr>
      <w:r w:rsidRPr="00ED6821">
        <w:t>A.</w:t>
      </w:r>
      <w:r w:rsidRPr="00ED6821">
        <w:tab/>
        <w:t>budući da su odnosi EU-a i Armenije ušli u novu fazu, obilježenu višom razinom političkog angažmana i proširenim sigurnosnim odnosima; budući da se ti odnosi temelje na zajedničkim vrijednostima, uključujući demokraciju, vladavinu prava i poštovanje ljudskih prava i temeljnih sloboda; budući da je Vijeće za partnerstvo EU-a i Armenije donijelo novi strateški program, kao važan korak u jačanju bilateralnih veza, kojim su obuhvaćeni demokracija, reforma pravosuđa, ljudska prava i širok raspon daljnjih područja, na temeljima postavljenima Sveobuhvatnim i pojačanim sporazumom o partnerstvu; budući da je EU ponovno potvrdio svoju čvrstu potporu programu reformi Armenije i naporima te zemlje u borbi protiv hibridnih prijetnji, napretku ostvarenom u pogledu dijaloga o liberalizaciji viznog režima te planu za otpornost i rast u vrijednosti od 270 milijuna EUR; budući da je Armenija posljednjih godina poduzela značajne reforme; budući da je od ključne važnosti nastaviti s poboljšanjima;</w:t>
      </w:r>
    </w:p>
    <w:p w14:paraId="3437018C" w14:textId="77777777" w:rsidR="009A2BC8" w:rsidRPr="00ED6821" w:rsidRDefault="009A2BC8" w:rsidP="009A2BC8">
      <w:pPr>
        <w:pStyle w:val="NormalHanging12a"/>
      </w:pPr>
      <w:r w:rsidRPr="00ED6821">
        <w:t>B.</w:t>
      </w:r>
      <w:r w:rsidRPr="00ED6821">
        <w:tab/>
        <w:t>budući da je 26. ožujka 2025. armenski parlament donio zakon o pokretanju procesa pristupanja Armenije EU-u i time izrazio težnju te zemlje za članstvom u EU-u;</w:t>
      </w:r>
    </w:p>
    <w:p w14:paraId="3D43300E" w14:textId="77777777" w:rsidR="009A2BC8" w:rsidRPr="00ED6821" w:rsidRDefault="009A2BC8" w:rsidP="009A2BC8">
      <w:pPr>
        <w:pStyle w:val="NormalHanging12a"/>
      </w:pPr>
      <w:r w:rsidRPr="00ED6821">
        <w:t>C.</w:t>
      </w:r>
      <w:r w:rsidRPr="00ED6821">
        <w:tab/>
        <w:t xml:space="preserve">budući da novi strateški program koji je donesen u prosincu 2025., a koji se temelji na punoj provedbi Sveobuhvatnog i pojačanog sporazuma o partnerstvu, obuhvaća širok raspon područja, uključujući demokraciju i vladavinu prava, reformu pravosuđa i ljudska prava; budući da takav izbor područja pokazuje suverenu predanost Armenije </w:t>
      </w:r>
      <w:r w:rsidRPr="00ED6821">
        <w:lastRenderedPageBreak/>
        <w:t>demokratskim standardima i vladavini prava, u skladu s normama i vrijednostima EU-a;</w:t>
      </w:r>
    </w:p>
    <w:p w14:paraId="55974B8C" w14:textId="77777777" w:rsidR="009A2BC8" w:rsidRPr="00ED6821" w:rsidRDefault="009A2BC8" w:rsidP="009A2BC8">
      <w:pPr>
        <w:pStyle w:val="NormalHanging12a"/>
      </w:pPr>
      <w:r w:rsidRPr="00ED6821">
        <w:t>D.</w:t>
      </w:r>
      <w:r w:rsidRPr="00ED6821">
        <w:tab/>
        <w:t xml:space="preserve">budući da će se osmi sastanak na vrhu Europske političke zajednice i prvi sastanak na vrhu EU-a i Armenije održati dan za danom, 4. i 5. svibnja 2026. u Erevanu, što je povijesni znak europske solidarnosti s Armenijom; budući da je cilj sastanka na vrhu EU-a i Armenije, na kojem će sudjelovati predsjednik Europskog vijeća, predsjednica Komisije i potpredsjednica Komisije / visoka predstavnica Unije za vanjske poslove i sigurnosnu politiku, ostvariti konkretne rezultate u bilateralnim odnosima, s posebnim naglaskom na </w:t>
      </w:r>
      <w:proofErr w:type="spellStart"/>
      <w:r w:rsidRPr="00ED6821">
        <w:t>povezivosti</w:t>
      </w:r>
      <w:proofErr w:type="spellEnd"/>
      <w:r w:rsidRPr="00ED6821">
        <w:t xml:space="preserve"> u energetskoj, prometnoj i digitalnoj infrastrukturi te na miru, sigurnosti i blagostanju na Južnom Kavkazu;</w:t>
      </w:r>
    </w:p>
    <w:p w14:paraId="283A181F" w14:textId="77777777" w:rsidR="009A2BC8" w:rsidRPr="00ED6821" w:rsidRDefault="009A2BC8" w:rsidP="009A2BC8">
      <w:pPr>
        <w:pStyle w:val="NormalHanging12a"/>
      </w:pPr>
      <w:r w:rsidRPr="00ED6821">
        <w:t>E.</w:t>
      </w:r>
      <w:r w:rsidRPr="00ED6821">
        <w:tab/>
        <w:t>budući da je Vijeće 21. travnja 2026. uspostavilo Misiju partnerstva EU-a u Armeniji u okviru ZSOP-a, kao dodatni doprinos jačanju demokratske otpornosti Armenije i njezine sposobnosti za upravljanje krizama; budući da će se tom misijom pružiti potpora Armeniji u suočavanju s višeslojnim prijetnjama kao što su inozemno upletanje i manipuliranje informacijama, kibernetički napadi i nezakoniti financijski tokovi; budući da uspostavljanje te misije potvrđuje da je demokratska sigurnost sada jedan od temeljnih stupova partnerstva između EU-a i Armenije; budući da će se u okviru te misije armenskim institucijama pružati strateški savjeti i podrška u izgradnji kapaciteta, kako bi im se pomoglo da odgovore na takve prijetnje;</w:t>
      </w:r>
    </w:p>
    <w:p w14:paraId="57BC2411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F.</w:t>
      </w:r>
      <w:r w:rsidRPr="00ED6821">
        <w:tab/>
        <w:t xml:space="preserve">budući da će se 7. lipnja 2026. u Armeniji održati parlamentarni izbori, koji su strateški važni ne samo za unutarnju demokratsku konsolidaciju, već i za održivost mira, reformi i tješnju suradnju s Unijom; budući da integritet izbora ovisi o postojanju uvjeta za slobodne, poštene i konkurentne izbore, snažnim institucijama, neovisnim medijima i snažnim zaštitnim mjerama protiv dezinformacija, nezakonitog financiranja, kupovine glasova i drugih oblika zlonamjernog upletanja; budući da Ured za demokratske institucije i ljudska prava (ODIHR) bilježi zabrinutosti u pogledu spremnosti lokalnih izbornih povjerenstava, kibernetičke sigurnosti, ranog pokretanja kampanje, zlouporabe administrativnih resursa, transparentnosti financiranja kampanja i medijske polarizacije; budući da se inozemno upletanje, posebno sustavne hibridne operacije Rusije koje se provode uz pomoć njezinih posrednika, uključujući kampanje dezinformiranja, kibernetičke operacije, gospodarski pritisak i mobilizaciju lokalnih posrednika, sve više realizira putem domaćih pojačavajućih čimbenika kao što su određeni vjerski akteri i mreže oligarha, pri čemu se ponavljaju obrasci uočeni na nedavnim izborima u </w:t>
      </w:r>
      <w:proofErr w:type="spellStart"/>
      <w:r w:rsidRPr="00ED6821">
        <w:t>Moldovi</w:t>
      </w:r>
      <w:proofErr w:type="spellEnd"/>
      <w:r w:rsidRPr="00ED6821">
        <w:t xml:space="preserve"> i Gruziji;</w:t>
      </w:r>
    </w:p>
    <w:p w14:paraId="67C092F7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G.</w:t>
      </w:r>
      <w:r w:rsidRPr="00ED6821">
        <w:tab/>
        <w:t xml:space="preserve">budući da je na sastanku održanom 1. travnja 2026. Vladimir Putin vršio pritisak na armenskog premijera Nikola </w:t>
      </w:r>
      <w:proofErr w:type="spellStart"/>
      <w:r w:rsidRPr="00ED6821">
        <w:t>Pašinjana</w:t>
      </w:r>
      <w:proofErr w:type="spellEnd"/>
      <w:r w:rsidRPr="00ED6821">
        <w:t xml:space="preserve"> kako bi se pritvorenom rusko-armenskom milijarderu </w:t>
      </w:r>
      <w:proofErr w:type="spellStart"/>
      <w:r w:rsidRPr="00ED6821">
        <w:t>Samvelu</w:t>
      </w:r>
      <w:proofErr w:type="spellEnd"/>
      <w:r w:rsidRPr="00ED6821">
        <w:t xml:space="preserve"> </w:t>
      </w:r>
      <w:proofErr w:type="spellStart"/>
      <w:r w:rsidRPr="00ED6821">
        <w:t>Karapetjanu</w:t>
      </w:r>
      <w:proofErr w:type="spellEnd"/>
      <w:r w:rsidRPr="00ED6821">
        <w:t xml:space="preserve"> omogućilo sudjelovanje na predstojećim izborima u Armeniji;</w:t>
      </w:r>
    </w:p>
    <w:p w14:paraId="61D2F20F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H.</w:t>
      </w:r>
      <w:r w:rsidRPr="00ED6821">
        <w:tab/>
        <w:t>budući da misija EUMA i dalje ima ključnu ulogu u doprinosu stabilnosti, izgradnji povjerenja i sigurnosti ljudi u područjima pogođenima sukobima; budući da je Vijeće 30. siječnja 2025. produljilo mandat misije EUMA za dvije godine; budući da misija EUMA ima ključnu ulogu u pogledu stabilizacije duž armensko-azerbajdžanske granice; budući da ona doprinosi i promatranju stanja na terenu i izvješćivanju o njemu te pruža potporu izgradnji povjerenja između Armenije i Azerbajdžana;</w:t>
      </w:r>
    </w:p>
    <w:p w14:paraId="749D0B9A" w14:textId="77777777" w:rsidR="009A2BC8" w:rsidRPr="00ED6821" w:rsidRDefault="009A2BC8" w:rsidP="009A2BC8">
      <w:pPr>
        <w:pStyle w:val="NormalHanging12a"/>
      </w:pPr>
      <w:r w:rsidRPr="00ED6821">
        <w:t>I.</w:t>
      </w:r>
      <w:r w:rsidRPr="00ED6821">
        <w:tab/>
        <w:t xml:space="preserve">budući da je mirovni proces između Armenije i Azerbajdžana dobio znatan zamah, s planovima za </w:t>
      </w:r>
      <w:proofErr w:type="spellStart"/>
      <w:r w:rsidRPr="00ED6821">
        <w:t>multimodalnu</w:t>
      </w:r>
      <w:proofErr w:type="spellEnd"/>
      <w:r w:rsidRPr="00ED6821">
        <w:t xml:space="preserve"> tranzitnu povezanost preko armenskog državnog područja </w:t>
      </w:r>
      <w:r w:rsidRPr="00ED6821">
        <w:lastRenderedPageBreak/>
        <w:t xml:space="preserve">kako bi se glavno državno područje Azerbajdžana povezalo s </w:t>
      </w:r>
      <w:proofErr w:type="spellStart"/>
      <w:r w:rsidRPr="00ED6821">
        <w:t>eksklavom</w:t>
      </w:r>
      <w:proofErr w:type="spellEnd"/>
      <w:r w:rsidRPr="00ED6821">
        <w:t xml:space="preserve"> </w:t>
      </w:r>
      <w:proofErr w:type="spellStart"/>
      <w:r w:rsidRPr="00ED6821">
        <w:t>Nahičevanskom</w:t>
      </w:r>
      <w:proofErr w:type="spellEnd"/>
      <w:r w:rsidRPr="00ED6821">
        <w:t xml:space="preserve"> Autonomnom Republikom, uz potpuno poštovanje suvereniteta, teritorijalne cjelovitosti i jurisdikcije Armenije, a to predstavlja ključan instrument za smanjenje gospodarske ovisnosti Armenije o Rusiji; budući da EU u potpunosti podupire taj proces, putem partnerstva za </w:t>
      </w:r>
      <w:proofErr w:type="spellStart"/>
      <w:r w:rsidRPr="00ED6821">
        <w:t>povezivost</w:t>
      </w:r>
      <w:proofErr w:type="spellEnd"/>
      <w:r w:rsidRPr="00ED6821">
        <w:t xml:space="preserve"> EU-a i Armenije i inicijative „Raskrižje mira”;</w:t>
      </w:r>
    </w:p>
    <w:p w14:paraId="47D31133" w14:textId="77777777" w:rsidR="009A2BC8" w:rsidRPr="00ED6821" w:rsidRDefault="009A2BC8" w:rsidP="009A2BC8">
      <w:pPr>
        <w:pStyle w:val="NormalHanging12a"/>
      </w:pPr>
      <w:r w:rsidRPr="00ED6821">
        <w:t>1.</w:t>
      </w:r>
      <w:r w:rsidRPr="00ED6821">
        <w:tab/>
        <w:t>potvrđuje svoje snažno uvjerenje da su armenske vlasti predane održavanju slobodnih, poštenih i transparentnih izbora te izražava potporu njihovim naporima da demokratske institucije zaštite od inozemnog upletanja;</w:t>
      </w:r>
    </w:p>
    <w:p w14:paraId="0747ADEB" w14:textId="77777777" w:rsidR="009A2BC8" w:rsidRPr="00ED6821" w:rsidRDefault="009A2BC8" w:rsidP="009A2BC8">
      <w:pPr>
        <w:pStyle w:val="NormalHanging12a"/>
      </w:pPr>
      <w:r w:rsidRPr="00ED6821">
        <w:t>2.</w:t>
      </w:r>
      <w:r w:rsidRPr="00ED6821">
        <w:tab/>
        <w:t>izražava potporu slobodnim, poštenim, konkurentnim i mirnim parlamentarnim izborima u Armeniji u lipnju 2026., o čijem ishodu mora odlučivati samo narod Armenije; naglašava važnost neovisnosti izbornih povjerenstava, jednakih uvjeta kampanje za sve kandidate, medijskog pluralizma i potpunog poštovanja temeljnih sloboda tijekom cijelog izbornog ciklusa; poziva na snažne zaštitne mjere protiv dezinformacija, nezakonitog financiranja, kupovine glasova i prisile te na pojačanu zaštitu izborne infrastrukture, transparentnost financiranja kampanja i potporu inicijativama za provjeru činjenica i civilnom društvu, među ostalim putem mehanizama za razmjenu informacija i rano upozoravanje; poziva na snažne međunarodne i domaće misije za promatranje izbora, uključujući misiju ODIHR-a, te na punu suradnju s takvim misijama;</w:t>
      </w:r>
    </w:p>
    <w:p w14:paraId="63E7C26C" w14:textId="77777777" w:rsidR="009A2BC8" w:rsidRPr="00ED6821" w:rsidRDefault="009A2BC8" w:rsidP="009A2BC8">
      <w:pPr>
        <w:pStyle w:val="NormalHanging12a"/>
      </w:pPr>
      <w:r w:rsidRPr="00ED6821">
        <w:t>3.</w:t>
      </w:r>
      <w:r w:rsidRPr="00ED6821">
        <w:tab/>
        <w:t>oštro osuđuje inozemno upletanje i manipuliranje informacijama, kampanje dezinformiranja i druge hibridne prijetnje usmjerene protiv Armenije, posebno one koje potječu iz Rusije i njezinih posrednika, uključujući putem kibernetičkih napada, nezakonitog političkog financiranja i iskorištavanja određenih domaćih aktera, uključujući mreže oligarha, u svrhu jačanja takvih prijetnji; naglašava da su te prijetnje strukturne i dugoročne prirode te da su potrebni trajni napori za jačanje demokratske otpornosti koji se protežu i izvan izbornog ciklusa; u tom pogledu pozdravlja uspostavu misije EUPM u Armeniji i poziva na pojačanu potporu EU-a strateškom komunikacijom, medijskom pismenošću, izgradnjom kapaciteta u području kibernetičke sigurnosti i strukturiranom suradnjom s internetskim platformama; poziva armenske vlasti da zajamče potpuno poštovanje prava oporbe, neovisnosti pravosuđa i slobode izražavanja;</w:t>
      </w:r>
    </w:p>
    <w:p w14:paraId="4D1A8FF6" w14:textId="77777777" w:rsidR="009A2BC8" w:rsidRPr="00ED6821" w:rsidRDefault="009A2BC8" w:rsidP="009A2BC8">
      <w:pPr>
        <w:pStyle w:val="NormalHanging12a"/>
      </w:pPr>
      <w:r w:rsidRPr="00ED6821">
        <w:t>4.</w:t>
      </w:r>
      <w:r w:rsidRPr="00ED6821">
        <w:tab/>
        <w:t>prima na znanje specifične izazove povezane s prisutnošću znatne ruske zajednice u Armeniji, uključujući osobe s dvojnim državljanstvom, te naglašava potrebu za oprezom u pogledu svih pokušaja iskorištavanja te situacije za upletanje u izbore;</w:t>
      </w:r>
    </w:p>
    <w:p w14:paraId="0F11AB55" w14:textId="77777777" w:rsidR="009A2BC8" w:rsidRPr="00ED6821" w:rsidRDefault="009A2BC8" w:rsidP="009A2BC8">
      <w:pPr>
        <w:pStyle w:val="NormalHanging12a"/>
      </w:pPr>
      <w:r w:rsidRPr="00ED6821">
        <w:t>5.</w:t>
      </w:r>
      <w:r w:rsidRPr="00ED6821">
        <w:tab/>
        <w:t>pozdravlja snažan zamah u odnosima EU-a i Armenije te kontinuiranu predanost Armenije demokraciji, vladavini prava, ljudskim pravima i ambicioznim političkim i gospodarskim reformama;</w:t>
      </w:r>
    </w:p>
    <w:p w14:paraId="33E6A2FD" w14:textId="77777777" w:rsidR="009A2BC8" w:rsidRPr="00ED6821" w:rsidRDefault="009A2BC8" w:rsidP="009A2BC8">
      <w:pPr>
        <w:pStyle w:val="NormalHanging12a"/>
      </w:pPr>
      <w:r w:rsidRPr="00ED6821">
        <w:t>6.</w:t>
      </w:r>
      <w:r w:rsidRPr="00ED6821">
        <w:tab/>
        <w:t>pozdravlja donošenje novog strateškog programa za partnerstvo EU-a i Armenije, napredak ostvaren u provedbi Sveobuhvatnog i pojačanog sporazuma o partnerstvu, napredak u dijalogu o liberalizaciji viznog režima i kontinuiranu provedbu plana za otpornost i rast; u tom pogledu pozdravlja zakonodavne i političke napore Armenije usmjerene na produbljivanje odnosa s EU-om;</w:t>
      </w:r>
    </w:p>
    <w:p w14:paraId="320785D9" w14:textId="77777777" w:rsidR="009A2BC8" w:rsidRPr="00ED6821" w:rsidRDefault="009A2BC8" w:rsidP="009A2BC8">
      <w:pPr>
        <w:pStyle w:val="NormalHanging12a"/>
      </w:pPr>
      <w:r w:rsidRPr="00ED6821">
        <w:t>7.</w:t>
      </w:r>
      <w:r w:rsidRPr="00ED6821">
        <w:tab/>
        <w:t xml:space="preserve">pozdravlja činjenicu da će se osmi sastanak na vrhu Europske političke zajednice i prvi </w:t>
      </w:r>
      <w:r w:rsidRPr="00ED6821">
        <w:lastRenderedPageBreak/>
        <w:t>sastanak na vrhu EU-a i Armenije održati 4. i 5. svibnja 2026. u Erevanu kao izvanrednu i povijesnu prekretnicu; smatra da se organiziranjem obaju sastanaka na vrhu dan za danom u Erevanu šalje nedvosmislena politička poruka paneuropske solidarnosti s Armenijom i predanosti EU-a podupiranju armenskog programa mira, reformi i otpornosti; poziva čelnike EU-a i Armenije da iskoriste tu priliku za postavljanje ambicioznih i konkretnih ciljeva;</w:t>
      </w:r>
    </w:p>
    <w:p w14:paraId="65A6A9AD" w14:textId="77777777" w:rsidR="009A2BC8" w:rsidRPr="00ED6821" w:rsidRDefault="009A2BC8" w:rsidP="009A2BC8">
      <w:pPr>
        <w:pStyle w:val="NormalHanging12a"/>
      </w:pPr>
      <w:r w:rsidRPr="00ED6821">
        <w:t>8.</w:t>
      </w:r>
      <w:r w:rsidRPr="00ED6821">
        <w:tab/>
        <w:t>pozdravlja donošenje zakonodavstva kojim se izražava težnja te zemlje članstvu u EU-u te poziva institucije EU-a i armenske vlasti da podrže taj politički izbor praktičnim koracima koji se temelje na demokraciji, vladavini prava i temeljnim pravima;</w:t>
      </w:r>
    </w:p>
    <w:p w14:paraId="45C83581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9.</w:t>
      </w:r>
      <w:r w:rsidRPr="00ED6821">
        <w:tab/>
        <w:t>poziva Komisiju, Europsku službu za vanjsko djelovanje i države članice da prodube suradnju s Armenijom u području demokratskog upravljanja, vladavine prava, reforme pravosuđa, borbe protiv korupcije, kibernetičke sigurnosti i otpornosti na hibridne prijetnje te da povećaju pristupačnu potporu neovisnim medijima, civilnom društvu, lokalnim institucijama i javnoj upravi usmjerenoj na reforme; poziva na blisku koordinaciju s međunarodnim partnerima u podupiranju tih napora;</w:t>
      </w:r>
    </w:p>
    <w:p w14:paraId="2CB95FAB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10.</w:t>
      </w:r>
      <w:r w:rsidRPr="00ED6821">
        <w:tab/>
        <w:t>snažno podupire kontinuirane napore Armenije usmjerene na mir, pomirenje i potpunu normalizaciju odnosa s Azerbajdžanom; pozdravlja napredak postignut u mirovnom procesu i poziva obje strane da krenu prema sveobuhvatnom i pravno obvezujućem mirovnom sporazumu; naglašava da se bilo kakav održivi mir mora temeljiti na poštovanju suvereniteta, teritorijalne cjelovitosti i nepovredivosti granica;</w:t>
      </w:r>
    </w:p>
    <w:p w14:paraId="5E97F9BD" w14:textId="77777777" w:rsidR="009A2BC8" w:rsidRPr="00ED6821" w:rsidRDefault="009A2BC8" w:rsidP="009A2BC8">
      <w:pPr>
        <w:pStyle w:val="NormalHanging12a"/>
      </w:pPr>
      <w:r w:rsidRPr="00ED6821">
        <w:t>11.</w:t>
      </w:r>
      <w:r w:rsidRPr="00ED6821">
        <w:tab/>
        <w:t xml:space="preserve">potiče pojačanu razmjenu informacija i suradnju s Republikom </w:t>
      </w:r>
      <w:proofErr w:type="spellStart"/>
      <w:r w:rsidRPr="00ED6821">
        <w:t>Moldovom</w:t>
      </w:r>
      <w:proofErr w:type="spellEnd"/>
      <w:r w:rsidRPr="00ED6821">
        <w:t>, uz pomoć EU-a, u svjetlu usporedivih iskustava s upletanjem u izbore;</w:t>
      </w:r>
    </w:p>
    <w:p w14:paraId="0754A09B" w14:textId="77777777" w:rsidR="009A2BC8" w:rsidRPr="00ED6821" w:rsidRDefault="009A2BC8" w:rsidP="009A2BC8">
      <w:pPr>
        <w:pStyle w:val="NormalHanging12a"/>
      </w:pPr>
      <w:r w:rsidRPr="00ED6821">
        <w:t>12.</w:t>
      </w:r>
      <w:r w:rsidRPr="00ED6821">
        <w:tab/>
        <w:t xml:space="preserve">ponovno ističe svoju potporu pravima Armenaca iz Gorskog </w:t>
      </w:r>
      <w:proofErr w:type="spellStart"/>
      <w:r w:rsidRPr="00ED6821">
        <w:t>Karabaha</w:t>
      </w:r>
      <w:proofErr w:type="spellEnd"/>
      <w:r w:rsidRPr="00ED6821">
        <w:t>, uključujući zaštitu njihova identiteta, imovine i kulturne baštine, te njihovu pravu na siguran, neometan i dostojanstven povratak uz odgovarajuća međunarodna jamstva; poziva na to da se osobe odgovorne za uništavanje armenske kulturne i vjerske baštine pozovu na odgovornost te da se organizira međunarodna misija za procjenu;</w:t>
      </w:r>
    </w:p>
    <w:p w14:paraId="54A1FEB9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13.</w:t>
      </w:r>
      <w:r w:rsidRPr="00ED6821">
        <w:tab/>
        <w:t>osuđuje nepravedno lišavanje slobode armenskih ratnih zarobljenika, pritvorenika i talaca od strane Azerbajdžana; zahtijeva njihovo trenutačno i bezuvjetno puštanje na slobodu; prima na znanje dosad poduzete korake i poziva na daljnje mjere za izgradnju povjerenja; poziva na potpuno poštovanje međunarodnog humanitarnog prava i međunarodnog prava o ljudskim pravima;</w:t>
      </w:r>
    </w:p>
    <w:p w14:paraId="65B5E3AF" w14:textId="77777777" w:rsidR="009A2BC8" w:rsidRPr="00ED6821" w:rsidRDefault="009A2BC8" w:rsidP="009A2BC8">
      <w:pPr>
        <w:pStyle w:val="NormalHanging12a"/>
      </w:pPr>
      <w:r w:rsidRPr="00ED6821">
        <w:t>14.</w:t>
      </w:r>
      <w:r w:rsidRPr="00ED6821">
        <w:tab/>
        <w:t>poziva EU da poveća financijsku i tehničku pomoć Armeniji, među ostalim u okviru plana za otpornost i rast, s naglaskom na jačanju institucijske otpornosti, energetske sigurnosti, digitalnog upravljanja i gospodarske diversifikacije te smanjenju strukturnih ovisnosti u ključnim sektorima kao što su energetika, promet i infrastruktura; potiče armensku vladu da poduzme daljnje mjere u vezi s reformama;</w:t>
      </w:r>
    </w:p>
    <w:p w14:paraId="0DECA0AC" w14:textId="77777777" w:rsidR="009A2BC8" w:rsidRPr="00ED6821" w:rsidRDefault="009A2BC8" w:rsidP="009A2BC8">
      <w:pPr>
        <w:pStyle w:val="NormalHanging12a"/>
      </w:pPr>
      <w:r w:rsidRPr="00ED6821">
        <w:t>15.</w:t>
      </w:r>
      <w:r w:rsidRPr="00ED6821">
        <w:tab/>
        <w:t xml:space="preserve">pozdravlja donošenje strategije EUMA-e za civilno društvo; smatra da je to važan korak u proširenju suradnje te misije s armenskim civilnim društvom povrh njezina temeljnog mandata za praćenje sigurnosti te potiče EUMA-u da u okviru svojeg doprinosa demokratskoj otpornosti pojača svoje kontakte s lokalnim demokratskim akterima, organizacijama u zajednici i neovisnim medijima; pohvaljuje rad armenskog civilnog društva na istraživanju kampanja inozemnog upletanja, kibernetičkih napada i </w:t>
      </w:r>
      <w:r w:rsidRPr="00ED6821">
        <w:lastRenderedPageBreak/>
        <w:t>dezinformacija na internetu;</w:t>
      </w:r>
    </w:p>
    <w:p w14:paraId="49DC8FC5" w14:textId="77777777" w:rsidR="009A2BC8" w:rsidRPr="00ED6821" w:rsidRDefault="009A2BC8" w:rsidP="009A2BC8">
      <w:pPr>
        <w:pStyle w:val="NormalHanging12a"/>
        <w:rPr>
          <w:bCs/>
        </w:rPr>
      </w:pPr>
      <w:r w:rsidRPr="00ED6821">
        <w:t>16.</w:t>
      </w:r>
      <w:r w:rsidRPr="00ED6821">
        <w:tab/>
        <w:t xml:space="preserve">pozdravlja kontinuirane napore usmjerene na normalizaciju odnosa između Armenije i Turske kao važan doprinos regionalnoj stabilnosti, pomirenju i </w:t>
      </w:r>
      <w:proofErr w:type="spellStart"/>
      <w:r w:rsidRPr="00ED6821">
        <w:t>povezivosti</w:t>
      </w:r>
      <w:proofErr w:type="spellEnd"/>
      <w:r w:rsidRPr="00ED6821">
        <w:t xml:space="preserve">; poziva obje strane da nastave u dobroj vjeri sudjelovati u daljnjim koracima za izgradnju povjerenja, uključujući ponovno otvaranje granica, kao važan doprinos regionalnoj stabilnosti, pomirenju i </w:t>
      </w:r>
      <w:proofErr w:type="spellStart"/>
      <w:r w:rsidRPr="00ED6821">
        <w:t>povezivosti</w:t>
      </w:r>
      <w:proofErr w:type="spellEnd"/>
      <w:r w:rsidRPr="00ED6821">
        <w:t>;</w:t>
      </w:r>
    </w:p>
    <w:p w14:paraId="267283C0" w14:textId="58D95B89" w:rsidR="00E365E1" w:rsidRPr="00ED6821" w:rsidRDefault="009A2BC8" w:rsidP="00ED6821">
      <w:pPr>
        <w:ind w:left="567" w:hanging="567"/>
      </w:pPr>
      <w:r w:rsidRPr="00ED6821">
        <w:t>17.</w:t>
      </w:r>
      <w:r w:rsidRPr="00ED6821">
        <w:tab/>
        <w:t>nalaže svojoj predsjednici da ovu Rezoluciju proslijedi Vijeću, Komisiji, potpredsjednici Komisije / visokoj predstavnici Unije za vanjske poslove i sigurnosnu politiku, vladama i parlamentima država članica, predsjedniku, vladi i parlamentu Republike Armenije, Organizaciji za europsku sigurnost i suradnju, Vijeću Europe i Ujedinjenim narodima.</w:t>
      </w:r>
    </w:p>
    <w:sectPr w:rsidR="00E365E1" w:rsidRPr="00ED6821" w:rsidSect="002B79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1900" w14:textId="77777777" w:rsidR="009F282A" w:rsidRPr="002B7947" w:rsidRDefault="009F282A">
      <w:r w:rsidRPr="002B7947">
        <w:separator/>
      </w:r>
    </w:p>
  </w:endnote>
  <w:endnote w:type="continuationSeparator" w:id="0">
    <w:p w14:paraId="15006D28" w14:textId="77777777" w:rsidR="009F282A" w:rsidRPr="002B7947" w:rsidRDefault="009F282A">
      <w:r w:rsidRPr="002B79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62F8" w14:textId="77777777" w:rsidR="00064002" w:rsidRPr="002B79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A01E" w14:textId="77777777" w:rsidR="00064002" w:rsidRPr="002B79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AF09" w14:textId="77777777" w:rsidR="00064002" w:rsidRPr="002B79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A29F3" w14:textId="77777777" w:rsidR="009F282A" w:rsidRPr="002B7947" w:rsidRDefault="009F282A">
      <w:r w:rsidRPr="002B7947">
        <w:separator/>
      </w:r>
    </w:p>
  </w:footnote>
  <w:footnote w:type="continuationSeparator" w:id="0">
    <w:p w14:paraId="4054F439" w14:textId="77777777" w:rsidR="009F282A" w:rsidRPr="002B7947" w:rsidRDefault="009F282A">
      <w:r w:rsidRPr="002B7947">
        <w:continuationSeparator/>
      </w:r>
    </w:p>
  </w:footnote>
  <w:footnote w:id="1">
    <w:p w14:paraId="48D5CBE4" w14:textId="104C5FF9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 xml:space="preserve">SL L 23, 26.1.2018., str. 4., ELI: </w:t>
      </w:r>
      <w:hyperlink r:id="rId1" w:history="1">
        <w:r w:rsidRPr="002B7947">
          <w:rPr>
            <w:rStyle w:val="Hyperlink"/>
            <w:sz w:val="24"/>
            <w:lang w:val="hr-HR"/>
          </w:rPr>
          <w:t>http://data.europa.eu/eli/agree_internation/2018/104/oj</w:t>
        </w:r>
      </w:hyperlink>
      <w:r w:rsidRPr="002B7947">
        <w:rPr>
          <w:sz w:val="24"/>
          <w:lang w:val="hr-HR"/>
        </w:rPr>
        <w:t>.</w:t>
      </w:r>
    </w:p>
  </w:footnote>
  <w:footnote w:id="2">
    <w:p w14:paraId="4CFBD1D4" w14:textId="7AA4B0F0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 xml:space="preserve">SL L, 2025/211, 31.1.2025., ELI: </w:t>
      </w:r>
      <w:hyperlink r:id="rId2" w:history="1">
        <w:r w:rsidRPr="002B7947">
          <w:rPr>
            <w:rStyle w:val="Hyperlink"/>
            <w:sz w:val="24"/>
            <w:lang w:val="hr-HR"/>
          </w:rPr>
          <w:t>http://data.europa.eu/eli/dec/2025/211/oj</w:t>
        </w:r>
      </w:hyperlink>
      <w:r w:rsidRPr="002B7947">
        <w:rPr>
          <w:sz w:val="24"/>
          <w:lang w:val="hr-HR"/>
        </w:rPr>
        <w:t>.</w:t>
      </w:r>
    </w:p>
  </w:footnote>
  <w:footnote w:id="3">
    <w:p w14:paraId="73AD9059" w14:textId="5F3D9816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>SL L, 2026/894, 22.4.2026</w:t>
      </w:r>
      <w:r w:rsidR="00ED6821">
        <w:rPr>
          <w:sz w:val="24"/>
          <w:lang w:val="hr-HR"/>
        </w:rPr>
        <w:t>.</w:t>
      </w:r>
      <w:r w:rsidRPr="002B7947">
        <w:rPr>
          <w:sz w:val="24"/>
          <w:lang w:val="hr-HR"/>
        </w:rPr>
        <w:t xml:space="preserve">, ELI: </w:t>
      </w:r>
      <w:hyperlink r:id="rId3" w:history="1">
        <w:r w:rsidRPr="002B7947">
          <w:rPr>
            <w:rStyle w:val="Hyperlink"/>
            <w:sz w:val="24"/>
            <w:lang w:val="hr-HR"/>
          </w:rPr>
          <w:t>http://data.europa.eu/eli/dec/2026/894/oj</w:t>
        </w:r>
      </w:hyperlink>
      <w:r w:rsidRPr="002B7947">
        <w:rPr>
          <w:sz w:val="24"/>
          <w:lang w:val="hr-HR"/>
        </w:rPr>
        <w:t>.</w:t>
      </w:r>
    </w:p>
  </w:footnote>
  <w:footnote w:id="4">
    <w:p w14:paraId="64879A78" w14:textId="10629355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 xml:space="preserve">SL L, 2024/2010, 23.7.2024., ELI: </w:t>
      </w:r>
      <w:hyperlink r:id="rId4" w:history="1">
        <w:r w:rsidRPr="002B7947">
          <w:rPr>
            <w:rStyle w:val="Hyperlink"/>
            <w:sz w:val="24"/>
            <w:lang w:val="hr-HR"/>
          </w:rPr>
          <w:t>http://data.europa.eu/eli/dec/2024/2010/oj</w:t>
        </w:r>
      </w:hyperlink>
      <w:r w:rsidRPr="002B7947">
        <w:rPr>
          <w:sz w:val="24"/>
          <w:lang w:val="hr-HR"/>
        </w:rPr>
        <w:t>.</w:t>
      </w:r>
    </w:p>
  </w:footnote>
  <w:footnote w:id="5">
    <w:p w14:paraId="413DDC6A" w14:textId="0B82A89F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 xml:space="preserve">Sporazum između Europske unije i Republike Armenije o uspostavi okvira za sudjelovanje Republike Armenije u operacijama Europske unije za upravljanje krizama (SL L, 2025/1553, 31.7.2025., ELI: </w:t>
      </w:r>
      <w:hyperlink r:id="rId5" w:history="1">
        <w:r w:rsidRPr="002B7947">
          <w:rPr>
            <w:rStyle w:val="Hyperlink"/>
            <w:sz w:val="24"/>
            <w:lang w:val="hr-HR"/>
          </w:rPr>
          <w:t>http://data.europa.eu/eli/agree_internation/2025/1553/oj</w:t>
        </w:r>
      </w:hyperlink>
      <w:r w:rsidRPr="002B7947">
        <w:rPr>
          <w:sz w:val="24"/>
          <w:lang w:val="hr-HR"/>
        </w:rPr>
        <w:t>).</w:t>
      </w:r>
    </w:p>
  </w:footnote>
  <w:footnote w:id="6">
    <w:p w14:paraId="7D3D9AC8" w14:textId="3B78C388" w:rsidR="009A2BC8" w:rsidRPr="002B7947" w:rsidRDefault="009A2BC8" w:rsidP="002B7947">
      <w:pPr>
        <w:pStyle w:val="FootnoteText"/>
        <w:ind w:left="567" w:hanging="567"/>
        <w:rPr>
          <w:sz w:val="24"/>
          <w:lang w:val="hr-HR"/>
        </w:rPr>
      </w:pPr>
      <w:r w:rsidRPr="002B7947">
        <w:rPr>
          <w:rStyle w:val="FootnoteReference"/>
          <w:sz w:val="24"/>
          <w:lang w:val="hr-HR"/>
        </w:rPr>
        <w:footnoteRef/>
      </w:r>
      <w:r w:rsidR="002B7947" w:rsidRPr="002B7947">
        <w:rPr>
          <w:sz w:val="24"/>
          <w:lang w:val="hr-HR"/>
        </w:rPr>
        <w:t xml:space="preserve"> </w:t>
      </w:r>
      <w:r w:rsidR="002B7947" w:rsidRPr="002B7947">
        <w:rPr>
          <w:sz w:val="24"/>
          <w:lang w:val="hr-HR"/>
        </w:rPr>
        <w:tab/>
      </w:r>
      <w:r w:rsidRPr="002B7947">
        <w:rPr>
          <w:sz w:val="24"/>
          <w:lang w:val="hr-HR"/>
        </w:rPr>
        <w:t>SL C 328, 6.9.2016., str.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FAFF" w14:textId="77777777" w:rsidR="00064002" w:rsidRPr="002B79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19894" w14:textId="77777777" w:rsidR="00064002" w:rsidRPr="002B79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9B1D" w14:textId="77777777" w:rsidR="00064002" w:rsidRPr="002B79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5459637">
    <w:abstractNumId w:val="9"/>
  </w:num>
  <w:num w:numId="2" w16cid:durableId="1123183996">
    <w:abstractNumId w:val="9"/>
  </w:num>
  <w:num w:numId="3" w16cid:durableId="1925601129">
    <w:abstractNumId w:val="7"/>
  </w:num>
  <w:num w:numId="4" w16cid:durableId="1158956953">
    <w:abstractNumId w:val="7"/>
  </w:num>
  <w:num w:numId="5" w16cid:durableId="1330674468">
    <w:abstractNumId w:val="6"/>
  </w:num>
  <w:num w:numId="6" w16cid:durableId="2071267474">
    <w:abstractNumId w:val="6"/>
  </w:num>
  <w:num w:numId="7" w16cid:durableId="1564099879">
    <w:abstractNumId w:val="5"/>
  </w:num>
  <w:num w:numId="8" w16cid:durableId="1554345490">
    <w:abstractNumId w:val="5"/>
  </w:num>
  <w:num w:numId="9" w16cid:durableId="1738475977">
    <w:abstractNumId w:val="4"/>
  </w:num>
  <w:num w:numId="10" w16cid:durableId="1612205356">
    <w:abstractNumId w:val="4"/>
  </w:num>
  <w:num w:numId="11" w16cid:durableId="1121991846">
    <w:abstractNumId w:val="8"/>
  </w:num>
  <w:num w:numId="12" w16cid:durableId="464734223">
    <w:abstractNumId w:val="8"/>
  </w:num>
  <w:num w:numId="13" w16cid:durableId="1717771788">
    <w:abstractNumId w:val="3"/>
  </w:num>
  <w:num w:numId="14" w16cid:durableId="388455047">
    <w:abstractNumId w:val="3"/>
  </w:num>
  <w:num w:numId="15" w16cid:durableId="65611386">
    <w:abstractNumId w:val="2"/>
  </w:num>
  <w:num w:numId="16" w16cid:durableId="799764115">
    <w:abstractNumId w:val="2"/>
  </w:num>
  <w:num w:numId="17" w16cid:durableId="1301812814">
    <w:abstractNumId w:val="1"/>
  </w:num>
  <w:num w:numId="18" w16cid:durableId="566303084">
    <w:abstractNumId w:val="1"/>
  </w:num>
  <w:num w:numId="19" w16cid:durableId="1816490215">
    <w:abstractNumId w:val="0"/>
  </w:num>
  <w:num w:numId="20" w16cid:durableId="1047536294">
    <w:abstractNumId w:val="0"/>
  </w:num>
  <w:num w:numId="21" w16cid:durableId="164365363">
    <w:abstractNumId w:val="9"/>
  </w:num>
  <w:num w:numId="22" w16cid:durableId="1120296640">
    <w:abstractNumId w:val="7"/>
  </w:num>
  <w:num w:numId="23" w16cid:durableId="1219248571">
    <w:abstractNumId w:val="6"/>
  </w:num>
  <w:num w:numId="24" w16cid:durableId="1451699825">
    <w:abstractNumId w:val="5"/>
  </w:num>
  <w:num w:numId="25" w16cid:durableId="887299645">
    <w:abstractNumId w:val="4"/>
  </w:num>
  <w:num w:numId="26" w16cid:durableId="1039354162">
    <w:abstractNumId w:val="8"/>
  </w:num>
  <w:num w:numId="27" w16cid:durableId="1808890208">
    <w:abstractNumId w:val="3"/>
  </w:num>
  <w:num w:numId="28" w16cid:durableId="2142770787">
    <w:abstractNumId w:val="2"/>
  </w:num>
  <w:num w:numId="29" w16cid:durableId="1569801737">
    <w:abstractNumId w:val="1"/>
  </w:num>
  <w:num w:numId="30" w16cid:durableId="908684894">
    <w:abstractNumId w:val="0"/>
  </w:num>
  <w:num w:numId="31" w16cid:durableId="940379121">
    <w:abstractNumId w:val="9"/>
  </w:num>
  <w:num w:numId="32" w16cid:durableId="1554386521">
    <w:abstractNumId w:val="7"/>
  </w:num>
  <w:num w:numId="33" w16cid:durableId="630133028">
    <w:abstractNumId w:val="6"/>
  </w:num>
  <w:num w:numId="34" w16cid:durableId="604532868">
    <w:abstractNumId w:val="5"/>
  </w:num>
  <w:num w:numId="35" w16cid:durableId="191309912">
    <w:abstractNumId w:val="4"/>
  </w:num>
  <w:num w:numId="36" w16cid:durableId="912468883">
    <w:abstractNumId w:val="8"/>
  </w:num>
  <w:num w:numId="37" w16cid:durableId="100030783">
    <w:abstractNumId w:val="3"/>
  </w:num>
  <w:num w:numId="38" w16cid:durableId="1168252872">
    <w:abstractNumId w:val="2"/>
  </w:num>
  <w:num w:numId="39" w16cid:durableId="2072145429">
    <w:abstractNumId w:val="1"/>
  </w:num>
  <w:num w:numId="40" w16cid:durableId="2076508447">
    <w:abstractNumId w:val="0"/>
  </w:num>
  <w:num w:numId="41" w16cid:durableId="511065626">
    <w:abstractNumId w:val="10"/>
  </w:num>
  <w:num w:numId="42" w16cid:durableId="708602475">
    <w:abstractNumId w:val="10"/>
  </w:num>
  <w:num w:numId="43" w16cid:durableId="1624506856">
    <w:abstractNumId w:val="10"/>
  </w:num>
  <w:num w:numId="44" w16cid:durableId="4691762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/2026"/>
    <w:docVar w:name="dvlangue" w:val="HR"/>
    <w:docVar w:name="dvnumam" w:val="0"/>
    <w:docVar w:name="dvpe" w:val="783.229"/>
    <w:docVar w:name="dvtitre" w:val="Rezolucija Europskog parlamenta od .... 2026. o potpori demokratskoj otpornosti u Armeniji(2026/2701(RSP))"/>
  </w:docVars>
  <w:rsids>
    <w:rsidRoot w:val="009F28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9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BA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4A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AC6"/>
    <w:rsid w:val="008C2AC6"/>
    <w:rsid w:val="00930C23"/>
    <w:rsid w:val="0093193B"/>
    <w:rsid w:val="009509D8"/>
    <w:rsid w:val="00950B64"/>
    <w:rsid w:val="00981893"/>
    <w:rsid w:val="009A2BC8"/>
    <w:rsid w:val="009F282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821"/>
    <w:rsid w:val="00F04346"/>
    <w:rsid w:val="00F075DC"/>
    <w:rsid w:val="00F149E9"/>
    <w:rsid w:val="00F5134D"/>
    <w:rsid w:val="00F74202"/>
    <w:rsid w:val="00F87713"/>
    <w:rsid w:val="00FB4360"/>
    <w:rsid w:val="00FC644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18768"/>
  <w15:chartTrackingRefBased/>
  <w15:docId w15:val="{3D9A6571-5943-4D84-AF5F-1E8A4073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A2BC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A2BC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A2BC8"/>
    <w:rPr>
      <w:sz w:val="24"/>
      <w:lang w:val="hr-HR"/>
    </w:rPr>
  </w:style>
  <w:style w:type="character" w:styleId="Hyperlink">
    <w:name w:val="Hyperlink"/>
    <w:basedOn w:val="DefaultParagraphFont"/>
    <w:rsid w:val="009A2B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2081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2026-04-30T11:01:00Z</dcterms:created>
  <dcterms:modified xsi:type="dcterms:W3CDTF">2026-04-30T11:01:00Z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B10-0195/2026</vt:lpwstr>
  </property>
  <property fmtid="{D5CDD505-2E9C-101B-9397-08002B2CF9AE}" pid="4" name="&lt;Type&gt;">
    <vt:lpwstr>RR</vt:lpwstr>
  </property>
</Properties>
</file>