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A3CD0" w14:paraId="4232B82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CFA6BE4" w14:textId="6DB1B3BD" w:rsidR="00751A4A" w:rsidRPr="007A3CD0" w:rsidRDefault="007561B3" w:rsidP="0010095E">
            <w:pPr>
              <w:pStyle w:val="EPName"/>
            </w:pPr>
            <w:r w:rsidRPr="007A3CD0">
              <w:t>Parlament Europejski</w:t>
            </w:r>
          </w:p>
          <w:p w14:paraId="0E09F62E" w14:textId="77777777" w:rsidR="00751A4A" w:rsidRPr="007A3CD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A3CD0">
              <w:t>2024</w:t>
            </w:r>
            <w:r w:rsidR="00817416" w:rsidRPr="007A3CD0">
              <w:t>-202</w:t>
            </w:r>
            <w:r w:rsidRPr="007A3CD0">
              <w:t>9</w:t>
            </w:r>
          </w:p>
        </w:tc>
        <w:tc>
          <w:tcPr>
            <w:tcW w:w="2268" w:type="dxa"/>
            <w:shd w:val="clear" w:color="auto" w:fill="auto"/>
          </w:tcPr>
          <w:p w14:paraId="2F35E8DA" w14:textId="77777777" w:rsidR="00751A4A" w:rsidRPr="007A3CD0" w:rsidRDefault="00187494" w:rsidP="0010095E">
            <w:pPr>
              <w:pStyle w:val="EPLogo"/>
            </w:pPr>
            <w:r w:rsidRPr="007A3CD0">
              <w:rPr>
                <w:noProof/>
                <w:lang w:eastAsia="ja-JP"/>
              </w:rPr>
              <w:drawing>
                <wp:inline distT="0" distB="0" distL="0" distR="0" wp14:anchorId="5E3F289D" wp14:editId="3805EF0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CEA806" w14:textId="77777777" w:rsidR="00D058B8" w:rsidRPr="007A3CD0" w:rsidRDefault="00D058B8" w:rsidP="004C5D52">
      <w:pPr>
        <w:pStyle w:val="LineTop"/>
      </w:pPr>
    </w:p>
    <w:p w14:paraId="4910C672" w14:textId="7ABB7D03" w:rsidR="00680577" w:rsidRPr="007A3CD0" w:rsidRDefault="007561B3" w:rsidP="00680577">
      <w:pPr>
        <w:pStyle w:val="EPBodyTA1"/>
      </w:pPr>
      <w:r w:rsidRPr="007A3CD0">
        <w:t>TEKSTY PRZYJĘTE</w:t>
      </w:r>
    </w:p>
    <w:p w14:paraId="2399DC35" w14:textId="77777777" w:rsidR="00D058B8" w:rsidRPr="007A3CD0" w:rsidRDefault="00D058B8" w:rsidP="00D058B8">
      <w:pPr>
        <w:pStyle w:val="LineBottom"/>
      </w:pPr>
    </w:p>
    <w:p w14:paraId="44BF1034" w14:textId="5FCE06A1" w:rsidR="007561B3" w:rsidRPr="007A3CD0" w:rsidRDefault="007561B3" w:rsidP="007561B3">
      <w:pPr>
        <w:pStyle w:val="ATHeading1"/>
      </w:pPr>
      <w:bookmarkStart w:id="0" w:name="TANumber"/>
      <w:r w:rsidRPr="007A3CD0">
        <w:t>P10_TA(2026)0</w:t>
      </w:r>
      <w:bookmarkEnd w:id="0"/>
      <w:r w:rsidR="003A766F">
        <w:t>162</w:t>
      </w:r>
    </w:p>
    <w:p w14:paraId="549D34DA" w14:textId="417AD8F6" w:rsidR="007561B3" w:rsidRPr="00D47F4B" w:rsidRDefault="00D47F4B" w:rsidP="007561B3">
      <w:pPr>
        <w:pStyle w:val="ATHeading2"/>
      </w:pPr>
      <w:r w:rsidRPr="00D47F4B">
        <w:rPr>
          <w:bCs/>
        </w:rPr>
        <w:t>Wspieranie odporności demokratycznej w Armenii</w:t>
      </w:r>
    </w:p>
    <w:p w14:paraId="6AD49F5D" w14:textId="04E7DF67" w:rsidR="007561B3" w:rsidRPr="007A3CD0" w:rsidRDefault="007561B3" w:rsidP="007561B3">
      <w:pPr>
        <w:rPr>
          <w:i/>
          <w:vanish/>
        </w:rPr>
      </w:pPr>
      <w:r w:rsidRPr="007A3CD0">
        <w:rPr>
          <w:i/>
        </w:rPr>
        <w:fldChar w:fldCharType="begin"/>
      </w:r>
      <w:r w:rsidRPr="007A3CD0">
        <w:rPr>
          <w:i/>
        </w:rPr>
        <w:instrText xml:space="preserve"> TC"(</w:instrText>
      </w:r>
      <w:bookmarkStart w:id="1" w:name="DocNumber"/>
      <w:r w:rsidRPr="007A3CD0">
        <w:rPr>
          <w:i/>
        </w:rPr>
        <w:instrText>B10-0195</w:instrText>
      </w:r>
      <w:r w:rsidR="00D47F4B">
        <w:rPr>
          <w:i/>
        </w:rPr>
        <w:instrText>, 0196, 0198, 0199 oraz 0200</w:instrText>
      </w:r>
      <w:r w:rsidRPr="007A3CD0">
        <w:rPr>
          <w:i/>
        </w:rPr>
        <w:instrText>/2026</w:instrText>
      </w:r>
      <w:bookmarkEnd w:id="1"/>
      <w:r w:rsidRPr="007A3CD0">
        <w:rPr>
          <w:i/>
        </w:rPr>
        <w:instrText xml:space="preserve">)"\l3 \n&gt; \* MERGEFORMAT </w:instrText>
      </w:r>
      <w:r w:rsidRPr="007A3CD0">
        <w:rPr>
          <w:i/>
        </w:rPr>
        <w:fldChar w:fldCharType="end"/>
      </w:r>
    </w:p>
    <w:p w14:paraId="62C0EAAE" w14:textId="77777777" w:rsidR="007561B3" w:rsidRPr="007A3CD0" w:rsidRDefault="007561B3" w:rsidP="007561B3">
      <w:pPr>
        <w:rPr>
          <w:vanish/>
        </w:rPr>
      </w:pPr>
      <w:bookmarkStart w:id="2" w:name="PE"/>
      <w:r w:rsidRPr="007A3CD0">
        <w:rPr>
          <w:vanish/>
        </w:rPr>
        <w:t>PE783.229</w:t>
      </w:r>
      <w:bookmarkEnd w:id="2"/>
    </w:p>
    <w:p w14:paraId="2E4EAC23" w14:textId="7697EED6" w:rsidR="007561B3" w:rsidRPr="007A3CD0" w:rsidRDefault="007561B3" w:rsidP="00D47F4B">
      <w:pPr>
        <w:pStyle w:val="ATHeading3"/>
      </w:pPr>
      <w:bookmarkStart w:id="3" w:name="Sujet"/>
      <w:r w:rsidRPr="007A3CD0">
        <w:t xml:space="preserve">Rezolucja Parlamentu Europejskiego z dnia </w:t>
      </w:r>
      <w:r w:rsidR="00D47F4B">
        <w:t>30 kwietnia</w:t>
      </w:r>
      <w:r w:rsidRPr="007A3CD0">
        <w:t xml:space="preserve"> 2026 r. w sprawie wspierania odporności demokratycznej w Armenii</w:t>
      </w:r>
      <w:bookmarkEnd w:id="3"/>
      <w:r w:rsidRPr="007A3CD0">
        <w:t xml:space="preserve"> </w:t>
      </w:r>
      <w:bookmarkStart w:id="4" w:name="References"/>
      <w:r w:rsidRPr="007A3CD0">
        <w:t>(2026/2701(RSP))</w:t>
      </w:r>
      <w:bookmarkEnd w:id="4"/>
    </w:p>
    <w:p w14:paraId="0E5FD6C8" w14:textId="77777777" w:rsidR="00FC3A12" w:rsidRPr="007A3CD0" w:rsidRDefault="00FC3A12" w:rsidP="00FC3A12">
      <w:pPr>
        <w:pStyle w:val="EPComma"/>
      </w:pPr>
      <w:bookmarkStart w:id="5" w:name="TextBodyBegin"/>
      <w:bookmarkEnd w:id="5"/>
      <w:r w:rsidRPr="007A3CD0">
        <w:rPr>
          <w:i/>
        </w:rPr>
        <w:t>Parlament Europejski</w:t>
      </w:r>
      <w:r w:rsidRPr="007A3CD0">
        <w:t>,</w:t>
      </w:r>
    </w:p>
    <w:p w14:paraId="0DBF5C80" w14:textId="77777777" w:rsidR="00FC3A12" w:rsidRPr="007A3CD0" w:rsidRDefault="00FC3A12" w:rsidP="00FC3A12">
      <w:pPr>
        <w:pStyle w:val="NormalHanging12a"/>
      </w:pPr>
      <w:r w:rsidRPr="007A3CD0">
        <w:t>–</w:t>
      </w:r>
      <w:r w:rsidRPr="007A3CD0">
        <w:tab/>
        <w:t>uwzględniając swoje wcześniejsze rezolucje w sprawie Armenii,</w:t>
      </w:r>
    </w:p>
    <w:p w14:paraId="014C4391" w14:textId="77777777" w:rsidR="00FC3A12" w:rsidRPr="007A3CD0" w:rsidRDefault="00FC3A12" w:rsidP="00FC3A12">
      <w:pPr>
        <w:pStyle w:val="NormalHanging12a"/>
      </w:pPr>
      <w:r w:rsidRPr="007A3CD0">
        <w:t>–</w:t>
      </w:r>
      <w:r w:rsidRPr="007A3CD0">
        <w:tab/>
        <w:t>uwzględniając Kompleksową i wzmocnioną umowę o partnerstwie między Unią Europejską i Europejską Wspólnotą Energii Atomowej oraz ich państwami członkowskimi, z jednej strony, a Republiką Armenii, z drugiej strony</w:t>
      </w:r>
      <w:r w:rsidRPr="007A3CD0">
        <w:rPr>
          <w:rStyle w:val="FootnoteReference"/>
        </w:rPr>
        <w:footnoteReference w:id="1"/>
      </w:r>
      <w:r w:rsidRPr="007A3CD0">
        <w:t>,</w:t>
      </w:r>
    </w:p>
    <w:p w14:paraId="65C8B377" w14:textId="77777777" w:rsidR="00FC3A12" w:rsidRPr="007A3CD0" w:rsidRDefault="00FC3A12" w:rsidP="00FC3A12">
      <w:pPr>
        <w:pStyle w:val="NormalHanging12a"/>
      </w:pPr>
      <w:r w:rsidRPr="007A3CD0">
        <w:t>–</w:t>
      </w:r>
      <w:r w:rsidRPr="007A3CD0">
        <w:tab/>
        <w:t>uwzględniając ustawę w sprawie rozpoczęcia procesu przystąpienia Armenii do Unii Europejskiej, przyjętą 26 marca 2025 r. przez Zgromadzenie Narodowe tego kraju,</w:t>
      </w:r>
    </w:p>
    <w:p w14:paraId="5F99D95C" w14:textId="77777777" w:rsidR="00FC3A12" w:rsidRPr="007A3CD0" w:rsidRDefault="00FC3A12" w:rsidP="00FC3A12">
      <w:pPr>
        <w:pStyle w:val="NormalHanging12a"/>
      </w:pPr>
      <w:r w:rsidRPr="007A3CD0">
        <w:t>–</w:t>
      </w:r>
      <w:r w:rsidRPr="007A3CD0">
        <w:tab/>
        <w:t xml:space="preserve">uwzględniając przemówienie premiera Nikola </w:t>
      </w:r>
      <w:proofErr w:type="spellStart"/>
      <w:r w:rsidRPr="007A3CD0">
        <w:t>Pasziniana</w:t>
      </w:r>
      <w:proofErr w:type="spellEnd"/>
      <w:r w:rsidRPr="007A3CD0">
        <w:t xml:space="preserve"> w Parlamencie Europejskim w Strasburgu 11 marca 2026 r.,</w:t>
      </w:r>
    </w:p>
    <w:p w14:paraId="2C3490C4" w14:textId="77777777" w:rsidR="00FC3A12" w:rsidRPr="007A3CD0" w:rsidRDefault="00FC3A12" w:rsidP="00FC3A12">
      <w:pPr>
        <w:pStyle w:val="NormalHanging12a"/>
      </w:pPr>
      <w:r w:rsidRPr="007A3CD0">
        <w:t>–</w:t>
      </w:r>
      <w:r w:rsidRPr="007A3CD0">
        <w:tab/>
        <w:t>uwzględniając wspólne oświadczenie prasowe z 3 grudnia 2025 r. wydane po szóstym posiedzeniu Rady Partnerstwa UE–Armenia,</w:t>
      </w:r>
    </w:p>
    <w:p w14:paraId="77A269B8" w14:textId="77777777" w:rsidR="00FC3A12" w:rsidRPr="007A3CD0" w:rsidRDefault="00FC3A12" w:rsidP="00FC3A12">
      <w:pPr>
        <w:pStyle w:val="NormalHanging12a"/>
      </w:pPr>
      <w:r w:rsidRPr="007A3CD0">
        <w:t>–</w:t>
      </w:r>
      <w:r w:rsidRPr="007A3CD0">
        <w:tab/>
        <w:t>uwzględniając przyjęcie strategicznego programu partnerstwa Armenia–UE,</w:t>
      </w:r>
    </w:p>
    <w:p w14:paraId="2CBEB2BA" w14:textId="77777777" w:rsidR="00FC3A12" w:rsidRPr="007A3CD0" w:rsidRDefault="00FC3A12" w:rsidP="00FC3A12">
      <w:pPr>
        <w:pStyle w:val="NormalHanging12a"/>
      </w:pPr>
      <w:r w:rsidRPr="007A3CD0">
        <w:t>–</w:t>
      </w:r>
      <w:r w:rsidRPr="007A3CD0">
        <w:tab/>
        <w:t>uwzględniając plan na rzecz odporności i wzrostu gospodarczego UE–Armenia oraz zobowiązania inwestycyjne UE w ramach strategii Global Gateway,</w:t>
      </w:r>
    </w:p>
    <w:p w14:paraId="2ADB5F37" w14:textId="77777777" w:rsidR="00FC3A12" w:rsidRPr="007A3CD0" w:rsidRDefault="00FC3A12" w:rsidP="00FC3A12">
      <w:pPr>
        <w:pStyle w:val="NormalHanging12a"/>
      </w:pPr>
      <w:r w:rsidRPr="007A3CD0">
        <w:t>–</w:t>
      </w:r>
      <w:r w:rsidRPr="007A3CD0">
        <w:tab/>
        <w:t>uwzględniając wnioski z dialogu UE–Armenia na temat polityki i bezpieczeństwa z 3 lutego 2026 r.,</w:t>
      </w:r>
    </w:p>
    <w:p w14:paraId="3CE08C0F" w14:textId="77777777" w:rsidR="00FC3A12" w:rsidRPr="007A3CD0" w:rsidRDefault="00FC3A12" w:rsidP="00FC3A12">
      <w:pPr>
        <w:pStyle w:val="NormalHanging12a"/>
      </w:pPr>
      <w:r w:rsidRPr="007A3CD0">
        <w:t>–</w:t>
      </w:r>
      <w:r w:rsidRPr="007A3CD0">
        <w:tab/>
        <w:t>uwzględniając decyzję Rady (</w:t>
      </w:r>
      <w:proofErr w:type="spellStart"/>
      <w:r w:rsidRPr="007A3CD0">
        <w:t>WPZiB</w:t>
      </w:r>
      <w:proofErr w:type="spellEnd"/>
      <w:r w:rsidRPr="007A3CD0">
        <w:t>) 2025/211 z dnia 30 stycznia 2025 r.</w:t>
      </w:r>
      <w:r w:rsidRPr="007A3CD0">
        <w:rPr>
          <w:rStyle w:val="FootnoteReference"/>
        </w:rPr>
        <w:footnoteReference w:id="2"/>
      </w:r>
      <w:r w:rsidRPr="007A3CD0">
        <w:t xml:space="preserve"> przedłużającą mandat misji Unii Europejskiej w Armenii (EUMA) o dwa lata,</w:t>
      </w:r>
    </w:p>
    <w:p w14:paraId="0D69F571" w14:textId="77777777" w:rsidR="00FC3A12" w:rsidRPr="007A3CD0" w:rsidRDefault="00FC3A12" w:rsidP="00FC3A12">
      <w:pPr>
        <w:pStyle w:val="NormalHanging12a"/>
      </w:pPr>
      <w:r w:rsidRPr="007A3CD0">
        <w:lastRenderedPageBreak/>
        <w:t>–</w:t>
      </w:r>
      <w:r w:rsidRPr="007A3CD0">
        <w:tab/>
        <w:t>uwzględniając decyzję Rady (</w:t>
      </w:r>
      <w:proofErr w:type="spellStart"/>
      <w:r w:rsidRPr="007A3CD0">
        <w:t>WPZiB</w:t>
      </w:r>
      <w:proofErr w:type="spellEnd"/>
      <w:r w:rsidRPr="007A3CD0">
        <w:t>) 2026/894 z dnia 21 kwietnia 2026 r.</w:t>
      </w:r>
      <w:r w:rsidRPr="007A3CD0">
        <w:rPr>
          <w:rStyle w:val="FootnoteReference"/>
        </w:rPr>
        <w:footnoteReference w:id="3"/>
      </w:r>
      <w:r w:rsidRPr="007A3CD0">
        <w:t xml:space="preserve"> ustanawiającą partnerską misję UE w Armenii (EUPM Armenia) w ramach wspólnej polityki bezpieczeństwa i obrony (</w:t>
      </w:r>
      <w:proofErr w:type="spellStart"/>
      <w:r w:rsidRPr="007A3CD0">
        <w:t>WPBiO</w:t>
      </w:r>
      <w:proofErr w:type="spellEnd"/>
      <w:r w:rsidRPr="007A3CD0">
        <w:t>),</w:t>
      </w:r>
    </w:p>
    <w:p w14:paraId="34F9A94C" w14:textId="77777777" w:rsidR="00FC3A12" w:rsidRPr="007A3CD0" w:rsidRDefault="00FC3A12" w:rsidP="00FC3A12">
      <w:pPr>
        <w:pStyle w:val="NormalHanging12a"/>
      </w:pPr>
      <w:r w:rsidRPr="007A3CD0">
        <w:t>–</w:t>
      </w:r>
      <w:r w:rsidRPr="007A3CD0">
        <w:tab/>
        <w:t>uwzględniając decyzję Rady (</w:t>
      </w:r>
      <w:proofErr w:type="spellStart"/>
      <w:r w:rsidRPr="007A3CD0">
        <w:t>WPZiB</w:t>
      </w:r>
      <w:proofErr w:type="spellEnd"/>
      <w:r w:rsidRPr="007A3CD0">
        <w:t>) 2024/2010 z dnia 22 lipca 2024 r.</w:t>
      </w:r>
      <w:r w:rsidRPr="007A3CD0">
        <w:rPr>
          <w:rStyle w:val="FootnoteReference"/>
        </w:rPr>
        <w:footnoteReference w:id="4"/>
      </w:r>
      <w:r w:rsidRPr="007A3CD0">
        <w:t>, w której przyjęto pierwszy w historii środek pomocy w ramach Europejskiego Instrumentu na rzecz Pokoju w celu wsparcia armeńskich sił zbrojnych,</w:t>
      </w:r>
    </w:p>
    <w:p w14:paraId="68E099C1" w14:textId="77777777" w:rsidR="00FC3A12" w:rsidRPr="007A3CD0" w:rsidRDefault="00FC3A12" w:rsidP="00FC3A12">
      <w:pPr>
        <w:pStyle w:val="NormalHanging12a"/>
      </w:pPr>
      <w:r w:rsidRPr="007A3CD0">
        <w:t>–</w:t>
      </w:r>
      <w:r w:rsidRPr="007A3CD0">
        <w:tab/>
        <w:t xml:space="preserve">uwzględniając ratyfikację umowy ramowej w sprawie udziału w </w:t>
      </w:r>
      <w:proofErr w:type="spellStart"/>
      <w:r w:rsidRPr="007A3CD0">
        <w:t>WPBiO</w:t>
      </w:r>
      <w:proofErr w:type="spellEnd"/>
      <w:r w:rsidRPr="007A3CD0">
        <w:t xml:space="preserve"> między Unią Europejską a Armenią</w:t>
      </w:r>
      <w:r w:rsidRPr="007A3CD0">
        <w:rPr>
          <w:rStyle w:val="FootnoteReference"/>
        </w:rPr>
        <w:footnoteReference w:id="5"/>
      </w:r>
      <w:r w:rsidRPr="007A3CD0">
        <w:t>, przyjętą z zadowoleniem we wspólnym oświadczeniu prasowym z 3 grudnia 2025 r. po szóstym posiedzeniu Rady Partnerstwa UE–Armenia,</w:t>
      </w:r>
    </w:p>
    <w:p w14:paraId="0B777674" w14:textId="77777777" w:rsidR="00FC3A12" w:rsidRPr="007A3CD0" w:rsidRDefault="00FC3A12" w:rsidP="00FC3A12">
      <w:pPr>
        <w:pStyle w:val="NormalHanging12a"/>
      </w:pPr>
      <w:r w:rsidRPr="007A3CD0">
        <w:t>–</w:t>
      </w:r>
      <w:r w:rsidRPr="007A3CD0">
        <w:tab/>
        <w:t>uwzględniając szczyt pokojowy w Waszyngtonie, który odbył się 8 sierpnia 2025 r.,</w:t>
      </w:r>
    </w:p>
    <w:p w14:paraId="010804DB" w14:textId="77777777" w:rsidR="00FC3A12" w:rsidRPr="007A3CD0" w:rsidRDefault="00FC3A12" w:rsidP="00FC3A12">
      <w:pPr>
        <w:pStyle w:val="NormalHanging12a"/>
      </w:pPr>
      <w:r w:rsidRPr="007A3CD0">
        <w:t>–</w:t>
      </w:r>
      <w:r w:rsidRPr="007A3CD0">
        <w:tab/>
        <w:t xml:space="preserve">uwzględniając sprawozdanie z misji oceny potrzeb opublikowane przez Biuro Instytucji Demokratycznych i Praw Człowieka (ODIHR) Organizacji Bezpieczeństwa i Współpracy w Europie w sprawie wyborów parlamentarnych w Armenii 7 czerwca 2026 r. oraz prace Rady Europy w obszarach standardów wyborczych, wolności mediów i integralności informacji, </w:t>
      </w:r>
    </w:p>
    <w:p w14:paraId="2BAEE854" w14:textId="77777777" w:rsidR="00FC3A12" w:rsidRPr="007A3CD0" w:rsidRDefault="00FC3A12" w:rsidP="00FC3A12">
      <w:pPr>
        <w:pStyle w:val="NormalHanging12a"/>
      </w:pPr>
      <w:r w:rsidRPr="007A3CD0">
        <w:t>–</w:t>
      </w:r>
      <w:r w:rsidRPr="007A3CD0">
        <w:tab/>
        <w:t>uwzględniając swoją rezolucję z 15 kwietnia 2015 r. w sprawie setnej rocznicy ludobójstwa Ormian</w:t>
      </w:r>
      <w:r w:rsidRPr="007A3CD0">
        <w:rPr>
          <w:rStyle w:val="FootnoteReference"/>
        </w:rPr>
        <w:footnoteReference w:id="6"/>
      </w:r>
      <w:r w:rsidRPr="007A3CD0">
        <w:t>,</w:t>
      </w:r>
    </w:p>
    <w:p w14:paraId="70139CC8" w14:textId="77777777" w:rsidR="00FC3A12" w:rsidRPr="007A3CD0" w:rsidRDefault="00FC3A12" w:rsidP="00FC3A12">
      <w:pPr>
        <w:pStyle w:val="NormalHanging12a"/>
      </w:pPr>
      <w:r w:rsidRPr="007A3CD0">
        <w:t>–</w:t>
      </w:r>
      <w:r w:rsidRPr="007A3CD0">
        <w:tab/>
        <w:t>uwzględniając art. 136 ust. 2 i 4 Regulaminu,</w:t>
      </w:r>
    </w:p>
    <w:p w14:paraId="3B7287D3" w14:textId="77777777" w:rsidR="00FC3A12" w:rsidRPr="007A3CD0" w:rsidRDefault="00FC3A12" w:rsidP="00FC3A12">
      <w:pPr>
        <w:pStyle w:val="NormalHanging12a"/>
      </w:pPr>
      <w:r w:rsidRPr="007A3CD0">
        <w:t>A.</w:t>
      </w:r>
      <w:r w:rsidRPr="007A3CD0">
        <w:tab/>
        <w:t>mając na uwadze, że stosunki między UE a Armenią weszły w nową fazę, która charakteryzuje się większym zaangażowaniem politycznym i rozszerzonymi stosunkami w zakresie bezpieczeństwa; mając na uwadze, że stosunki te opierają się na wspólnych wartościach, w tym demokracji, praworządności oraz poszanowaniu praw człowieka i podstawowych wolności; mając na uwadze, że Rada Partnerstwa UE–Armenia przyjęła nowy program strategiczny jako ważny krok w kierunku wzmocnienia więzi dwustronnych, obejmujący demokrację, reformę wymiaru sprawiedliwości, prawa człowieka i szereg innych obszarów w oparciu o kompleksową i wzmocnioną umowę o partnerstwie; mając na uwadze, że UE potwierdziła swoje zdecydowane poparcie dla kompleksowego programu reform Armenii i wysiłków tego kraju na rzecz przeciwdziałania zagrożeniom hybrydowym, postępów poczynionych w dialogu na temat liberalizacji reżimu wizowego oraz planu na rzecz odporności i wzrostu gospodarczego o wartości 270 mln EUR; mając na uwadze, że w ostatnich latach Armenia podjęła istotne reformy; mając na uwadze, że konieczne są dalsze usprawnienia;</w:t>
      </w:r>
    </w:p>
    <w:p w14:paraId="33D17FBF" w14:textId="77777777" w:rsidR="00FC3A12" w:rsidRPr="007A3CD0" w:rsidRDefault="00FC3A12" w:rsidP="00FC3A12">
      <w:pPr>
        <w:pStyle w:val="NormalHanging12a"/>
      </w:pPr>
      <w:r w:rsidRPr="007A3CD0">
        <w:t>B.</w:t>
      </w:r>
      <w:r w:rsidRPr="007A3CD0">
        <w:tab/>
        <w:t xml:space="preserve">mając na uwadze, że 26 marca 2025 r. parlament Armenii przyjął ustawę o rozpoczęciu procesu przystąpienia Armenii do UE, wyrażając tym samym aspiracje tego kraju do </w:t>
      </w:r>
      <w:r w:rsidRPr="007A3CD0">
        <w:lastRenderedPageBreak/>
        <w:t>członkostwa w UE;</w:t>
      </w:r>
    </w:p>
    <w:p w14:paraId="071E90EA" w14:textId="77777777" w:rsidR="00FC3A12" w:rsidRPr="007A3CD0" w:rsidRDefault="00FC3A12" w:rsidP="00FC3A12">
      <w:pPr>
        <w:pStyle w:val="NormalHanging12a"/>
      </w:pPr>
      <w:r w:rsidRPr="007A3CD0">
        <w:t>C.</w:t>
      </w:r>
      <w:r w:rsidRPr="007A3CD0">
        <w:tab/>
        <w:t>mając na uwadze, że nowy program strategiczny przyjęty w grudniu 2025 r, który opiera się na pełnym wdrożeniu kompleksowej i wzmocnionej umowy o partnerstwie, obejmuje szeroki zakres obszarów, w tym demokrację i praworządność, reformę wymiaru sprawiedliwości i prawa człowieka; mając na uwadze, że wybór tych obszarów świadczy o suwerennym zaangażowaniu Armenii na rzecz standardów demokratycznych i praworządności, zgodnie z normami i wartościami UE;</w:t>
      </w:r>
    </w:p>
    <w:p w14:paraId="3AAA2245" w14:textId="77777777" w:rsidR="00FC3A12" w:rsidRPr="007A3CD0" w:rsidRDefault="00FC3A12" w:rsidP="00FC3A12">
      <w:pPr>
        <w:pStyle w:val="NormalHanging12a"/>
      </w:pPr>
      <w:r w:rsidRPr="007A3CD0">
        <w:t>D.</w:t>
      </w:r>
      <w:r w:rsidRPr="007A3CD0">
        <w:tab/>
        <w:t>mając na uwadze, że ósmy szczyt Europejskiej Wspólnoty Politycznej i pierwszy w historii szczyt UE–Armenia odbędą się kolejno w Erywaniu 4 i 5 maja 2026 r., co będzie historycznym sygnałem europejskiej solidarności z Armenią; mając na uwadze, że szczyt UE–Armenia, na którym spotkają się przewodniczący Rady Europejskiej, przewodnicząca Komisji i wiceprzewodnicząca Komisji / wysoka przedstawicielka Unii do spraw zagranicznych i polityki bezpieczeństwa, ma przynieść konkretne rezultaty w stosunkach dwustronnych, ze szczególnym uwzględnieniem łączności w infrastrukturze energetycznej, transportowej i cyfrowej oraz pokoju, bezpieczeństwa i dobrobytu na Zakaukaziu;</w:t>
      </w:r>
    </w:p>
    <w:p w14:paraId="2BF192ED" w14:textId="77777777" w:rsidR="00FC3A12" w:rsidRPr="007A3CD0" w:rsidRDefault="00FC3A12" w:rsidP="00FC3A12">
      <w:pPr>
        <w:pStyle w:val="NormalHanging12a"/>
      </w:pPr>
      <w:r w:rsidRPr="007A3CD0">
        <w:t>E.</w:t>
      </w:r>
      <w:r w:rsidRPr="007A3CD0">
        <w:tab/>
        <w:t xml:space="preserve">mając na uwadze, że 21 kwietnia 2026 r. Rada ustanowiła partnerską misję UE w Armenii (EUPM Armenia) w ramach </w:t>
      </w:r>
      <w:proofErr w:type="spellStart"/>
      <w:r w:rsidRPr="007A3CD0">
        <w:t>WPBiO</w:t>
      </w:r>
      <w:proofErr w:type="spellEnd"/>
      <w:r w:rsidRPr="007A3CD0">
        <w:t xml:space="preserve"> jako kolejny krok w zwiększaniu demokratycznej odporności Armenii i zdolności tego kraju do reagowania na kryzysy; mając na uwadze, że misja ta wesprze Armenię w obliczu złożonych zagrożeń, takich jak zagraniczne manipulacje informacjami i ingerencje, cyberataki i nielegalne przepływy finansowe; mając na uwadze, że ustanowienie misji potwierdza, iż bezpieczeństwo demokratyczne jest obecnie głównym filarem partnerstwa UE–Armenia; mając na uwadze, że EUPM Armenia zapewni armeńskim instytucjom Armenii doradztwo strategiczne i budowanie zdolności, aby pomóc im reagować na takie zagrożenia;</w:t>
      </w:r>
    </w:p>
    <w:p w14:paraId="6D9E4A1D" w14:textId="77777777" w:rsidR="00FC3A12" w:rsidRPr="007A3CD0" w:rsidRDefault="00FC3A12" w:rsidP="00FC3A12">
      <w:pPr>
        <w:pStyle w:val="NormalHanging12a"/>
        <w:rPr>
          <w:bCs/>
        </w:rPr>
      </w:pPr>
      <w:r w:rsidRPr="007A3CD0">
        <w:t>F.</w:t>
      </w:r>
      <w:r w:rsidRPr="007A3CD0">
        <w:tab/>
        <w:t xml:space="preserve">mając na uwadze, że 7 czerwca 2026 r. w Armenii odbędą się wybory parlamentarne, które mają strategiczne znaczenie nie tylko dla wewnętrznej konsolidacji demokratycznej, ale także dla trwałości pokoju, reform i ściślejszej współpracy z UE; mając na uwadze, że uczciwość wyborów zależy od warunków sprzyjających wolnym, uczciwym i konkurencyjnym wyborom, silnych instytucji, niezależnych mediów i solidnych zabezpieczeń przed dezinformacją, nielegalnym finansowaniem, kupowaniem głosów i innymi formami wrogiej ingerencji; mając na uwadze, że ODIHR zgłosiło obawy dotyczące gotowości komisji obwodowych, </w:t>
      </w:r>
      <w:proofErr w:type="spellStart"/>
      <w:r w:rsidRPr="007A3CD0">
        <w:t>cyberbezpieczeństwa</w:t>
      </w:r>
      <w:proofErr w:type="spellEnd"/>
      <w:r w:rsidRPr="007A3CD0">
        <w:t>, przedwczesnej kampanii, nadużywania zasobów administracyjnych, przejrzystości finansowania kampanii i polaryzacji mediów; mając na uwadze, że obce ingerencje – w szczególności systematyczne operacje hybrydowe prowadzone przez Rosję z pomocą jej popleczników, w tym kampanie dezinformacyjne, operacje w cyberprzestrzeni, presja ekonomiczna i mobilizacja lokalnych popleczników – w coraz większym stopniu opierają się na krajowych pośrednikach, takich jak niektóre podmioty religijne i sieci oligarchiczne, co odzwierciedla wzorce zaobserwowane podczas ostatnich wyborów w Mołdawii i Gruzji;</w:t>
      </w:r>
    </w:p>
    <w:p w14:paraId="6C8E2754" w14:textId="77777777" w:rsidR="00FC3A12" w:rsidRPr="007A3CD0" w:rsidRDefault="00FC3A12" w:rsidP="00FC3A12">
      <w:pPr>
        <w:pStyle w:val="NormalHanging12a"/>
        <w:rPr>
          <w:bCs/>
        </w:rPr>
      </w:pPr>
      <w:r w:rsidRPr="007A3CD0">
        <w:t>G.</w:t>
      </w:r>
      <w:r w:rsidRPr="007A3CD0">
        <w:tab/>
        <w:t xml:space="preserve">mając na uwadze, że podczas spotkania z premierem Armenii Nikolem </w:t>
      </w:r>
      <w:proofErr w:type="spellStart"/>
      <w:r w:rsidRPr="007A3CD0">
        <w:t>Paszinianem</w:t>
      </w:r>
      <w:proofErr w:type="spellEnd"/>
      <w:r w:rsidRPr="007A3CD0">
        <w:t xml:space="preserve"> 1 kwietnia 2026 r. Putin wywarł na niego presję, aby umożliwił </w:t>
      </w:r>
      <w:proofErr w:type="spellStart"/>
      <w:r w:rsidRPr="007A3CD0">
        <w:t>Samwelowi</w:t>
      </w:r>
      <w:proofErr w:type="spellEnd"/>
      <w:r w:rsidRPr="007A3CD0">
        <w:t xml:space="preserve"> </w:t>
      </w:r>
      <w:proofErr w:type="spellStart"/>
      <w:r w:rsidRPr="007A3CD0">
        <w:t>Karapetjanowi</w:t>
      </w:r>
      <w:proofErr w:type="spellEnd"/>
      <w:r w:rsidRPr="007A3CD0">
        <w:t>, zatrzymanemu rosyjsko-armeńskiemu miliarderowi, udział w zbliżających się wyborach w Armenii;</w:t>
      </w:r>
    </w:p>
    <w:p w14:paraId="2487B7D4" w14:textId="77777777" w:rsidR="00FC3A12" w:rsidRPr="007A3CD0" w:rsidRDefault="00FC3A12" w:rsidP="00FC3A12">
      <w:pPr>
        <w:pStyle w:val="NormalHanging12a"/>
        <w:rPr>
          <w:bCs/>
        </w:rPr>
      </w:pPr>
      <w:r w:rsidRPr="007A3CD0">
        <w:lastRenderedPageBreak/>
        <w:t>H.</w:t>
      </w:r>
      <w:r w:rsidRPr="007A3CD0">
        <w:tab/>
        <w:t>mając na uwadze, że EUMA nadal odgrywa kluczową rolę w przyczynianiu się do stabilności, budowania zaufania i bezpieczeństwa ludzi na obszarach dotkniętych konfliktami; mając na uwadze, że 30 stycznia 2025 r. Rada przedłużyła mandat EUMA o dwa lata; mając na uwadze, że EUMA odgrywa istotną rolę stabilizującą wzdłuż granicy armeńsko-azerbejdżańskiej; mając na uwadze, że przyczynia się ona również do obserwacji sytuacji w terenie i składania sprawozdań na ten temat oraz wspiera budowanie zaufania między Armenią a Azerbejdżanem;</w:t>
      </w:r>
    </w:p>
    <w:p w14:paraId="05A412AA" w14:textId="77777777" w:rsidR="00FC3A12" w:rsidRPr="007A3CD0" w:rsidRDefault="00FC3A12" w:rsidP="00FC3A12">
      <w:pPr>
        <w:pStyle w:val="NormalHanging12a"/>
      </w:pPr>
      <w:r w:rsidRPr="007A3CD0">
        <w:t>I.</w:t>
      </w:r>
      <w:r w:rsidRPr="007A3CD0">
        <w:tab/>
        <w:t xml:space="preserve">mając na uwadze, że proces pokojowy między Armenią a Azerbejdżanem nabrał tempa, a plany dotyczące multimodalnych połączeń tranzytowych przez terytorium Armenii łączących Azerbejdżan kontynentalny z Nachiczewańską Republiką Autonomiczną, przy pełnym poszanowaniu suwerenności, integralności terytorialnej i jurysdykcji Armenii, stanowią kluczowy instrument zmniejszenia zależności gospodarczej Armenii od Rosji; mając na uwadze, że UE w pełni popiera ten proces za pośrednictwem partnerstwa na rzecz </w:t>
      </w:r>
      <w:proofErr w:type="spellStart"/>
      <w:r w:rsidRPr="007A3CD0">
        <w:t>konektywności</w:t>
      </w:r>
      <w:proofErr w:type="spellEnd"/>
      <w:r w:rsidRPr="007A3CD0">
        <w:t xml:space="preserve"> między UE a Armenią oraz inicjatywy „Skrzyżowanie pokoju”;</w:t>
      </w:r>
    </w:p>
    <w:p w14:paraId="026CC4A6" w14:textId="77777777" w:rsidR="00FC3A12" w:rsidRPr="007A3CD0" w:rsidRDefault="00FC3A12" w:rsidP="00FC3A12">
      <w:pPr>
        <w:pStyle w:val="NormalHanging12a"/>
      </w:pPr>
      <w:r w:rsidRPr="007A3CD0">
        <w:t>1.</w:t>
      </w:r>
      <w:r w:rsidRPr="007A3CD0">
        <w:tab/>
        <w:t>potwierdza swoje głębokie przekonanie o zaangażowaniu władz Armenii na rzecz zapewnienia wolnych, uczciwych i przejrzystych wyborów oraz wyraża poparcie dla ich wysiłków na rzecz ochrony instytucji demokratycznych przed ingerencją zagraniczną;</w:t>
      </w:r>
    </w:p>
    <w:p w14:paraId="21C0D352" w14:textId="77777777" w:rsidR="00FC3A12" w:rsidRPr="007A3CD0" w:rsidRDefault="00FC3A12" w:rsidP="00FC3A12">
      <w:pPr>
        <w:pStyle w:val="NormalHanging12a"/>
      </w:pPr>
      <w:r w:rsidRPr="007A3CD0">
        <w:t>2.</w:t>
      </w:r>
      <w:r w:rsidRPr="007A3CD0">
        <w:tab/>
        <w:t>wyraża poparcie dla wolnych, uczciwych, opartych na rywalizacji i pokojowych wyborów parlamentarnych w Armenii w czerwcu 2026 r., o których wyniku muszą zdecydować wyłącznie Armeńczycy; podkreśla znaczenie niezależności administracji wyborczej, równych warunków kampanii dla wszystkich kandydatów, pluralizmu mediów i pełnego poszanowania podstawowych wolności w całym cyklu wyborczym; apeluje o solidne zabezpieczenia przed dezinformacją, nielegalnym finansowaniem, kupowaniem głosów i przymusem, a także o wzmocnienie ochrony infrastruktury wyborczej, przejrzystość finansowania kampanii oraz wsparcie dla inicjatyw w zakresie weryfikacji informacji i dla społeczeństwa obywatelskiego, w tym za pomocą mechanizmów wymiany informacji i wczesnego ostrzegania; apeluje o ustanowienie solidnych międzynarodowych i krajowych misji obserwacji wyborów, w tym przez ODIHR, oraz o pełną współpracę z takimi misjami;</w:t>
      </w:r>
    </w:p>
    <w:p w14:paraId="7D77C169" w14:textId="77777777" w:rsidR="00FC3A12" w:rsidRPr="007A3CD0" w:rsidRDefault="00FC3A12" w:rsidP="00FC3A12">
      <w:pPr>
        <w:pStyle w:val="NormalHanging12a"/>
      </w:pPr>
      <w:r w:rsidRPr="007A3CD0">
        <w:t>3.</w:t>
      </w:r>
      <w:r w:rsidRPr="007A3CD0">
        <w:tab/>
        <w:t xml:space="preserve">zdecydowanie potępia zagraniczne manipulacje informacjami i ingerencje w informacje, kampanie dezinformacyjne i inne zagrożenia hybrydowe skierowane przeciwko Armenii, w szczególności ze strony Rosji i jej popleczników, takie jak cyberataki, nielegalne finansowanie polityczne i wykorzystywanie podmiotów krajowych, w tym sieci oligarchicznych, do nasilania tych zagrożeń; podkreśla, że zagrożenia te mają charakter strukturalny i długoterminowy oraz że konieczne są stałe wysiłki na rzecz wzmocnienia odporności demokratycznej poza cyklem wyborczym; w związku z tym z zadowoleniem przyjmuje ustanowienie EUPM Armenia i wzywa do zwiększenia wsparcia UE poprzez usprawnienie komunikacji strategicznej, poprawienie umiejętności korzystania z mediów, budowanie zdolności w dziedzinie </w:t>
      </w:r>
      <w:proofErr w:type="spellStart"/>
      <w:r w:rsidRPr="007A3CD0">
        <w:t>cyberbezpieczeństwa</w:t>
      </w:r>
      <w:proofErr w:type="spellEnd"/>
      <w:r w:rsidRPr="007A3CD0">
        <w:t xml:space="preserve"> oraz ustrukturyzowaną współpracę z platformami internetowymi; wzywa władze Armenii do zagwarantowania pełnego poszanowania praw opozycji, niezależności sądów i wolności wypowiedzi;</w:t>
      </w:r>
    </w:p>
    <w:p w14:paraId="7643DB11" w14:textId="77777777" w:rsidR="00FC3A12" w:rsidRPr="007A3CD0" w:rsidRDefault="00FC3A12" w:rsidP="00FC3A12">
      <w:pPr>
        <w:pStyle w:val="NormalHanging12a"/>
      </w:pPr>
      <w:r w:rsidRPr="007A3CD0">
        <w:t>4.</w:t>
      </w:r>
      <w:r w:rsidRPr="007A3CD0">
        <w:tab/>
        <w:t xml:space="preserve">zwraca uwagę na szczególne wyzwania związane z obecnością w Armenii licznej społeczności rosyjskiej, w tym osób posiadających podwójne </w:t>
      </w:r>
      <w:proofErr w:type="gramStart"/>
      <w:r w:rsidRPr="007A3CD0">
        <w:t>obywatelstwo,</w:t>
      </w:r>
      <w:proofErr w:type="gramEnd"/>
      <w:r w:rsidRPr="007A3CD0">
        <w:t xml:space="preserve"> i podkreśla potrzebę czujności wobec wszelkich prób wykorzystania tej sytuacji do ingerencji w </w:t>
      </w:r>
      <w:r w:rsidRPr="007A3CD0">
        <w:lastRenderedPageBreak/>
        <w:t>wybory;</w:t>
      </w:r>
    </w:p>
    <w:p w14:paraId="24381A2E" w14:textId="77777777" w:rsidR="00FC3A12" w:rsidRPr="007A3CD0" w:rsidRDefault="00FC3A12" w:rsidP="00FC3A12">
      <w:pPr>
        <w:pStyle w:val="NormalHanging12a"/>
      </w:pPr>
      <w:r w:rsidRPr="007A3CD0">
        <w:t>5.</w:t>
      </w:r>
      <w:r w:rsidRPr="007A3CD0">
        <w:tab/>
        <w:t>z zadowoleniem przyjmuje znaczące ożywienie stosunków między UE a Armenią oraz stałe zaangażowanie Armenii na rzecz demokracji, praworządności, praw człowieka oraz ambitnych reform politycznych i gospodarczych;</w:t>
      </w:r>
    </w:p>
    <w:p w14:paraId="17512C0F" w14:textId="77777777" w:rsidR="00FC3A12" w:rsidRPr="007A3CD0" w:rsidRDefault="00FC3A12" w:rsidP="00FC3A12">
      <w:pPr>
        <w:pStyle w:val="NormalHanging12a"/>
      </w:pPr>
      <w:r w:rsidRPr="007A3CD0">
        <w:t>6.</w:t>
      </w:r>
      <w:r w:rsidRPr="007A3CD0">
        <w:tab/>
        <w:t>wyraża zadowolenie z przyjęcia nowego programu strategicznego partnerstwa UE–Armenia, postępów we wdrażaniu kompleksowej i wzmocnionej umowy o partnerstwie, postępów poczynionych w dialogu o liberalizacji reżimu wizowego oraz dalszej realizacji planu na rzecz odporności i wzrostu gospodarczego; w związku z tym z zadowoleniem przyjmuje wysiłki ustawodawcze i polityczne Armenii mające na celu pogłębienie stosunków z UE;</w:t>
      </w:r>
    </w:p>
    <w:p w14:paraId="2013EAA8" w14:textId="77777777" w:rsidR="00FC3A12" w:rsidRPr="007A3CD0" w:rsidRDefault="00FC3A12" w:rsidP="00FC3A12">
      <w:pPr>
        <w:pStyle w:val="NormalHanging12a"/>
      </w:pPr>
      <w:r w:rsidRPr="007A3CD0">
        <w:t>7.</w:t>
      </w:r>
      <w:r w:rsidRPr="007A3CD0">
        <w:tab/>
        <w:t>z zadowoleniem przyjmuje zorganizowanie w Erywaniu 4 i 5 maja 2026 r. ósmego szczytu Europejskiej Wspólnoty Politycznej oraz pierwszego w historii szczytu UE–Armenia jako wyjątkowy i historyczny kamień milowy; uważa, że fakt, iż oba szczyty po raz kolejny odbywają się w Erywaniu, stanowi jednoznaczny sygnał polityczny ogólnoeuropejskiej solidarności z Armenią oraz zaangażowania UE we wspieranie programu na rzecz pokoju, reform i odporności Armenii; wzywa przywódców UE i Armenii do wykorzystania tej okazji do wyznaczenia ambitnych i konkretnych celów;</w:t>
      </w:r>
    </w:p>
    <w:p w14:paraId="371DF324" w14:textId="77777777" w:rsidR="00FC3A12" w:rsidRPr="007A3CD0" w:rsidRDefault="00FC3A12" w:rsidP="00FC3A12">
      <w:pPr>
        <w:pStyle w:val="NormalHanging12a"/>
      </w:pPr>
      <w:r w:rsidRPr="007A3CD0">
        <w:t>8.</w:t>
      </w:r>
      <w:r w:rsidRPr="007A3CD0">
        <w:tab/>
        <w:t>z zadowoleniem przyjmuje przyjęcie przepisów, w których Armenia wyraża gotowość do przystąpienia do UE, i wzywa instytucje UE oraz władze Armenii do wspierania tego wyboru politycznego za pomocą praktycznych środków opartych na demokracji, praworządności i prawach podstawowych;</w:t>
      </w:r>
    </w:p>
    <w:p w14:paraId="13058A31" w14:textId="77777777" w:rsidR="00FC3A12" w:rsidRPr="007A3CD0" w:rsidRDefault="00FC3A12" w:rsidP="00FC3A12">
      <w:pPr>
        <w:pStyle w:val="NormalHanging12a"/>
        <w:rPr>
          <w:bCs/>
        </w:rPr>
      </w:pPr>
      <w:r w:rsidRPr="007A3CD0">
        <w:t>9.</w:t>
      </w:r>
      <w:r w:rsidRPr="007A3CD0">
        <w:tab/>
        <w:t xml:space="preserve">wzywa Komisję, Europejską Służbę Działań Zewnętrznych i państwa członkowskie do pogłębienia współpracy z Armenią w zakresie demokratycznych rządów, praworządności, reformy sądownictwa, walki z korupcją, </w:t>
      </w:r>
      <w:proofErr w:type="spellStart"/>
      <w:r w:rsidRPr="007A3CD0">
        <w:t>cyberbezpieczeństwa</w:t>
      </w:r>
      <w:proofErr w:type="spellEnd"/>
      <w:r w:rsidRPr="007A3CD0">
        <w:t xml:space="preserve"> i odporności na zagrożenia hybrydowe oraz do zwiększenia dostępnego wsparcia dla niezależnych mediów, społeczeństwa obywatelskiego, lokalnych instytucji i administracji publicznej zorientowanej na reformy; wzywa do ścisłej koordynacji z partnerami międzynarodowymi we wspieraniu tych wysiłków;</w:t>
      </w:r>
    </w:p>
    <w:p w14:paraId="569332AC" w14:textId="77777777" w:rsidR="00FC3A12" w:rsidRPr="007A3CD0" w:rsidRDefault="00FC3A12" w:rsidP="00FC3A12">
      <w:pPr>
        <w:pStyle w:val="NormalHanging12a"/>
        <w:rPr>
          <w:bCs/>
        </w:rPr>
      </w:pPr>
      <w:r w:rsidRPr="007A3CD0">
        <w:t>10.</w:t>
      </w:r>
      <w:r w:rsidRPr="007A3CD0">
        <w:tab/>
        <w:t>zdecydowanie popiera stałe wysiłki Armenii na rzecz pokoju, pojednania i pełnej normalizacji stosunków z Azerbejdżanem; z zadowoleniem przyjmuje postępy osiągnięte w procesie pokojowym i wzywa obie strony do dążenia do kompleksowego i prawnie wiążącego porozumienia pokojowego; podkreśla, że trwały pokój musi opierać się na poszanowaniu suwerenności, integralności terytorialnej i nienaruszalności granic;</w:t>
      </w:r>
    </w:p>
    <w:p w14:paraId="680BC527" w14:textId="77777777" w:rsidR="00FC3A12" w:rsidRPr="007A3CD0" w:rsidRDefault="00FC3A12" w:rsidP="00FC3A12">
      <w:pPr>
        <w:pStyle w:val="NormalHanging12a"/>
      </w:pPr>
      <w:r w:rsidRPr="007A3CD0">
        <w:t>11.</w:t>
      </w:r>
      <w:r w:rsidRPr="007A3CD0">
        <w:tab/>
        <w:t>zachęca do zwiększonej wymiany informacji i współpracy z Republiką Mołdawii, przy wsparciu ze strony UE, w świetle porównywalnych doświadczeń obu krajów w zakresie ingerencji w wybory;</w:t>
      </w:r>
    </w:p>
    <w:p w14:paraId="26974CC0" w14:textId="77777777" w:rsidR="00FC3A12" w:rsidRPr="007A3CD0" w:rsidRDefault="00FC3A12" w:rsidP="00FC3A12">
      <w:pPr>
        <w:pStyle w:val="NormalHanging12a"/>
      </w:pPr>
      <w:r w:rsidRPr="007A3CD0">
        <w:t>12.</w:t>
      </w:r>
      <w:r w:rsidRPr="007A3CD0">
        <w:tab/>
        <w:t>ponownie wyraża poparcie dla praw Ormian z Górskiego Karabachu, w tym ich prawa do ochrony tożsamości, mienia i dziedzictwa kulturowego oraz ich prawa do bezpiecznego, niezakłóconego i godnego powrotu na podstawie odpowiednich gwarancji międzynarodowych; wzywa do pociągnięcia do odpowiedzialności osób odpowiedzialnych za niszczenie ormiańskiego dziedzictwa kulturowego i religijnego oraz do zorganizowania międzynarodowej misji oceniającej;</w:t>
      </w:r>
    </w:p>
    <w:p w14:paraId="15682497" w14:textId="77777777" w:rsidR="00FC3A12" w:rsidRPr="007A3CD0" w:rsidRDefault="00FC3A12" w:rsidP="00FC3A12">
      <w:pPr>
        <w:pStyle w:val="NormalHanging12a"/>
        <w:rPr>
          <w:bCs/>
        </w:rPr>
      </w:pPr>
      <w:r w:rsidRPr="007A3CD0">
        <w:lastRenderedPageBreak/>
        <w:t>13.</w:t>
      </w:r>
      <w:r w:rsidRPr="007A3CD0">
        <w:tab/>
        <w:t>potępia niesprawiedliwe przetrzymywanie armeńskich jeńców wojennych, więźniów i zakładników przez Azerbejdżan; domaga się ich natychmiastowego i bezwarunkowego uwolnienia; odnotowuje podjęte dotychczas kroki i wzywa do wprowadzenia kolejnych środków budowy zaufania; wzywa do pełnego poszanowania międzynarodowego prawa humanitarnego i międzynarodowego prawa dotyczącego praw człowieka;</w:t>
      </w:r>
    </w:p>
    <w:p w14:paraId="5750693B" w14:textId="77777777" w:rsidR="00FC3A12" w:rsidRPr="007A3CD0" w:rsidRDefault="00FC3A12" w:rsidP="00FC3A12">
      <w:pPr>
        <w:pStyle w:val="NormalHanging12a"/>
      </w:pPr>
      <w:r w:rsidRPr="007A3CD0">
        <w:t>14.</w:t>
      </w:r>
      <w:r w:rsidRPr="007A3CD0">
        <w:tab/>
        <w:t>wzywa UE do zwiększenia pomocy finansowej i technicznej dla Armenii, w tym za pośrednictwem planu na rzecz odporności i wzrostu gospodarczego, ze szczególnym uwzględnieniem wzmocnienia odporności instytucjonalnej, bezpieczeństwa energetycznego, administracji cyfrowej i dywersyfikacji gospodarczej oraz zmniejszenia zależności strukturalnych w sektorach krytycznych, takich jak energia, transport i infrastruktura; zachęca rząd Armenii do podjęcia działań następczych w związku z reformami;</w:t>
      </w:r>
    </w:p>
    <w:p w14:paraId="42E1D500" w14:textId="77777777" w:rsidR="00FC3A12" w:rsidRPr="007A3CD0" w:rsidRDefault="00FC3A12" w:rsidP="00FC3A12">
      <w:pPr>
        <w:pStyle w:val="NormalHanging12a"/>
      </w:pPr>
      <w:r w:rsidRPr="007A3CD0">
        <w:t>15.</w:t>
      </w:r>
      <w:r w:rsidRPr="007A3CD0">
        <w:tab/>
        <w:t xml:space="preserve">wyraża zadowolenie z przyjęcia strategii EUMA na rzecz społeczeństwa obywatelskiego; uważa, że jest to ważny krok w kierunku rozszerzenia współpracy misji z armeńskim społeczeństwem obywatelskim poza jej podstawowy mandat w zakresie monitorowania bezpieczeństwa, i zachęca EUMA do zacieśnienia kontaktów z lokalnymi podmiotami demokratycznymi, organizacjami społeczności lokalnych i niezależnymi mediami w ramach jej wkładu w odporność demokratyczną; wyraża uznanie dla pracy armeńskiego społeczeństwa obywatelskiego w związku z dochodzeniami w sprawie kampanii obcej ingerencji, cyberataków i dezinformacji w </w:t>
      </w:r>
      <w:proofErr w:type="spellStart"/>
      <w:r w:rsidRPr="007A3CD0">
        <w:t>internecie</w:t>
      </w:r>
      <w:proofErr w:type="spellEnd"/>
      <w:r w:rsidRPr="007A3CD0">
        <w:t>;</w:t>
      </w:r>
    </w:p>
    <w:p w14:paraId="6CB52F4C" w14:textId="77777777" w:rsidR="00FC3A12" w:rsidRPr="007A3CD0" w:rsidRDefault="00FC3A12" w:rsidP="00FC3A12">
      <w:pPr>
        <w:pStyle w:val="NormalHanging12a"/>
        <w:rPr>
          <w:bCs/>
        </w:rPr>
      </w:pPr>
      <w:r w:rsidRPr="007A3CD0">
        <w:t>16.</w:t>
      </w:r>
      <w:r w:rsidRPr="007A3CD0">
        <w:tab/>
        <w:t xml:space="preserve">z zadowoleniem przyjmuje stałe wysiłki na rzecz normalizacji stosunków między Armenią a Turcją jako istotny wkład w stabilność, pojednanie i </w:t>
      </w:r>
      <w:proofErr w:type="spellStart"/>
      <w:r w:rsidRPr="007A3CD0">
        <w:t>konektywność</w:t>
      </w:r>
      <w:proofErr w:type="spellEnd"/>
      <w:r w:rsidRPr="007A3CD0">
        <w:t xml:space="preserve"> w regionie; wzywa obie strony do dalszego angażowania się w dobrej wierze w kolejne kroki na rzecz budowy zaufania, które w znacznym stopniu przyczyniają się do stabilności, pojednania i </w:t>
      </w:r>
      <w:proofErr w:type="spellStart"/>
      <w:r w:rsidRPr="007A3CD0">
        <w:t>konektywności</w:t>
      </w:r>
      <w:proofErr w:type="spellEnd"/>
      <w:r w:rsidRPr="007A3CD0">
        <w:t xml:space="preserve"> w regionie, w tym w ponowne otwarcie granic;</w:t>
      </w:r>
    </w:p>
    <w:p w14:paraId="7DE46FB1" w14:textId="2644CB9B" w:rsidR="007A3CD0" w:rsidRPr="007A3CD0" w:rsidRDefault="00FC3A12" w:rsidP="007A3CD0">
      <w:pPr>
        <w:pStyle w:val="NormalHanging12a"/>
      </w:pPr>
      <w:r w:rsidRPr="007A3CD0">
        <w:t>17.</w:t>
      </w:r>
      <w:r w:rsidRPr="007A3CD0">
        <w:tab/>
        <w:t>zobowiązuje swoją przewodniczącą do przekazania niniejszej rezolucji Radzie, Komisji, wiceprzewodniczącej Komisji / wysokiej przedstawicielce Unii do spraw zagranicznych i polityki bezpieczeństwa, rządom i parlamentom państw członkowskich, prezydentowi, rządowi i parlamentowi Republiki Armenii, Organizacji Bezpieczeństwa i Współpracy w Europie, Radzie Europy oraz Organizacji Narodów Zjednoczonych.</w:t>
      </w:r>
    </w:p>
    <w:p w14:paraId="6342918F" w14:textId="6B7DCAED" w:rsidR="00E365E1" w:rsidRPr="007A3CD0" w:rsidRDefault="00E365E1" w:rsidP="007561B3"/>
    <w:sectPr w:rsidR="00E365E1" w:rsidRPr="007A3CD0" w:rsidSect="007A3CD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A252C9" w14:textId="77777777" w:rsidR="007561B3" w:rsidRPr="007A3CD0" w:rsidRDefault="007561B3">
      <w:r w:rsidRPr="007A3CD0">
        <w:separator/>
      </w:r>
    </w:p>
  </w:endnote>
  <w:endnote w:type="continuationSeparator" w:id="0">
    <w:p w14:paraId="09E3B498" w14:textId="77777777" w:rsidR="007561B3" w:rsidRPr="007A3CD0" w:rsidRDefault="007561B3">
      <w:r w:rsidRPr="007A3CD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26888" w14:textId="77777777" w:rsidR="00064002" w:rsidRPr="007A3CD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2C151" w14:textId="77777777" w:rsidR="00064002" w:rsidRPr="007A3CD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707E4" w14:textId="77777777" w:rsidR="00064002" w:rsidRPr="007A3CD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13AFC9" w14:textId="77777777" w:rsidR="007561B3" w:rsidRPr="007A3CD0" w:rsidRDefault="007561B3">
      <w:r w:rsidRPr="007A3CD0">
        <w:separator/>
      </w:r>
    </w:p>
  </w:footnote>
  <w:footnote w:type="continuationSeparator" w:id="0">
    <w:p w14:paraId="695E89D4" w14:textId="77777777" w:rsidR="007561B3" w:rsidRPr="007A3CD0" w:rsidRDefault="007561B3">
      <w:r w:rsidRPr="007A3CD0">
        <w:continuationSeparator/>
      </w:r>
    </w:p>
  </w:footnote>
  <w:footnote w:id="1">
    <w:p w14:paraId="3C972A45" w14:textId="65E7B087" w:rsidR="00FC3A12" w:rsidRPr="007A3CD0" w:rsidRDefault="00FC3A12" w:rsidP="007A3CD0">
      <w:pPr>
        <w:pStyle w:val="FootnoteText"/>
        <w:ind w:left="567" w:hanging="567"/>
        <w:rPr>
          <w:sz w:val="24"/>
          <w:lang w:val="pl-PL"/>
        </w:rPr>
      </w:pPr>
      <w:r w:rsidRPr="007A3CD0">
        <w:rPr>
          <w:rStyle w:val="FootnoteReference"/>
          <w:sz w:val="24"/>
          <w:lang w:val="pl-PL"/>
        </w:rPr>
        <w:footnoteRef/>
      </w:r>
      <w:r w:rsidR="007A3CD0" w:rsidRPr="007A3CD0">
        <w:rPr>
          <w:sz w:val="24"/>
          <w:lang w:val="pl-PL"/>
        </w:rPr>
        <w:t xml:space="preserve"> </w:t>
      </w:r>
      <w:r w:rsidR="007A3CD0" w:rsidRPr="007A3CD0">
        <w:rPr>
          <w:sz w:val="24"/>
          <w:lang w:val="pl-PL"/>
        </w:rPr>
        <w:tab/>
      </w:r>
      <w:r w:rsidRPr="007A3CD0">
        <w:rPr>
          <w:sz w:val="24"/>
          <w:lang w:val="pl-PL"/>
        </w:rPr>
        <w:t xml:space="preserve">Dz.U. L 23 z </w:t>
      </w:r>
      <w:proofErr w:type="gramStart"/>
      <w:r w:rsidRPr="007A3CD0">
        <w:rPr>
          <w:sz w:val="24"/>
          <w:lang w:val="pl-PL"/>
        </w:rPr>
        <w:t>26.1.2018</w:t>
      </w:r>
      <w:proofErr w:type="gramEnd"/>
      <w:r w:rsidRPr="007A3CD0">
        <w:rPr>
          <w:sz w:val="24"/>
          <w:lang w:val="pl-PL"/>
        </w:rPr>
        <w:t xml:space="preserve">, s. 4, ELI: </w:t>
      </w:r>
      <w:hyperlink r:id="rId1" w:history="1">
        <w:r w:rsidRPr="007A3CD0">
          <w:rPr>
            <w:rStyle w:val="Hyperlink"/>
            <w:sz w:val="24"/>
            <w:lang w:val="pl-PL"/>
          </w:rPr>
          <w:t>http://data.europa.eu/eli/agree_internation/2018/104/oj</w:t>
        </w:r>
      </w:hyperlink>
      <w:r w:rsidRPr="007A3CD0">
        <w:rPr>
          <w:sz w:val="24"/>
          <w:lang w:val="pl-PL"/>
        </w:rPr>
        <w:t>.</w:t>
      </w:r>
    </w:p>
  </w:footnote>
  <w:footnote w:id="2">
    <w:p w14:paraId="0E3D7C5A" w14:textId="412C0AF1" w:rsidR="00FC3A12" w:rsidRPr="003A766F" w:rsidRDefault="00FC3A12" w:rsidP="007A3CD0">
      <w:pPr>
        <w:pStyle w:val="FootnoteText"/>
        <w:ind w:left="567" w:hanging="567"/>
        <w:rPr>
          <w:sz w:val="24"/>
          <w:lang w:val="fi-FI"/>
        </w:rPr>
      </w:pPr>
      <w:r w:rsidRPr="007A3CD0">
        <w:rPr>
          <w:rStyle w:val="FootnoteReference"/>
          <w:sz w:val="24"/>
          <w:lang w:val="pl-PL"/>
        </w:rPr>
        <w:footnoteRef/>
      </w:r>
      <w:r w:rsidR="007A3CD0" w:rsidRPr="003A766F">
        <w:rPr>
          <w:sz w:val="24"/>
          <w:lang w:val="fi-FI"/>
        </w:rPr>
        <w:t xml:space="preserve"> </w:t>
      </w:r>
      <w:r w:rsidR="007A3CD0" w:rsidRPr="003A766F">
        <w:rPr>
          <w:sz w:val="24"/>
          <w:lang w:val="fi-FI"/>
        </w:rPr>
        <w:tab/>
      </w:r>
      <w:proofErr w:type="spellStart"/>
      <w:r w:rsidRPr="003A766F">
        <w:rPr>
          <w:sz w:val="24"/>
          <w:lang w:val="fi-FI"/>
        </w:rPr>
        <w:t>Dz.U</w:t>
      </w:r>
      <w:proofErr w:type="spellEnd"/>
      <w:r w:rsidRPr="003A766F">
        <w:rPr>
          <w:sz w:val="24"/>
          <w:lang w:val="fi-FI"/>
        </w:rPr>
        <w:t xml:space="preserve">. L, 2025/211, 31.1.2025, ELI: </w:t>
      </w:r>
      <w:hyperlink r:id="rId2" w:history="1">
        <w:r w:rsidRPr="003A766F">
          <w:rPr>
            <w:rStyle w:val="Hyperlink"/>
            <w:sz w:val="24"/>
            <w:lang w:val="fi-FI"/>
          </w:rPr>
          <w:t>http://data.europa.eu/eli/dec/2025/211/oj</w:t>
        </w:r>
      </w:hyperlink>
      <w:r w:rsidRPr="003A766F">
        <w:rPr>
          <w:sz w:val="24"/>
          <w:lang w:val="fi-FI"/>
        </w:rPr>
        <w:t>.</w:t>
      </w:r>
    </w:p>
  </w:footnote>
  <w:footnote w:id="3">
    <w:p w14:paraId="67D82FA8" w14:textId="679C0AF1" w:rsidR="00FC3A12" w:rsidRPr="003A766F" w:rsidRDefault="00FC3A12" w:rsidP="007A3CD0">
      <w:pPr>
        <w:pStyle w:val="FootnoteText"/>
        <w:ind w:left="567" w:hanging="567"/>
        <w:rPr>
          <w:sz w:val="24"/>
          <w:lang w:val="fi-FI"/>
        </w:rPr>
      </w:pPr>
      <w:r w:rsidRPr="007A3CD0">
        <w:rPr>
          <w:rStyle w:val="FootnoteReference"/>
          <w:sz w:val="24"/>
          <w:lang w:val="pl-PL"/>
        </w:rPr>
        <w:footnoteRef/>
      </w:r>
      <w:r w:rsidR="007A3CD0" w:rsidRPr="003A766F">
        <w:rPr>
          <w:sz w:val="24"/>
          <w:lang w:val="fi-FI"/>
        </w:rPr>
        <w:t xml:space="preserve"> </w:t>
      </w:r>
      <w:r w:rsidR="007A3CD0" w:rsidRPr="003A766F">
        <w:rPr>
          <w:sz w:val="24"/>
          <w:lang w:val="fi-FI"/>
        </w:rPr>
        <w:tab/>
      </w:r>
      <w:proofErr w:type="spellStart"/>
      <w:r w:rsidRPr="003A766F">
        <w:rPr>
          <w:sz w:val="24"/>
          <w:lang w:val="fi-FI"/>
        </w:rPr>
        <w:t>Dz.U</w:t>
      </w:r>
      <w:proofErr w:type="spellEnd"/>
      <w:r w:rsidRPr="003A766F">
        <w:rPr>
          <w:sz w:val="24"/>
          <w:lang w:val="fi-FI"/>
        </w:rPr>
        <w:t xml:space="preserve">. L, 2026/894, 22.4.2026, ELI: </w:t>
      </w:r>
      <w:hyperlink r:id="rId3" w:history="1">
        <w:r w:rsidRPr="003A766F">
          <w:rPr>
            <w:rStyle w:val="Hyperlink"/>
            <w:sz w:val="24"/>
            <w:lang w:val="fi-FI"/>
          </w:rPr>
          <w:t>http://data.europa.eu/eli/dec/2026/894/oj</w:t>
        </w:r>
      </w:hyperlink>
      <w:r w:rsidRPr="003A766F">
        <w:rPr>
          <w:sz w:val="24"/>
          <w:lang w:val="fi-FI"/>
        </w:rPr>
        <w:t>.</w:t>
      </w:r>
    </w:p>
  </w:footnote>
  <w:footnote w:id="4">
    <w:p w14:paraId="6BA92B40" w14:textId="4940A044" w:rsidR="00FC3A12" w:rsidRPr="003A766F" w:rsidRDefault="00FC3A12" w:rsidP="007A3CD0">
      <w:pPr>
        <w:pStyle w:val="FootnoteText"/>
        <w:ind w:left="567" w:hanging="567"/>
        <w:rPr>
          <w:sz w:val="24"/>
          <w:lang w:val="fi-FI"/>
        </w:rPr>
      </w:pPr>
      <w:r w:rsidRPr="007A3CD0">
        <w:rPr>
          <w:rStyle w:val="FootnoteReference"/>
          <w:sz w:val="24"/>
          <w:lang w:val="pl-PL"/>
        </w:rPr>
        <w:footnoteRef/>
      </w:r>
      <w:r w:rsidR="007A3CD0" w:rsidRPr="003A766F">
        <w:rPr>
          <w:sz w:val="24"/>
          <w:lang w:val="fi-FI"/>
        </w:rPr>
        <w:t xml:space="preserve"> </w:t>
      </w:r>
      <w:r w:rsidR="007A3CD0" w:rsidRPr="003A766F">
        <w:rPr>
          <w:sz w:val="24"/>
          <w:lang w:val="fi-FI"/>
        </w:rPr>
        <w:tab/>
      </w:r>
      <w:proofErr w:type="spellStart"/>
      <w:r w:rsidRPr="003A766F">
        <w:rPr>
          <w:sz w:val="24"/>
          <w:lang w:val="fi-FI"/>
        </w:rPr>
        <w:t>Dz.U</w:t>
      </w:r>
      <w:proofErr w:type="spellEnd"/>
      <w:r w:rsidRPr="003A766F">
        <w:rPr>
          <w:sz w:val="24"/>
          <w:lang w:val="fi-FI"/>
        </w:rPr>
        <w:t xml:space="preserve">. L, 2024/2010, 23.7.2024, ELI: </w:t>
      </w:r>
      <w:hyperlink r:id="rId4" w:history="1">
        <w:r w:rsidRPr="003A766F">
          <w:rPr>
            <w:rStyle w:val="Hyperlink"/>
            <w:sz w:val="24"/>
            <w:lang w:val="fi-FI"/>
          </w:rPr>
          <w:t>http://data.europa.eu/eli/dec/2024/2010/oj</w:t>
        </w:r>
      </w:hyperlink>
      <w:r w:rsidRPr="003A766F">
        <w:rPr>
          <w:sz w:val="24"/>
          <w:lang w:val="fi-FI"/>
        </w:rPr>
        <w:t>.</w:t>
      </w:r>
    </w:p>
  </w:footnote>
  <w:footnote w:id="5">
    <w:p w14:paraId="53ED33AE" w14:textId="7B10032D" w:rsidR="00FC3A12" w:rsidRPr="007A3CD0" w:rsidRDefault="00FC3A12" w:rsidP="007A3CD0">
      <w:pPr>
        <w:pStyle w:val="FootnoteText"/>
        <w:ind w:left="567" w:hanging="567"/>
        <w:rPr>
          <w:sz w:val="24"/>
          <w:lang w:val="pl-PL"/>
        </w:rPr>
      </w:pPr>
      <w:r w:rsidRPr="007A3CD0">
        <w:rPr>
          <w:rStyle w:val="FootnoteReference"/>
          <w:sz w:val="24"/>
          <w:lang w:val="pl-PL"/>
        </w:rPr>
        <w:footnoteRef/>
      </w:r>
      <w:r w:rsidR="007A3CD0" w:rsidRPr="007A3CD0">
        <w:rPr>
          <w:sz w:val="24"/>
          <w:lang w:val="pl-PL"/>
        </w:rPr>
        <w:t xml:space="preserve"> </w:t>
      </w:r>
      <w:r w:rsidR="007A3CD0" w:rsidRPr="007A3CD0">
        <w:rPr>
          <w:sz w:val="24"/>
          <w:lang w:val="pl-PL"/>
        </w:rPr>
        <w:tab/>
      </w:r>
      <w:r w:rsidRPr="007A3CD0">
        <w:rPr>
          <w:sz w:val="24"/>
          <w:lang w:val="pl-PL"/>
        </w:rPr>
        <w:t xml:space="preserve">Umowa między Unią Europejską a Republiką Armenii ustanawiająca ramy udziału Republiki Armenii w operacjach zarządzania kryzysowego prowadzonych przez Unię Europejską (Dz.U. L, 2025/1553, </w:t>
      </w:r>
      <w:proofErr w:type="gramStart"/>
      <w:r w:rsidRPr="007A3CD0">
        <w:rPr>
          <w:sz w:val="24"/>
          <w:lang w:val="pl-PL"/>
        </w:rPr>
        <w:t>31.7.2025</w:t>
      </w:r>
      <w:proofErr w:type="gramEnd"/>
      <w:r w:rsidRPr="007A3CD0">
        <w:rPr>
          <w:sz w:val="24"/>
          <w:lang w:val="pl-PL"/>
        </w:rPr>
        <w:t xml:space="preserve">, ELI: </w:t>
      </w:r>
      <w:hyperlink r:id="rId5" w:history="1">
        <w:r w:rsidRPr="007A3CD0">
          <w:rPr>
            <w:rStyle w:val="Hyperlink"/>
            <w:sz w:val="24"/>
            <w:lang w:val="pl-PL"/>
          </w:rPr>
          <w:t>http://data.europa.eu/eli/agree_internation/2025/1553/oj</w:t>
        </w:r>
      </w:hyperlink>
      <w:r w:rsidRPr="007A3CD0">
        <w:rPr>
          <w:sz w:val="24"/>
          <w:lang w:val="pl-PL"/>
        </w:rPr>
        <w:t>).</w:t>
      </w:r>
    </w:p>
  </w:footnote>
  <w:footnote w:id="6">
    <w:p w14:paraId="4DE476BF" w14:textId="0FD24262" w:rsidR="00FC3A12" w:rsidRPr="007A3CD0" w:rsidRDefault="00FC3A12" w:rsidP="007A3CD0">
      <w:pPr>
        <w:pStyle w:val="FootnoteText"/>
        <w:ind w:left="567" w:hanging="567"/>
        <w:rPr>
          <w:sz w:val="24"/>
          <w:lang w:val="pl-PL"/>
        </w:rPr>
      </w:pPr>
      <w:r w:rsidRPr="007A3CD0">
        <w:rPr>
          <w:rStyle w:val="FootnoteReference"/>
          <w:sz w:val="24"/>
          <w:lang w:val="pl-PL"/>
        </w:rPr>
        <w:footnoteRef/>
      </w:r>
      <w:r w:rsidR="007A3CD0" w:rsidRPr="007A3CD0">
        <w:rPr>
          <w:sz w:val="24"/>
          <w:lang w:val="pl-PL"/>
        </w:rPr>
        <w:t xml:space="preserve"> </w:t>
      </w:r>
      <w:r w:rsidR="007A3CD0" w:rsidRPr="007A3CD0">
        <w:rPr>
          <w:sz w:val="24"/>
          <w:lang w:val="pl-PL"/>
        </w:rPr>
        <w:tab/>
      </w:r>
      <w:r w:rsidRPr="007A3CD0">
        <w:rPr>
          <w:sz w:val="24"/>
          <w:lang w:val="pl-PL"/>
        </w:rPr>
        <w:t xml:space="preserve">Dz.U. C 328 z </w:t>
      </w:r>
      <w:proofErr w:type="gramStart"/>
      <w:r w:rsidRPr="007A3CD0">
        <w:rPr>
          <w:sz w:val="24"/>
          <w:lang w:val="pl-PL"/>
        </w:rPr>
        <w:t>6.9.2016</w:t>
      </w:r>
      <w:proofErr w:type="gramEnd"/>
      <w:r w:rsidRPr="007A3CD0">
        <w:rPr>
          <w:sz w:val="24"/>
          <w:lang w:val="pl-PL"/>
        </w:rPr>
        <w:t>, s. 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B416A" w14:textId="77777777" w:rsidR="00064002" w:rsidRPr="007A3CD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E3BD3" w14:textId="77777777" w:rsidR="00064002" w:rsidRPr="007A3CD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9D3FE" w14:textId="77777777" w:rsidR="00064002" w:rsidRPr="007A3CD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44169016">
    <w:abstractNumId w:val="9"/>
  </w:num>
  <w:num w:numId="2" w16cid:durableId="1568687057">
    <w:abstractNumId w:val="9"/>
  </w:num>
  <w:num w:numId="3" w16cid:durableId="962346624">
    <w:abstractNumId w:val="7"/>
  </w:num>
  <w:num w:numId="4" w16cid:durableId="865606785">
    <w:abstractNumId w:val="7"/>
  </w:num>
  <w:num w:numId="5" w16cid:durableId="133911680">
    <w:abstractNumId w:val="6"/>
  </w:num>
  <w:num w:numId="6" w16cid:durableId="1621914656">
    <w:abstractNumId w:val="6"/>
  </w:num>
  <w:num w:numId="7" w16cid:durableId="108089391">
    <w:abstractNumId w:val="5"/>
  </w:num>
  <w:num w:numId="8" w16cid:durableId="2018188693">
    <w:abstractNumId w:val="5"/>
  </w:num>
  <w:num w:numId="9" w16cid:durableId="82338238">
    <w:abstractNumId w:val="4"/>
  </w:num>
  <w:num w:numId="10" w16cid:durableId="410780527">
    <w:abstractNumId w:val="4"/>
  </w:num>
  <w:num w:numId="11" w16cid:durableId="2054187092">
    <w:abstractNumId w:val="8"/>
  </w:num>
  <w:num w:numId="12" w16cid:durableId="811170574">
    <w:abstractNumId w:val="8"/>
  </w:num>
  <w:num w:numId="13" w16cid:durableId="761411853">
    <w:abstractNumId w:val="3"/>
  </w:num>
  <w:num w:numId="14" w16cid:durableId="1886335812">
    <w:abstractNumId w:val="3"/>
  </w:num>
  <w:num w:numId="15" w16cid:durableId="1921720656">
    <w:abstractNumId w:val="2"/>
  </w:num>
  <w:num w:numId="16" w16cid:durableId="1928683720">
    <w:abstractNumId w:val="2"/>
  </w:num>
  <w:num w:numId="17" w16cid:durableId="463933326">
    <w:abstractNumId w:val="1"/>
  </w:num>
  <w:num w:numId="18" w16cid:durableId="100683979">
    <w:abstractNumId w:val="1"/>
  </w:num>
  <w:num w:numId="19" w16cid:durableId="658117291">
    <w:abstractNumId w:val="0"/>
  </w:num>
  <w:num w:numId="20" w16cid:durableId="1004086869">
    <w:abstractNumId w:val="0"/>
  </w:num>
  <w:num w:numId="21" w16cid:durableId="894589423">
    <w:abstractNumId w:val="9"/>
  </w:num>
  <w:num w:numId="22" w16cid:durableId="1808620801">
    <w:abstractNumId w:val="7"/>
  </w:num>
  <w:num w:numId="23" w16cid:durableId="394162071">
    <w:abstractNumId w:val="6"/>
  </w:num>
  <w:num w:numId="24" w16cid:durableId="350839641">
    <w:abstractNumId w:val="5"/>
  </w:num>
  <w:num w:numId="25" w16cid:durableId="895895741">
    <w:abstractNumId w:val="4"/>
  </w:num>
  <w:num w:numId="26" w16cid:durableId="1545602576">
    <w:abstractNumId w:val="8"/>
  </w:num>
  <w:num w:numId="27" w16cid:durableId="1194028301">
    <w:abstractNumId w:val="3"/>
  </w:num>
  <w:num w:numId="28" w16cid:durableId="1789202833">
    <w:abstractNumId w:val="2"/>
  </w:num>
  <w:num w:numId="29" w16cid:durableId="536623999">
    <w:abstractNumId w:val="1"/>
  </w:num>
  <w:num w:numId="30" w16cid:durableId="1179850065">
    <w:abstractNumId w:val="0"/>
  </w:num>
  <w:num w:numId="31" w16cid:durableId="1257637800">
    <w:abstractNumId w:val="9"/>
  </w:num>
  <w:num w:numId="32" w16cid:durableId="582841324">
    <w:abstractNumId w:val="7"/>
  </w:num>
  <w:num w:numId="33" w16cid:durableId="2120684090">
    <w:abstractNumId w:val="6"/>
  </w:num>
  <w:num w:numId="34" w16cid:durableId="551893971">
    <w:abstractNumId w:val="5"/>
  </w:num>
  <w:num w:numId="35" w16cid:durableId="1083338985">
    <w:abstractNumId w:val="4"/>
  </w:num>
  <w:num w:numId="36" w16cid:durableId="905458361">
    <w:abstractNumId w:val="8"/>
  </w:num>
  <w:num w:numId="37" w16cid:durableId="231046844">
    <w:abstractNumId w:val="3"/>
  </w:num>
  <w:num w:numId="38" w16cid:durableId="210072900">
    <w:abstractNumId w:val="2"/>
  </w:num>
  <w:num w:numId="39" w16cid:durableId="352272163">
    <w:abstractNumId w:val="1"/>
  </w:num>
  <w:num w:numId="40" w16cid:durableId="1238324657">
    <w:abstractNumId w:val="0"/>
  </w:num>
  <w:num w:numId="41" w16cid:durableId="308093969">
    <w:abstractNumId w:val="10"/>
  </w:num>
  <w:num w:numId="42" w16cid:durableId="552934562">
    <w:abstractNumId w:val="10"/>
  </w:num>
  <w:num w:numId="43" w16cid:durableId="122693207">
    <w:abstractNumId w:val="10"/>
  </w:num>
  <w:num w:numId="44" w16cid:durableId="389391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95/2026"/>
    <w:docVar w:name="dvlangue" w:val="PL"/>
    <w:docVar w:name="dvnumam" w:val="0"/>
    <w:docVar w:name="dvpe" w:val="783.229"/>
    <w:docVar w:name="dvtitre" w:val="Rezolucja Parlamentu Europejskiego z dnia  2026 r. w sprawie wspierania odporności demokratycznej w Armenii(2026/2701(RSP))"/>
  </w:docVars>
  <w:rsids>
    <w:rsidRoot w:val="007561B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32BD2"/>
    <w:rsid w:val="00343214"/>
    <w:rsid w:val="00361C00"/>
    <w:rsid w:val="00395FA1"/>
    <w:rsid w:val="003A766F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1B3"/>
    <w:rsid w:val="00756632"/>
    <w:rsid w:val="00762C74"/>
    <w:rsid w:val="00786EC0"/>
    <w:rsid w:val="007A3CD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7F4B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3A12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4AF027"/>
  <w15:chartTrackingRefBased/>
  <w15:docId w15:val="{4149BD47-63C9-4ADC-A79E-92219A5CC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FC3A12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FC3A12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FC3A12"/>
    <w:rPr>
      <w:sz w:val="24"/>
      <w:lang w:val="pl-PL"/>
    </w:rPr>
  </w:style>
  <w:style w:type="character" w:styleId="Hyperlink">
    <w:name w:val="Hyperlink"/>
    <w:basedOn w:val="DefaultParagraphFont"/>
    <w:rsid w:val="00FC3A1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dec/2026/894/oj" TargetMode="External"/><Relationship Id="rId2" Type="http://schemas.openxmlformats.org/officeDocument/2006/relationships/hyperlink" Target="http://data.europa.eu/eli/dec/2025/211/oj" TargetMode="External"/><Relationship Id="rId1" Type="http://schemas.openxmlformats.org/officeDocument/2006/relationships/hyperlink" Target="http://data.europa.eu/eli/agree_internation/2018/104/oj" TargetMode="External"/><Relationship Id="rId5" Type="http://schemas.openxmlformats.org/officeDocument/2006/relationships/hyperlink" Target="http://data.europa.eu/eli/agree_internation/2025/1553/oj" TargetMode="External"/><Relationship Id="rId4" Type="http://schemas.openxmlformats.org/officeDocument/2006/relationships/hyperlink" Target="http://data.europa.eu/eli/dec/2024/201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2103</Words>
  <Characters>14106</Characters>
  <Application>Microsoft Office Word</Application>
  <DocSecurity>0</DocSecurity>
  <Lines>117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2026-04-30T11:19:00Z</dcterms:created>
  <dcterms:modified xsi:type="dcterms:W3CDTF">2026-04-30T11:19:00Z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B10-0195/2026</vt:lpwstr>
  </property>
  <property fmtid="{D5CDD505-2E9C-101B-9397-08002B2CF9AE}" pid="4" name="&lt;Type&gt;">
    <vt:lpwstr>RR</vt:lpwstr>
  </property>
</Properties>
</file>