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7886" w14:paraId="5459AD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3CDDD5" w14:textId="77777777" w:rsidR="00751A4A" w:rsidRPr="00727886" w:rsidRDefault="00BD07E9" w:rsidP="0010095E">
            <w:pPr>
              <w:pStyle w:val="EPName"/>
            </w:pPr>
            <w:r w:rsidRPr="00727886">
              <w:t xml:space="preserve">Parlamento </w:t>
            </w:r>
            <w:proofErr w:type="gramStart"/>
            <w:r w:rsidRPr="00727886">
              <w:t>Europeu</w:t>
            </w:r>
            <w:proofErr w:type="gramEnd"/>
          </w:p>
          <w:p w14:paraId="2317357C" w14:textId="77777777" w:rsidR="00751A4A" w:rsidRPr="007278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7886">
              <w:t>2024</w:t>
            </w:r>
            <w:r w:rsidR="00817416" w:rsidRPr="00727886">
              <w:t>-202</w:t>
            </w:r>
            <w:r w:rsidRPr="00727886">
              <w:t>9</w:t>
            </w:r>
          </w:p>
        </w:tc>
        <w:tc>
          <w:tcPr>
            <w:tcW w:w="2268" w:type="dxa"/>
            <w:shd w:val="clear" w:color="auto" w:fill="auto"/>
          </w:tcPr>
          <w:p w14:paraId="4C6B8853" w14:textId="77777777" w:rsidR="00751A4A" w:rsidRPr="00727886" w:rsidRDefault="00187494" w:rsidP="0010095E">
            <w:pPr>
              <w:pStyle w:val="EPLogo"/>
            </w:pPr>
            <w:r w:rsidRPr="00727886">
              <w:rPr>
                <w:noProof/>
                <w:lang w:eastAsia="ja-JP"/>
              </w:rPr>
              <w:drawing>
                <wp:inline distT="0" distB="0" distL="0" distR="0" wp14:anchorId="04B83A48" wp14:editId="2AA099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5ED6D6" w14:textId="77777777" w:rsidR="00D058B8" w:rsidRPr="00727886" w:rsidRDefault="00D058B8" w:rsidP="004C5D52">
      <w:pPr>
        <w:pStyle w:val="LineTop"/>
      </w:pPr>
    </w:p>
    <w:p w14:paraId="446497F9" w14:textId="77777777" w:rsidR="00680577" w:rsidRPr="00727886" w:rsidRDefault="00BD07E9" w:rsidP="00680577">
      <w:pPr>
        <w:pStyle w:val="EPBodyTA1"/>
      </w:pPr>
      <w:r w:rsidRPr="00727886">
        <w:t>TEXTOS APROVADOS</w:t>
      </w:r>
    </w:p>
    <w:p w14:paraId="62270931" w14:textId="77777777" w:rsidR="00D058B8" w:rsidRPr="00727886" w:rsidRDefault="00D058B8" w:rsidP="00D058B8">
      <w:pPr>
        <w:pStyle w:val="LineBottom"/>
      </w:pPr>
    </w:p>
    <w:p w14:paraId="0E987F8F" w14:textId="49E3E689" w:rsidR="00BD07E9" w:rsidRPr="00727886" w:rsidRDefault="00BD07E9" w:rsidP="00BD07E9">
      <w:pPr>
        <w:pStyle w:val="ATHeading1"/>
      </w:pPr>
      <w:bookmarkStart w:id="0" w:name="TANumber"/>
      <w:r w:rsidRPr="00727886">
        <w:t>P10_TA(2026)0</w:t>
      </w:r>
      <w:r w:rsidR="00BA7CF0">
        <w:t>162</w:t>
      </w:r>
      <w:bookmarkEnd w:id="0"/>
    </w:p>
    <w:p w14:paraId="0B6253DD" w14:textId="77777777" w:rsidR="00BD07E9" w:rsidRPr="00727886" w:rsidRDefault="00BD07E9" w:rsidP="00BD07E9">
      <w:pPr>
        <w:pStyle w:val="ATHeading2"/>
      </w:pPr>
      <w:bookmarkStart w:id="1" w:name="title"/>
      <w:r w:rsidRPr="00727886">
        <w:t>Apoio à resistência democrática na Arménia</w:t>
      </w:r>
      <w:bookmarkEnd w:id="1"/>
    </w:p>
    <w:p w14:paraId="563800A1" w14:textId="01F0E153" w:rsidR="00BD07E9" w:rsidRPr="00727886" w:rsidRDefault="00BD07E9" w:rsidP="00BD07E9">
      <w:pPr>
        <w:rPr>
          <w:i/>
          <w:vanish/>
        </w:rPr>
      </w:pPr>
      <w:r w:rsidRPr="00727886">
        <w:rPr>
          <w:i/>
        </w:rPr>
        <w:fldChar w:fldCharType="begin"/>
      </w:r>
      <w:r w:rsidRPr="00727886">
        <w:rPr>
          <w:i/>
        </w:rPr>
        <w:instrText xml:space="preserve"> TC"(</w:instrText>
      </w:r>
      <w:bookmarkStart w:id="2" w:name="DocNumber"/>
      <w:r w:rsidRPr="00727886">
        <w:rPr>
          <w:i/>
        </w:rPr>
        <w:instrText>B10-0195</w:instrText>
      </w:r>
      <w:r w:rsidR="00BA7CF0">
        <w:rPr>
          <w:i/>
        </w:rPr>
        <w:instrText>,</w:instrText>
      </w:r>
      <w:r w:rsidRPr="00727886">
        <w:rPr>
          <w:i/>
        </w:rPr>
        <w:instrText xml:space="preserve"> 0196, 0198, 0199 e 0200/2026</w:instrText>
      </w:r>
      <w:bookmarkEnd w:id="2"/>
      <w:r w:rsidRPr="00727886">
        <w:rPr>
          <w:i/>
        </w:rPr>
        <w:instrText xml:space="preserve">)"\l3 \n&gt; \* MERGEFORMAT </w:instrText>
      </w:r>
      <w:r w:rsidRPr="00727886">
        <w:rPr>
          <w:i/>
        </w:rPr>
        <w:fldChar w:fldCharType="end"/>
      </w:r>
    </w:p>
    <w:p w14:paraId="3D7CF4EF" w14:textId="77777777" w:rsidR="00BD07E9" w:rsidRPr="00727886" w:rsidRDefault="00BD07E9" w:rsidP="00BD07E9">
      <w:pPr>
        <w:rPr>
          <w:vanish/>
        </w:rPr>
      </w:pPr>
      <w:bookmarkStart w:id="3" w:name="PE"/>
      <w:r w:rsidRPr="00727886">
        <w:rPr>
          <w:vanish/>
        </w:rPr>
        <w:t>PE783.229</w:t>
      </w:r>
      <w:bookmarkEnd w:id="3"/>
    </w:p>
    <w:p w14:paraId="46A354B3" w14:textId="6F6856BE" w:rsidR="00BD07E9" w:rsidRPr="00727886" w:rsidRDefault="00BD07E9" w:rsidP="00BD07E9">
      <w:pPr>
        <w:pStyle w:val="ATHeading3"/>
      </w:pPr>
      <w:bookmarkStart w:id="4" w:name="Sujet"/>
      <w:r w:rsidRPr="00727886">
        <w:t xml:space="preserve">Resolução do Parlamento Europeu, de </w:t>
      </w:r>
      <w:r w:rsidR="00727886">
        <w:t>30</w:t>
      </w:r>
      <w:r w:rsidRPr="00727886">
        <w:t xml:space="preserve"> de </w:t>
      </w:r>
      <w:r w:rsidR="00727886">
        <w:t>abril</w:t>
      </w:r>
      <w:r w:rsidRPr="00727886">
        <w:t xml:space="preserve"> de 2026, sobre o apoio à resistência democrática na Arménia</w:t>
      </w:r>
      <w:bookmarkEnd w:id="4"/>
      <w:r w:rsidRPr="00727886">
        <w:t xml:space="preserve"> </w:t>
      </w:r>
      <w:bookmarkStart w:id="5" w:name="References"/>
      <w:r w:rsidRPr="00727886">
        <w:t>(2026/2701(RSP))</w:t>
      </w:r>
      <w:bookmarkEnd w:id="5"/>
    </w:p>
    <w:p w14:paraId="0C02EC59" w14:textId="77777777" w:rsidR="00A96CE4" w:rsidRPr="00727886" w:rsidRDefault="00A96CE4" w:rsidP="00A96CE4">
      <w:pPr>
        <w:pStyle w:val="EPComma"/>
      </w:pPr>
      <w:bookmarkStart w:id="6" w:name="TextBodyBegin"/>
      <w:bookmarkEnd w:id="6"/>
      <w:r w:rsidRPr="00727886">
        <w:rPr>
          <w:i/>
          <w:iCs/>
        </w:rPr>
        <w:t>O Parlamento Europeu</w:t>
      </w:r>
      <w:r w:rsidRPr="00727886">
        <w:t>,</w:t>
      </w:r>
    </w:p>
    <w:p w14:paraId="6731B7B8" w14:textId="77777777" w:rsidR="00A96CE4" w:rsidRPr="00727886" w:rsidRDefault="00A96CE4" w:rsidP="00A96CE4">
      <w:pPr>
        <w:pStyle w:val="NormalHanging12a"/>
      </w:pPr>
      <w:r w:rsidRPr="00727886">
        <w:rPr>
          <w:color w:val="000000"/>
        </w:rPr>
        <w:t>–</w:t>
      </w:r>
      <w:r w:rsidRPr="00727886">
        <w:tab/>
        <w:t>Tendo em conta as suas anteriores resoluções sobre a Arménia,</w:t>
      </w:r>
    </w:p>
    <w:p w14:paraId="7962002E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o Acordo de Parceria Abrangente e Reforçado entre a União Europeia e a Comunidade Europeia da Energia Atómica e os seus Estados</w:t>
      </w:r>
      <w:r w:rsidRPr="00727886">
        <w:noBreakHyphen/>
        <w:t>Membros, por um lado, e a República da Arménia, por outro</w:t>
      </w:r>
      <w:r w:rsidRPr="00727886">
        <w:rPr>
          <w:rStyle w:val="FootnoteReference"/>
        </w:rPr>
        <w:footnoteReference w:id="1"/>
      </w:r>
      <w:r w:rsidRPr="00727886">
        <w:t>,</w:t>
      </w:r>
    </w:p>
    <w:p w14:paraId="3FADEBF5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 lei aprovada pela Assembleia Nacional da Arménia em 26 de março de 2025, que põe em marcha o processo de adesão deste país à União Europeia,</w:t>
      </w:r>
    </w:p>
    <w:p w14:paraId="0E41EA9A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o discurso proferido, em 11 de março de 2026, pelo primeiro</w:t>
      </w:r>
      <w:r w:rsidRPr="00727886">
        <w:noBreakHyphen/>
        <w:t xml:space="preserve">ministro da Arménia, </w:t>
      </w:r>
      <w:proofErr w:type="spellStart"/>
      <w:r w:rsidRPr="00727886">
        <w:t>Nikol</w:t>
      </w:r>
      <w:proofErr w:type="spellEnd"/>
      <w:r w:rsidRPr="00727886">
        <w:t xml:space="preserve"> </w:t>
      </w:r>
      <w:proofErr w:type="spellStart"/>
      <w:r w:rsidRPr="00727886">
        <w:t>Pashinyan</w:t>
      </w:r>
      <w:proofErr w:type="spellEnd"/>
      <w:r w:rsidRPr="00727886">
        <w:t>, perante o Parlamento Europeu reunido em Estrasburgo,</w:t>
      </w:r>
    </w:p>
    <w:p w14:paraId="11D1CC32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o comunicado de imprensa conjunto, de 3 de dezembro de 2025, no seguimento da sexta reunião do Conselho de Parceria UE</w:t>
      </w:r>
      <w:r w:rsidRPr="00727886">
        <w:noBreakHyphen/>
        <w:t>Arménia,</w:t>
      </w:r>
    </w:p>
    <w:p w14:paraId="3893611F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 adoção da Agenda Estratégica da Parceria UE</w:t>
      </w:r>
      <w:r w:rsidRPr="00727886">
        <w:noBreakHyphen/>
        <w:t>Arménia,</w:t>
      </w:r>
    </w:p>
    <w:p w14:paraId="0901BCA1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o plano de resiliência e crescimento UE</w:t>
      </w:r>
      <w:r w:rsidRPr="00727886">
        <w:noBreakHyphen/>
        <w:t>Arménia e os compromissos de investimento da UE a título da Estratégia «Global Gateway»,</w:t>
      </w:r>
    </w:p>
    <w:p w14:paraId="22AE2237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as conclusões do diálogo político e de segurança entre a União Europeia e a Arménia, de 3 de fevereiro de 2026,</w:t>
      </w:r>
    </w:p>
    <w:p w14:paraId="0D635487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 Decisão (PESC) 2025/211 do Conselho, de 30 de janeiro de 2025</w:t>
      </w:r>
      <w:r w:rsidRPr="00727886">
        <w:rPr>
          <w:rStyle w:val="FootnoteReference"/>
        </w:rPr>
        <w:footnoteReference w:id="2"/>
      </w:r>
      <w:r w:rsidRPr="00727886">
        <w:t>, que prorroga o mandato da missão da União Europeia na Arménia (EUMA) por dois anos,</w:t>
      </w:r>
    </w:p>
    <w:p w14:paraId="36AE6987" w14:textId="77777777" w:rsidR="00A96CE4" w:rsidRPr="00727886" w:rsidRDefault="00A96CE4" w:rsidP="00A96CE4">
      <w:pPr>
        <w:pStyle w:val="NormalHanging12a"/>
      </w:pPr>
      <w:r w:rsidRPr="00727886">
        <w:lastRenderedPageBreak/>
        <w:t>–</w:t>
      </w:r>
      <w:r w:rsidRPr="00727886">
        <w:tab/>
        <w:t>Tendo em conta a Decisão (PESC) 2026/894 do Conselho</w:t>
      </w:r>
      <w:r w:rsidRPr="00727886">
        <w:rPr>
          <w:rStyle w:val="FootnoteReference"/>
        </w:rPr>
        <w:footnoteReference w:id="3"/>
      </w:r>
      <w:r w:rsidRPr="00727886">
        <w:t>, de 21 de abril de 2026, relativa a uma Missão de Parceria da União Europeia na Arménia (EUPM Arménia) no âmbito da política comum de segurança e defesa (PCSD),</w:t>
      </w:r>
    </w:p>
    <w:p w14:paraId="5C133982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 Decisão (PESC) 2024/2010 do Conselho, de 22 de julho de 2024</w:t>
      </w:r>
      <w:r w:rsidRPr="00727886">
        <w:rPr>
          <w:rStyle w:val="FootnoteReference"/>
        </w:rPr>
        <w:footnoteReference w:id="4"/>
      </w:r>
      <w:r w:rsidRPr="00727886">
        <w:t>, relativa a uma medida de assistência no âmbito do Mecanismo Europeu de Apoio à Paz para apoiar as Forças Armadas da República da Arménia,</w:t>
      </w:r>
    </w:p>
    <w:p w14:paraId="6892056B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 ratificação do acordo</w:t>
      </w:r>
      <w:r w:rsidRPr="00727886">
        <w:noBreakHyphen/>
        <w:t>quadro de participação no âmbito da PCSD entre a União Europeia e a Arménia</w:t>
      </w:r>
      <w:r w:rsidRPr="00727886">
        <w:rPr>
          <w:rStyle w:val="FootnoteReference"/>
        </w:rPr>
        <w:footnoteReference w:id="5"/>
      </w:r>
      <w:r w:rsidRPr="00727886">
        <w:t>, que foi acolhido favoravelmente no comunicado de imprensa conjunto de 3 de dezembro de 2025, no seguimento da sexta reunião do Conselho de Parceria UE</w:t>
      </w:r>
      <w:r w:rsidRPr="00727886">
        <w:noBreakHyphen/>
        <w:t>Arménia,</w:t>
      </w:r>
    </w:p>
    <w:p w14:paraId="44E6C7DE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 Cimeira da Paz realizada em Washington, em 8 de agosto de 2025,</w:t>
      </w:r>
    </w:p>
    <w:p w14:paraId="648E5C00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 xml:space="preserve">Tendo em conta o relatório da missão de avaliação das necessidades, publicado pelo Gabinete das Instituições Democráticas e dos Direitos Humanos (ODIHR) da Organização para a Segurança e a Cooperação na Europa, sobre as eleições legislativas da Arménia de 7 de junho de 2026, e tendo em conta o trabalho levado a cabo pelo Conselho da Europa sobre as normas eleitorais, a liberdade dos meios de comunicação social e a integridade da informação, </w:t>
      </w:r>
    </w:p>
    <w:p w14:paraId="446C495C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a sua Resolução, de 15 de abril de 2015, sobre o centenário do genocídio arménio</w:t>
      </w:r>
      <w:r w:rsidRPr="00727886">
        <w:rPr>
          <w:rStyle w:val="FootnoteReference"/>
        </w:rPr>
        <w:footnoteReference w:id="6"/>
      </w:r>
      <w:r w:rsidRPr="00727886">
        <w:t>,</w:t>
      </w:r>
    </w:p>
    <w:p w14:paraId="094734B4" w14:textId="77777777" w:rsidR="00A96CE4" w:rsidRPr="00727886" w:rsidRDefault="00A96CE4" w:rsidP="00A96CE4">
      <w:pPr>
        <w:pStyle w:val="NormalHanging12a"/>
      </w:pPr>
      <w:r w:rsidRPr="00727886">
        <w:t>–</w:t>
      </w:r>
      <w:r w:rsidRPr="00727886">
        <w:tab/>
        <w:t>Tendo em conta o artigo 136.º, n.</w:t>
      </w:r>
      <w:r w:rsidRPr="00727886">
        <w:rPr>
          <w:vertAlign w:val="superscript"/>
        </w:rPr>
        <w:t>os</w:t>
      </w:r>
      <w:r w:rsidRPr="00727886">
        <w:t xml:space="preserve"> 2 e 4, do seu Regimento,</w:t>
      </w:r>
    </w:p>
    <w:p w14:paraId="0BBD8E8C" w14:textId="062BF223" w:rsidR="00A96CE4" w:rsidRPr="00727886" w:rsidRDefault="00A96CE4" w:rsidP="00A96CE4">
      <w:pPr>
        <w:pStyle w:val="NormalHanging12a"/>
      </w:pPr>
      <w:r w:rsidRPr="00727886">
        <w:t>A.</w:t>
      </w:r>
      <w:r w:rsidRPr="00727886">
        <w:tab/>
        <w:t>Considerando que as relações entre a UE e a Arménia entraram numa nova fase, caraterizada por um nível mais elevado de compromisso político e por uma cooperação reforçada no domínio da segurança</w:t>
      </w:r>
      <w:r w:rsidR="00727886">
        <w:t>; considerando que</w:t>
      </w:r>
      <w:r w:rsidRPr="00727886">
        <w:t xml:space="preserve"> estas relações assentam em valores comuns, designadamente a democracia, o Estado de direito e o respeito pelos direitos humanos e pelas liberdades fundamentais</w:t>
      </w:r>
      <w:r w:rsidR="00727886">
        <w:t>; considerando que</w:t>
      </w:r>
      <w:r w:rsidRPr="00727886">
        <w:t xml:space="preserve"> o Conselho de Parceria UE</w:t>
      </w:r>
      <w:r w:rsidRPr="00727886">
        <w:noBreakHyphen/>
        <w:t>Arménia adotou uma nova agenda estratégica, que, tendo como base o Acordo de Parceria Abrangente e Reforçado, constitui uma etapa importante no reforço dos laços bilaterais e abarca domínios como a democracia, a reforma da justiça, os direitos humanos e uma vasta gama de outros domínios</w:t>
      </w:r>
      <w:r w:rsidR="00727886">
        <w:t>; considerando que</w:t>
      </w:r>
      <w:r w:rsidRPr="00727886">
        <w:t xml:space="preserve"> a UE reafirmou o seu firme apoio ao programa de reformas da Arménia, aos esforços empreendidos pelo país para combater as ameaças híbridas, aos progressos alcançados no diálogo sobre a liberalização de vistos e ao plano de resiliência e crescimento da UE a favor da Arménia, dotado de 270 milhões de euros</w:t>
      </w:r>
      <w:r w:rsidR="00727886">
        <w:t>; considerando que</w:t>
      </w:r>
      <w:r w:rsidRPr="00727886">
        <w:t xml:space="preserve"> a Arménia empreendeu reformas importantes nos últimos anos</w:t>
      </w:r>
      <w:r w:rsidR="00727886">
        <w:t>; considerando que</w:t>
      </w:r>
      <w:r w:rsidRPr="00727886">
        <w:t xml:space="preserve"> continuam a ser essenciais ulteriores melhorias;</w:t>
      </w:r>
    </w:p>
    <w:p w14:paraId="02124A55" w14:textId="77777777" w:rsidR="00A96CE4" w:rsidRPr="00727886" w:rsidRDefault="00A96CE4" w:rsidP="00A96CE4">
      <w:pPr>
        <w:pStyle w:val="NormalHanging12a"/>
      </w:pPr>
      <w:r w:rsidRPr="00727886">
        <w:t>B.</w:t>
      </w:r>
      <w:r w:rsidRPr="00727886">
        <w:tab/>
        <w:t xml:space="preserve">Considerando que, em 26 de março de 2025, o Parlamento da Arménia aprovou a lei </w:t>
      </w:r>
      <w:r w:rsidRPr="00727886">
        <w:lastRenderedPageBreak/>
        <w:t>que permitiu pôr em marcha o processo de adesão da Arménia à UE e que corrobora a aspiração do país a aderir à UE;</w:t>
      </w:r>
    </w:p>
    <w:p w14:paraId="12BA5E92" w14:textId="5EF4D286" w:rsidR="00A96CE4" w:rsidRPr="00727886" w:rsidRDefault="00A96CE4" w:rsidP="00A96CE4">
      <w:pPr>
        <w:pStyle w:val="NormalHanging12a"/>
      </w:pPr>
      <w:r w:rsidRPr="00727886">
        <w:t>C.</w:t>
      </w:r>
      <w:r w:rsidRPr="00727886">
        <w:tab/>
        <w:t>Considerando que a nova agenda estratégica, adotada em dezembro de 2025 e baseada na aplicação integral do Acordo de Parceria Abrangente e Reforçado, abrange uma vasta gama de domínios, incluindo a democracia e o Estado de direito, a reforma da justiça e os direitos humanos</w:t>
      </w:r>
      <w:r w:rsidR="00727886">
        <w:t>; considerando que</w:t>
      </w:r>
      <w:r w:rsidRPr="00727886">
        <w:t xml:space="preserve"> a escolha destes domínios evidencia o compromisso soberano da Arménia para com as normas democráticas e o Estado de direito, em consonância com as normas e os valores da UE;</w:t>
      </w:r>
    </w:p>
    <w:p w14:paraId="12CAC9A8" w14:textId="713D4627" w:rsidR="00A96CE4" w:rsidRPr="00727886" w:rsidRDefault="00A96CE4" w:rsidP="00A96CE4">
      <w:pPr>
        <w:pStyle w:val="NormalHanging12a"/>
      </w:pPr>
      <w:r w:rsidRPr="00727886">
        <w:t>D.</w:t>
      </w:r>
      <w:r w:rsidRPr="00727886">
        <w:tab/>
        <w:t xml:space="preserve">Considerando que a oitava cimeira da Comunidade Política Europeia e a primeira cimeira entre a UE e a Arménia terão lugar em </w:t>
      </w:r>
      <w:proofErr w:type="spellStart"/>
      <w:r w:rsidRPr="00727886">
        <w:t>Erevã</w:t>
      </w:r>
      <w:proofErr w:type="spellEnd"/>
      <w:r w:rsidRPr="00727886">
        <w:t>, em 4 e 5 de maio de 2026, respetivamente, veiculando um sinal histórico da solidariedade europeia para com a Arménia</w:t>
      </w:r>
      <w:r w:rsidR="00727886">
        <w:t>; considerando que</w:t>
      </w:r>
      <w:r w:rsidRPr="00727886">
        <w:t xml:space="preserve"> a Cimeira entre a UE e a Arménia, que reunirá o presidente do Conselho Europeu, a presidente da Comissão e a vice</w:t>
      </w:r>
      <w:r w:rsidRPr="00727886">
        <w:noBreakHyphen/>
        <w:t>presidente da Comissão/alta representante da União para os Negócios Estrangeiros e a Política de Segurança, deverá produzir resultados concretos nas relações bilaterais, com especial destaque para a conectividade nos domínios da energia, dos transportes e das infraestruturas digitais, bem como para a paz, a segurança e a prosperidade no Sul do Cáucaso;</w:t>
      </w:r>
    </w:p>
    <w:p w14:paraId="08A6E882" w14:textId="0A67431B" w:rsidR="00A96CE4" w:rsidRPr="00727886" w:rsidRDefault="00A96CE4" w:rsidP="00A96CE4">
      <w:pPr>
        <w:pStyle w:val="NormalHanging12a"/>
      </w:pPr>
      <w:r w:rsidRPr="00727886">
        <w:t>E.</w:t>
      </w:r>
      <w:r w:rsidRPr="00727886">
        <w:tab/>
        <w:t>Considerando que, em 21 de abril de 2026, o Conselho criou a EUPM Arménia no âmbito da PCSD, com o objetivo de contribuir para o reforço da resiliência democrática deste país e da sua capacidade para gerir crises</w:t>
      </w:r>
      <w:r w:rsidR="00727886">
        <w:t>; considerando que</w:t>
      </w:r>
      <w:r w:rsidRPr="00727886">
        <w:t xml:space="preserve"> esta missão ajudará a Arménia a enfrentar ameaças multifacetadas, como sejam a manipulação da informação e ingerência por parte de agentes estrangeiros, os ciberataques e os fluxos financeiros ilícitos</w:t>
      </w:r>
      <w:r w:rsidR="00727886">
        <w:t>; considerando que</w:t>
      </w:r>
      <w:r w:rsidRPr="00727886">
        <w:t xml:space="preserve"> a criação da missão confirma que a segurança democrática é atualmente um pilar fundamental da parceria entre a UE e a Arménia</w:t>
      </w:r>
      <w:r w:rsidR="00727886">
        <w:t>; considerando que</w:t>
      </w:r>
      <w:r w:rsidRPr="00727886">
        <w:t xml:space="preserve"> a EUPM Arménia prestará aconselhamento estratégico e apoiará o reforço das capacidades das instituições arménias para as ajudar a afrontar essas ameaças;</w:t>
      </w:r>
    </w:p>
    <w:p w14:paraId="063278BB" w14:textId="52933958" w:rsidR="00A96CE4" w:rsidRPr="00727886" w:rsidRDefault="00A96CE4" w:rsidP="00A96CE4">
      <w:pPr>
        <w:pStyle w:val="NormalHanging12a"/>
        <w:rPr>
          <w:bCs/>
        </w:rPr>
      </w:pPr>
      <w:r w:rsidRPr="00727886">
        <w:t>F.</w:t>
      </w:r>
      <w:r w:rsidRPr="00727886">
        <w:tab/>
        <w:t>Considerando, em 7 de junho de 2026, terão lugar eleições legislativas na Arménia, que se revestem de importância estratégica não apenas para a consolidação da democracia nacional, mas também para a sustentabilidade da paz, das reformas e de uma cooperação mais estreita com a UE</w:t>
      </w:r>
      <w:r w:rsidR="00727886">
        <w:t>; considerando que</w:t>
      </w:r>
      <w:r w:rsidRPr="00727886">
        <w:t xml:space="preserve"> a integridade das eleições depende da existência de condições que permitam a realização de eleições livres, justas e competitivas, de instituições sólidas, de meios de comunicação social independentes e de salvaguardas eficazes contra a desinformação, o financiamento ilícito, a compra de votos e outras formas de ingerência maliciosa</w:t>
      </w:r>
      <w:r w:rsidR="00727886">
        <w:t>; considerando que</w:t>
      </w:r>
      <w:r w:rsidRPr="00727886">
        <w:t xml:space="preserve"> o ODIHR exprimiu preocupações no que diz respeito à preparação das comissões eleitorais nas circunscrições, à cibersegurança, ao lançamento prematuro da pré</w:t>
      </w:r>
      <w:r w:rsidRPr="00727886">
        <w:noBreakHyphen/>
        <w:t>campanha, à utilização indevida de recursos administrativos, à transparência do financiamento das campanhas e à polarização dos meios de comunicação social</w:t>
      </w:r>
      <w:r w:rsidR="00727886">
        <w:t>; considerando que</w:t>
      </w:r>
      <w:r w:rsidRPr="00727886">
        <w:t xml:space="preserve"> a ingerência estrangeira – notadamente as operações híbridas sistemáticas da Rússia realizadas com a ajuda das suas forças interpostas, incluindo campanhas de desinformação, </w:t>
      </w:r>
      <w:proofErr w:type="spellStart"/>
      <w:r w:rsidRPr="00727886">
        <w:t>ciberoperações</w:t>
      </w:r>
      <w:proofErr w:type="spellEnd"/>
      <w:r w:rsidRPr="00727886">
        <w:t>, pressão económica e mobilização de intermediários locais — se apoia cada vez mais em agentes nacionais que se dedicam à sua amplificação, como sejam determinados intervenientes religiosos e redes oligárquicas, reproduzindo os padrões observados nas recentes eleições na Moldávia e na Geórgia;</w:t>
      </w:r>
    </w:p>
    <w:p w14:paraId="594E4592" w14:textId="77777777" w:rsidR="00A96CE4" w:rsidRPr="00727886" w:rsidRDefault="00A96CE4" w:rsidP="00A96CE4">
      <w:pPr>
        <w:pStyle w:val="NormalHanging12a"/>
        <w:rPr>
          <w:bCs/>
        </w:rPr>
      </w:pPr>
      <w:r w:rsidRPr="00727886">
        <w:t>G.</w:t>
      </w:r>
      <w:r w:rsidRPr="00727886">
        <w:tab/>
        <w:t>Considerando que, durante a sua reunião de 1 de abril de 2026, Vladimir Putin exerceu pressão sobre o primeiro</w:t>
      </w:r>
      <w:r w:rsidRPr="00727886">
        <w:noBreakHyphen/>
        <w:t xml:space="preserve">ministro arménio, </w:t>
      </w:r>
      <w:proofErr w:type="spellStart"/>
      <w:r w:rsidRPr="00727886">
        <w:t>Nikol</w:t>
      </w:r>
      <w:proofErr w:type="spellEnd"/>
      <w:r w:rsidRPr="00727886">
        <w:t xml:space="preserve"> </w:t>
      </w:r>
      <w:proofErr w:type="spellStart"/>
      <w:r w:rsidRPr="00727886">
        <w:t>Pashinyan</w:t>
      </w:r>
      <w:proofErr w:type="spellEnd"/>
      <w:r w:rsidRPr="00727886">
        <w:t xml:space="preserve">, para que autorizasse o </w:t>
      </w:r>
      <w:r w:rsidRPr="00727886">
        <w:lastRenderedPageBreak/>
        <w:t>multimilionário russo</w:t>
      </w:r>
      <w:r w:rsidRPr="00727886">
        <w:noBreakHyphen/>
        <w:t xml:space="preserve">arménio </w:t>
      </w:r>
      <w:proofErr w:type="spellStart"/>
      <w:r w:rsidRPr="00727886">
        <w:t>Samvel</w:t>
      </w:r>
      <w:proofErr w:type="spellEnd"/>
      <w:r w:rsidRPr="00727886">
        <w:t xml:space="preserve"> </w:t>
      </w:r>
      <w:proofErr w:type="spellStart"/>
      <w:r w:rsidRPr="00727886">
        <w:t>Karapetyan</w:t>
      </w:r>
      <w:proofErr w:type="spellEnd"/>
      <w:r w:rsidRPr="00727886">
        <w:t>, que se encontra detido, a participar nas próximas eleições arménias;</w:t>
      </w:r>
    </w:p>
    <w:p w14:paraId="2ACFCF40" w14:textId="3F4C4438" w:rsidR="00A96CE4" w:rsidRPr="00727886" w:rsidRDefault="00A96CE4" w:rsidP="00A96CE4">
      <w:pPr>
        <w:pStyle w:val="NormalHanging12a"/>
        <w:rPr>
          <w:bCs/>
        </w:rPr>
      </w:pPr>
      <w:r w:rsidRPr="00727886">
        <w:t>H.</w:t>
      </w:r>
      <w:r w:rsidRPr="00727886">
        <w:tab/>
        <w:t>Considerando que a EUMA continua a desempenhar um papel essencial para a estabilidade, a criação de confiança e a segurança humana nas zonas afetadas por conflitos</w:t>
      </w:r>
      <w:r w:rsidR="00727886">
        <w:t>; considerando que</w:t>
      </w:r>
      <w:r w:rsidRPr="00727886">
        <w:t>, em 30 de janeiro de 2025, o Conselho prorrogou o mandato da EUMA por dois anos</w:t>
      </w:r>
      <w:r w:rsidR="00727886">
        <w:t>; considerando que</w:t>
      </w:r>
      <w:r w:rsidRPr="00727886">
        <w:t xml:space="preserve"> a EUMA desempenha um papel estabilizador essencial ao longo da fronteira entre a Arménia e o Azerbaijão</w:t>
      </w:r>
      <w:r w:rsidR="00727886">
        <w:t>; considerando que</w:t>
      </w:r>
      <w:r w:rsidRPr="00727886">
        <w:t xml:space="preserve"> a missão contribui igualmente para a observação da situação no terreno e a comunicação de informações a este respeito e para o apoio à criação de confiança entre a Arménia e o Azerbaijão;</w:t>
      </w:r>
    </w:p>
    <w:p w14:paraId="014EA298" w14:textId="6BE1DF60" w:rsidR="00A96CE4" w:rsidRPr="00727886" w:rsidRDefault="00A96CE4" w:rsidP="00A96CE4">
      <w:pPr>
        <w:pStyle w:val="NormalHanging12a"/>
      </w:pPr>
      <w:r w:rsidRPr="00727886">
        <w:t>I.</w:t>
      </w:r>
      <w:r w:rsidRPr="00727886">
        <w:tab/>
        <w:t xml:space="preserve">Considerando que o processo de paz entre a Arménia e o Azerbaijão se acelerou de forma notável, marcado por projetos de ligações de trânsito multimodal para atravessar o território arménio e ligar a parte principal do Azerbaijão à sua República Autónoma de </w:t>
      </w:r>
      <w:proofErr w:type="spellStart"/>
      <w:r w:rsidRPr="00727886">
        <w:t>Naquichevão</w:t>
      </w:r>
      <w:proofErr w:type="spellEnd"/>
      <w:r w:rsidRPr="00727886">
        <w:t>, no pleno respeito pela soberania, pela integridade territorial e pela jurisdição da Arménia, e que este processo representa um instrumento fundamental para reduzir a dependência económica da Arménia em relação à Rússia</w:t>
      </w:r>
      <w:r w:rsidR="00727886">
        <w:t>; considerando que</w:t>
      </w:r>
      <w:r w:rsidRPr="00727886">
        <w:t xml:space="preserve"> a UE apoia plenamente este processo através da Parceria de Conectividade entre a UE e a Arménia e da iniciativa «Encruzilhadas da Paz»;</w:t>
      </w:r>
    </w:p>
    <w:p w14:paraId="40C05A9D" w14:textId="77777777" w:rsidR="00A96CE4" w:rsidRPr="00727886" w:rsidRDefault="00A96CE4" w:rsidP="00A96CE4">
      <w:pPr>
        <w:pStyle w:val="NormalHanging12a"/>
      </w:pPr>
      <w:r w:rsidRPr="00727886">
        <w:t>1.</w:t>
      </w:r>
      <w:r w:rsidRPr="00727886">
        <w:tab/>
        <w:t>Declara</w:t>
      </w:r>
      <w:r w:rsidRPr="00727886">
        <w:noBreakHyphen/>
        <w:t>se firmemente convicto do empenho das autoridades arménias em garantir a realização de eleições livres, justas e transparentes e apoia os esforços envidados por estas autoridades para proteger as instituições democráticas contra ingerências externas;</w:t>
      </w:r>
    </w:p>
    <w:p w14:paraId="2E61181F" w14:textId="77777777" w:rsidR="00A96CE4" w:rsidRPr="00727886" w:rsidRDefault="00A96CE4" w:rsidP="00A96CE4">
      <w:pPr>
        <w:pStyle w:val="NormalHanging12a"/>
      </w:pPr>
      <w:r w:rsidRPr="00727886">
        <w:t>2.</w:t>
      </w:r>
      <w:r w:rsidRPr="00727886">
        <w:tab/>
        <w:t>Expressa o seu total apoio à realização de eleições legislativas livres, justas, competitivas e pacíficas na Arménia, em junho de 2026, cujo desfecho deve ser determinado unicamente pelo povo da Arménia; sublinha a importância de que se revestem a independência da administração eleitoral, a igualdade de condições para todos os candidatos na campanha eleitoral, o pluralismo dos meios de comunicação social e o pleno respeito pelas liberdades fundamentais ao longo de todo o ciclo eleitoral; preconiza a criação de salvaguardas sólidas contra a desinformação, o financiamento ilícito, a compra de votos e a coerção, bem como o reforço da proteção da infraestrutura eleitoral, a transparência do financiamento das campanhas e o apoio a iniciativas de verificação de factos e à sociedade civil, nomeadamente através da partilha de informações e de mecanismos de alerta precoce; solicita o destacamento de missões sólidas de observação eleitoral a nível internacional e nacional, nomeadamente pelo ODIHR, e a plena cooperação com essas missões;</w:t>
      </w:r>
    </w:p>
    <w:p w14:paraId="5DE72F75" w14:textId="77777777" w:rsidR="00A96CE4" w:rsidRPr="00727886" w:rsidRDefault="00A96CE4" w:rsidP="00A96CE4">
      <w:pPr>
        <w:pStyle w:val="NormalHanging12a"/>
      </w:pPr>
      <w:r w:rsidRPr="00727886">
        <w:t>3.</w:t>
      </w:r>
      <w:r w:rsidRPr="00727886">
        <w:tab/>
        <w:t>Condena vivamente a manipulação da informação e a ingerência por parte de agentes estrangeiros, as campanhas de desinformação e outras ameaças híbridas dirigidas contra a Arménia, nomeadamente as provenientes da Rússia e dos seus agentes interpostos, em particular sob a forma de ciberataques, de financiamento político ilícito e do recurso a intervenientes nacionais, incluindo redes oligárquicas, na amplificação dessas ameaças; salienta que estas ameaças são de natureza estrutural e de longo prazo e que são necessários esforços persistentes para reforçar a resiliência democrática para lá do ciclo eleitoral; congratula</w:t>
      </w:r>
      <w:r w:rsidRPr="00727886">
        <w:noBreakHyphen/>
        <w:t>se, a este respeito, com a criação da EUPM Arménia e advoga um maior apoio da UE em matéria de comunicação estratégica, de literacia mediática, de reforço das capacidades no domínio da cibersegurança e de diálogo estruturado com as plataformas em linha; insta as autoridades arménias a garantirem o pleno respeito pelos direitos da oposição, pela independência judicial e pela liberdade de expressão;</w:t>
      </w:r>
    </w:p>
    <w:p w14:paraId="09147F50" w14:textId="77777777" w:rsidR="00A96CE4" w:rsidRPr="00727886" w:rsidRDefault="00A96CE4" w:rsidP="00A96CE4">
      <w:pPr>
        <w:pStyle w:val="NormalHanging12a"/>
      </w:pPr>
      <w:r w:rsidRPr="00727886">
        <w:lastRenderedPageBreak/>
        <w:t>4.</w:t>
      </w:r>
      <w:r w:rsidRPr="00727886">
        <w:tab/>
        <w:t>Toma nota dos desafios específicos relacionados com a presença de uma importante comunidade russa na Arménia, entre os quais cidadãos com dupla nacionalidade, e sublinha que é imperioso dar provas de prudência ante qualquer tentativa de tirar partido desta situação para fins de ingerência eleitoral;</w:t>
      </w:r>
    </w:p>
    <w:p w14:paraId="7264D170" w14:textId="77777777" w:rsidR="00A96CE4" w:rsidRPr="00727886" w:rsidRDefault="00A96CE4" w:rsidP="00A96CE4">
      <w:pPr>
        <w:pStyle w:val="NormalHanging12a"/>
      </w:pPr>
      <w:r w:rsidRPr="00727886">
        <w:t>5.</w:t>
      </w:r>
      <w:r w:rsidRPr="00727886">
        <w:tab/>
        <w:t>Congratula</w:t>
      </w:r>
      <w:r w:rsidRPr="00727886">
        <w:noBreakHyphen/>
        <w:t>se com o notável dinamismo atual das relações entre UE e a Arménia e com o compromisso constante deste país para com a democracia, o Estado de direito, os direitos humanos e a realização de reformas políticas e económicas ambiciosas;</w:t>
      </w:r>
    </w:p>
    <w:p w14:paraId="20C3AA6E" w14:textId="77777777" w:rsidR="00A96CE4" w:rsidRPr="00727886" w:rsidRDefault="00A96CE4" w:rsidP="00A96CE4">
      <w:pPr>
        <w:pStyle w:val="NormalHanging12a"/>
      </w:pPr>
      <w:r w:rsidRPr="00727886">
        <w:t>6.</w:t>
      </w:r>
      <w:r w:rsidRPr="00727886">
        <w:tab/>
        <w:t>Saúda a adoção da nova Agenda Estratégica da Parceria UE</w:t>
      </w:r>
      <w:r w:rsidRPr="00727886">
        <w:noBreakHyphen/>
        <w:t>Arménia, os progressos realizados na aplicação do Acordo de Parceria Abrangente e Reforçado, os progressos alcançados no diálogo sobre a liberalização do regime de vistos e a continuação da execução do plano de resiliência e crescimento; regozija</w:t>
      </w:r>
      <w:r w:rsidRPr="00727886">
        <w:noBreakHyphen/>
        <w:t>se, a este respeito, com os esforços legislativos e estratégicos empreendidos pela Arménia que têm por objetivo estreitar as relações com a UE;</w:t>
      </w:r>
    </w:p>
    <w:p w14:paraId="0D6DF171" w14:textId="77777777" w:rsidR="00A96CE4" w:rsidRPr="00727886" w:rsidRDefault="00A96CE4" w:rsidP="00A96CE4">
      <w:pPr>
        <w:pStyle w:val="NormalHanging12a"/>
      </w:pPr>
      <w:r w:rsidRPr="00727886">
        <w:t>7.</w:t>
      </w:r>
      <w:r w:rsidRPr="00727886">
        <w:tab/>
        <w:t xml:space="preserve">Acolhe com satisfação a realização da oitava Cimeira da Comunidade Política Europeia e da primeira cimeira entre a UE e a Arménia, em </w:t>
      </w:r>
      <w:proofErr w:type="spellStart"/>
      <w:r w:rsidRPr="00727886">
        <w:t>Erevã</w:t>
      </w:r>
      <w:proofErr w:type="spellEnd"/>
      <w:r w:rsidRPr="00727886">
        <w:t xml:space="preserve">, em 4 e 5 de maio de 2026, por se tratar de um marco histórico excecional; considera que a organização destas duas cimeiras de forma consecutiva em </w:t>
      </w:r>
      <w:proofErr w:type="spellStart"/>
      <w:r w:rsidRPr="00727886">
        <w:t>Erevã</w:t>
      </w:r>
      <w:proofErr w:type="spellEnd"/>
      <w:r w:rsidRPr="00727886">
        <w:t xml:space="preserve"> veicula um sinal político inequívoco de solidariedade pan</w:t>
      </w:r>
      <w:r w:rsidRPr="00727886">
        <w:noBreakHyphen/>
        <w:t>europeia para com a Arménia e constitui testemunho do compromisso da UE de apoiar o programa de paz, reformas e resiliência da Arménia; exorta os dirigentes da UE e da Arménia a aproveitarem o ensejo para estabelecer objetivos ambiciosos e concretos;</w:t>
      </w:r>
    </w:p>
    <w:p w14:paraId="4DD4275C" w14:textId="77777777" w:rsidR="00A96CE4" w:rsidRPr="00727886" w:rsidRDefault="00A96CE4" w:rsidP="00A96CE4">
      <w:pPr>
        <w:pStyle w:val="NormalHanging12a"/>
      </w:pPr>
      <w:r w:rsidRPr="00727886">
        <w:t>8.</w:t>
      </w:r>
      <w:r w:rsidRPr="00727886">
        <w:tab/>
        <w:t>Saúda a aprovação de legislação na Arménia que corrobora a aspiração do país de aderir à UE e exorta as instituições da UE e as autoridades arménias a apoiarem esta escolha política com a adoção de medidas concretas, alicerçadas nos princípios democráticos, no Estado de direito e nos direitos fundamentais;</w:t>
      </w:r>
    </w:p>
    <w:p w14:paraId="5EF6CDCF" w14:textId="77777777" w:rsidR="00A96CE4" w:rsidRPr="00727886" w:rsidRDefault="00A96CE4" w:rsidP="00A96CE4">
      <w:pPr>
        <w:pStyle w:val="NormalHanging12a"/>
        <w:rPr>
          <w:bCs/>
        </w:rPr>
      </w:pPr>
      <w:r w:rsidRPr="00727886">
        <w:t>9.</w:t>
      </w:r>
      <w:r w:rsidRPr="00727886">
        <w:tab/>
        <w:t>Exorta a Comissão, o Serviço Europeu para a Ação Externa e os Estados</w:t>
      </w:r>
      <w:r w:rsidRPr="00727886">
        <w:noBreakHyphen/>
        <w:t>Membros a aprofundarem a cooperação com a Arménia em matéria de governação democrática, Estado de direito, reforma judicial, luta contra a corrupção, cibersegurança e resiliência ante ameaças híbridas, bem como a aumentarem o apoio acessível aos meios de comunicação social independentes, à sociedade civil, às instituições locais e à administração pública orientada para as reformas; pugna por uma estreita coordenação com os parceiros internacionais no apoio a estes esforços;</w:t>
      </w:r>
    </w:p>
    <w:p w14:paraId="3D4272CA" w14:textId="77777777" w:rsidR="00A96CE4" w:rsidRPr="00727886" w:rsidRDefault="00A96CE4" w:rsidP="00A96CE4">
      <w:pPr>
        <w:pStyle w:val="NormalHanging12a"/>
        <w:rPr>
          <w:bCs/>
        </w:rPr>
      </w:pPr>
      <w:r w:rsidRPr="00727886">
        <w:t>10.</w:t>
      </w:r>
      <w:r w:rsidRPr="00727886">
        <w:tab/>
        <w:t>Apoia firmemente os esforços contínuos envidados pela Arménia em prol da paz, da reconciliação e da plena normalização das relações com o Azerbaijão; congratula</w:t>
      </w:r>
      <w:r w:rsidRPr="00727886">
        <w:noBreakHyphen/>
        <w:t>se com os progressos alcançados no processo de paz e insta ambas as partes a avançarem no sentido de um acordo de paz global e juridicamente vinculativo; salienta que uma paz duradoura deve alicerçar</w:t>
      </w:r>
      <w:r w:rsidRPr="00727886">
        <w:noBreakHyphen/>
        <w:t>se no respeito pela soberania, pela integridade territorial e pela inviolabilidade das fronteiras;</w:t>
      </w:r>
    </w:p>
    <w:p w14:paraId="393A7B23" w14:textId="77777777" w:rsidR="00A96CE4" w:rsidRPr="00727886" w:rsidRDefault="00A96CE4" w:rsidP="00A96CE4">
      <w:pPr>
        <w:pStyle w:val="NormalHanging12a"/>
      </w:pPr>
      <w:r w:rsidRPr="00727886">
        <w:t>11.</w:t>
      </w:r>
      <w:r w:rsidRPr="00727886">
        <w:tab/>
        <w:t>Solicita o reforço da partilha de informações e da cooperação com a República da Moldávia, facilitadas pela UE, à luz das experiências comparáveis de ingerência eleitoral;</w:t>
      </w:r>
    </w:p>
    <w:p w14:paraId="1392B9B2" w14:textId="77777777" w:rsidR="00A96CE4" w:rsidRPr="00727886" w:rsidRDefault="00A96CE4" w:rsidP="00A96CE4">
      <w:pPr>
        <w:pStyle w:val="NormalHanging12a"/>
      </w:pPr>
      <w:r w:rsidRPr="00727886">
        <w:t>12.</w:t>
      </w:r>
      <w:r w:rsidRPr="00727886">
        <w:tab/>
        <w:t xml:space="preserve">Reitera o seu apoio aos direitos dos arménios do Alto </w:t>
      </w:r>
      <w:proofErr w:type="spellStart"/>
      <w:r w:rsidRPr="00727886">
        <w:t>Carabaque</w:t>
      </w:r>
      <w:proofErr w:type="spellEnd"/>
      <w:r w:rsidRPr="00727886">
        <w:t xml:space="preserve">, designadamente a proteção da sua identidade, dos seus bens e do seu património cultural, bem como o </w:t>
      </w:r>
      <w:r w:rsidRPr="00727886">
        <w:lastRenderedPageBreak/>
        <w:t>direito que lhes assiste a um regresso seguro, digno e sem entraves, ao abrigo de garantias internacionais adequadas; solicita que os responsáveis pela destruição do património cultural e religioso arménio sejam chamados a responder pelos seus atos e que seja levada a cabo uma missão de avaliação internacional;</w:t>
      </w:r>
    </w:p>
    <w:p w14:paraId="7EEA9C2E" w14:textId="77777777" w:rsidR="00A96CE4" w:rsidRPr="00727886" w:rsidRDefault="00A96CE4" w:rsidP="00A96CE4">
      <w:pPr>
        <w:pStyle w:val="NormalHanging12a"/>
        <w:rPr>
          <w:bCs/>
        </w:rPr>
      </w:pPr>
      <w:r w:rsidRPr="00727886">
        <w:t>13.</w:t>
      </w:r>
      <w:r w:rsidRPr="00727886">
        <w:tab/>
        <w:t>Condena a detenção arbitrária de prisioneiros de guerra, detidos e reféns arménios pelo Azerbaijão; exige a sua libertação imediata e incondicional; toma nota das medidas tomadas até à data e solicita a adoção de novas medidas geradoras de confiança; preconiza o pleno respeito pelo direito internacional humanitário e pelo direito internacional em matéria de direitos humanos;</w:t>
      </w:r>
    </w:p>
    <w:p w14:paraId="09768B99" w14:textId="77777777" w:rsidR="00A96CE4" w:rsidRPr="00727886" w:rsidRDefault="00A96CE4" w:rsidP="00A96CE4">
      <w:pPr>
        <w:pStyle w:val="NormalHanging12a"/>
      </w:pPr>
      <w:r w:rsidRPr="00727886">
        <w:t>14.</w:t>
      </w:r>
      <w:r w:rsidRPr="00727886">
        <w:tab/>
        <w:t>Apela à UE para que incremente a assistência financeira e técnica à Arménia, nomeadamente através do plano de resiliência e crescimento, com destaque para o reforço da resiliência institucional, a segurança energética, a governação digital e a diversificação económica, bem como para a redução das dependências estruturais em setores críticos como a energia, os transportes e as infraestruturas; incentiva o Governo arménio a dar seguimento às reformas;</w:t>
      </w:r>
    </w:p>
    <w:p w14:paraId="23D61BDD" w14:textId="77777777" w:rsidR="00A96CE4" w:rsidRPr="00727886" w:rsidRDefault="00A96CE4" w:rsidP="00A96CE4">
      <w:pPr>
        <w:pStyle w:val="NormalHanging12a"/>
      </w:pPr>
      <w:r w:rsidRPr="00727886">
        <w:t>15.</w:t>
      </w:r>
      <w:r w:rsidRPr="00727886">
        <w:tab/>
        <w:t>Regozija</w:t>
      </w:r>
      <w:r w:rsidRPr="00727886">
        <w:noBreakHyphen/>
        <w:t>se com a adoção da estratégia da EUMA a favor da sociedade civil; considera que se trata de uma etapa importante para alargar o compromisso da missão com a sociedade civil arménia para lá do seu mandato principal de monitorização da segurança, e incentiva a EUMA a aprofundar os seus contactos com os intervenientes democráticos a nível local, as organizações comunitárias e os meios de comunicação social independentes no quadro do seu contributo para a resiliência democrática; louva o trabalho da sociedade civil arménia no quadro das investigações sobre as campanhas de ingerência estrangeira, os ciberataques e a desinformação em linha;</w:t>
      </w:r>
    </w:p>
    <w:p w14:paraId="67F7B85C" w14:textId="77777777" w:rsidR="00A96CE4" w:rsidRPr="00727886" w:rsidRDefault="00A96CE4" w:rsidP="00A96CE4">
      <w:pPr>
        <w:pStyle w:val="NormalHanging12a"/>
        <w:rPr>
          <w:bCs/>
        </w:rPr>
      </w:pPr>
      <w:r w:rsidRPr="00727886">
        <w:t>16.</w:t>
      </w:r>
      <w:r w:rsidRPr="00727886">
        <w:tab/>
        <w:t>Saúda os esforços constantes em prol da normalização das relações entre a Arménia e a Turquia, enquanto fator essencial à estabilidade, reconciliação e conectividade regionais; insta as duas partes a continuarem a colaborar num espírito de boa</w:t>
      </w:r>
      <w:r w:rsidRPr="00727886">
        <w:noBreakHyphen/>
        <w:t>fé no que toca à adoção de novas medidas de reforço da confiança, como a reabertura das fronteiras, enquanto contributo importante para a estabilidade, a reconciliação e a conectividade regionais;</w:t>
      </w:r>
    </w:p>
    <w:p w14:paraId="1C80FD67" w14:textId="461CF9C4" w:rsidR="00E365E1" w:rsidRPr="00727886" w:rsidRDefault="00A96CE4" w:rsidP="00BA7CF0">
      <w:pPr>
        <w:pStyle w:val="NormalHanging12a"/>
      </w:pPr>
      <w:r w:rsidRPr="00727886">
        <w:t>17.</w:t>
      </w:r>
      <w:r w:rsidRPr="00727886">
        <w:tab/>
        <w:t>Encarrega a sua Presidente de transmitir a presente resolução ao Conselho, à Comissão, à Vice</w:t>
      </w:r>
      <w:r w:rsidRPr="00727886">
        <w:noBreakHyphen/>
        <w:t>Presidente da Comissão/Alta Representante da União para os Negócios Estrangeiros e a Política de Segurança, aos governos e parlamentos dos Estados</w:t>
      </w:r>
      <w:r w:rsidRPr="00727886">
        <w:noBreakHyphen/>
        <w:t>Membros, ao Presidente, ao Governo e ao Parlamento da República da Arménia, à Organização para a Segurança e a Cooperação na Europa, ao Conselho da Europa e às Nações Unidas.</w:t>
      </w:r>
    </w:p>
    <w:sectPr w:rsidR="00E365E1" w:rsidRPr="00727886" w:rsidSect="00AC52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E13A7" w14:textId="77777777" w:rsidR="00BD07E9" w:rsidRPr="00AC5210" w:rsidRDefault="00BD07E9">
      <w:r w:rsidRPr="00AC5210">
        <w:separator/>
      </w:r>
    </w:p>
  </w:endnote>
  <w:endnote w:type="continuationSeparator" w:id="0">
    <w:p w14:paraId="1BD4899B" w14:textId="77777777" w:rsidR="00BD07E9" w:rsidRPr="00AC5210" w:rsidRDefault="00BD07E9">
      <w:r w:rsidRPr="00AC52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A080" w14:textId="77777777" w:rsidR="00064002" w:rsidRPr="00AC52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2D41" w14:textId="77777777" w:rsidR="00064002" w:rsidRPr="00AC52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FB310" w14:textId="77777777" w:rsidR="00064002" w:rsidRPr="00AC52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C86A4" w14:textId="77777777" w:rsidR="00BD07E9" w:rsidRPr="00AC5210" w:rsidRDefault="00BD07E9">
      <w:r w:rsidRPr="00AC5210">
        <w:separator/>
      </w:r>
    </w:p>
  </w:footnote>
  <w:footnote w:type="continuationSeparator" w:id="0">
    <w:p w14:paraId="6765AC88" w14:textId="77777777" w:rsidR="00BD07E9" w:rsidRPr="00AC5210" w:rsidRDefault="00BD07E9">
      <w:r w:rsidRPr="00AC5210">
        <w:continuationSeparator/>
      </w:r>
    </w:p>
  </w:footnote>
  <w:footnote w:id="1">
    <w:p w14:paraId="3A13088A" w14:textId="5780CF5E" w:rsidR="00A96CE4" w:rsidRPr="00BA7CF0" w:rsidRDefault="00A96CE4" w:rsidP="00AC5210">
      <w:pPr>
        <w:pStyle w:val="FootnoteText"/>
        <w:ind w:left="567" w:hanging="567"/>
        <w:rPr>
          <w:sz w:val="24"/>
          <w:lang w:val="fi-FI"/>
        </w:rPr>
      </w:pPr>
      <w:r w:rsidRPr="00AC5210">
        <w:rPr>
          <w:rStyle w:val="FootnoteReference"/>
          <w:sz w:val="24"/>
          <w:lang w:val="pt-PT"/>
        </w:rPr>
        <w:footnoteRef/>
      </w:r>
      <w:r w:rsidR="00AC5210" w:rsidRPr="00BA7CF0">
        <w:rPr>
          <w:sz w:val="24"/>
          <w:lang w:val="fi-FI"/>
        </w:rPr>
        <w:t xml:space="preserve"> </w:t>
      </w:r>
      <w:r w:rsidR="00AC5210" w:rsidRPr="00BA7CF0">
        <w:rPr>
          <w:sz w:val="24"/>
          <w:lang w:val="fi-FI"/>
        </w:rPr>
        <w:tab/>
      </w:r>
      <w:r w:rsidRPr="00BA7CF0">
        <w:rPr>
          <w:sz w:val="24"/>
          <w:lang w:val="fi-FI"/>
        </w:rPr>
        <w:t xml:space="preserve">JO L 23 de 26.1.2018, p. 4, ELI: </w:t>
      </w:r>
      <w:hyperlink r:id="rId1" w:history="1">
        <w:r w:rsidRPr="00BA7CF0">
          <w:rPr>
            <w:rStyle w:val="Hyperlink"/>
            <w:sz w:val="24"/>
            <w:lang w:val="fi-FI"/>
          </w:rPr>
          <w:t>http://data.europa.eu/eli/agree_internation/2018/104/oj</w:t>
        </w:r>
      </w:hyperlink>
      <w:r w:rsidRPr="00BA7CF0">
        <w:rPr>
          <w:sz w:val="24"/>
          <w:lang w:val="fi-FI"/>
        </w:rPr>
        <w:t>.</w:t>
      </w:r>
    </w:p>
  </w:footnote>
  <w:footnote w:id="2">
    <w:p w14:paraId="073B6749" w14:textId="31C151B4" w:rsidR="00A96CE4" w:rsidRPr="00BA7CF0" w:rsidRDefault="00A96CE4" w:rsidP="00AC5210">
      <w:pPr>
        <w:pStyle w:val="FootnoteText"/>
        <w:ind w:left="567" w:hanging="567"/>
        <w:rPr>
          <w:sz w:val="24"/>
          <w:lang w:val="fi-FI"/>
        </w:rPr>
      </w:pPr>
      <w:r w:rsidRPr="00AC5210">
        <w:rPr>
          <w:rStyle w:val="FootnoteReference"/>
          <w:sz w:val="24"/>
          <w:lang w:val="pt-PT"/>
        </w:rPr>
        <w:footnoteRef/>
      </w:r>
      <w:r w:rsidR="00AC5210" w:rsidRPr="00BA7CF0">
        <w:rPr>
          <w:sz w:val="24"/>
          <w:lang w:val="fi-FI"/>
        </w:rPr>
        <w:t xml:space="preserve"> </w:t>
      </w:r>
      <w:r w:rsidR="00AC5210" w:rsidRPr="00BA7CF0">
        <w:rPr>
          <w:sz w:val="24"/>
          <w:lang w:val="fi-FI"/>
        </w:rPr>
        <w:tab/>
      </w:r>
      <w:r w:rsidRPr="00BA7CF0">
        <w:rPr>
          <w:sz w:val="24"/>
          <w:lang w:val="fi-FI"/>
        </w:rPr>
        <w:t xml:space="preserve">JO L, 2025/211, 31.1.2025, ELI: </w:t>
      </w:r>
      <w:hyperlink r:id="rId2" w:history="1">
        <w:r w:rsidRPr="00BA7CF0">
          <w:rPr>
            <w:rStyle w:val="Hyperlink"/>
            <w:sz w:val="24"/>
            <w:lang w:val="fi-FI"/>
          </w:rPr>
          <w:t>http://data.europa.eu/eli/dec/2025/211/oj</w:t>
        </w:r>
      </w:hyperlink>
      <w:r w:rsidRPr="00BA7CF0">
        <w:rPr>
          <w:sz w:val="24"/>
          <w:lang w:val="fi-FI"/>
        </w:rPr>
        <w:t>.</w:t>
      </w:r>
    </w:p>
  </w:footnote>
  <w:footnote w:id="3">
    <w:p w14:paraId="0CF60422" w14:textId="191BF8A1" w:rsidR="00A96CE4" w:rsidRPr="00BA7CF0" w:rsidRDefault="00A96CE4" w:rsidP="00AC5210">
      <w:pPr>
        <w:pStyle w:val="FootnoteText"/>
        <w:ind w:left="567" w:hanging="567"/>
        <w:rPr>
          <w:sz w:val="24"/>
          <w:lang w:val="fi-FI"/>
        </w:rPr>
      </w:pPr>
      <w:r w:rsidRPr="00AC5210">
        <w:rPr>
          <w:rStyle w:val="FootnoteReference"/>
          <w:sz w:val="24"/>
          <w:lang w:val="pt-PT"/>
        </w:rPr>
        <w:footnoteRef/>
      </w:r>
      <w:r w:rsidR="00AC5210" w:rsidRPr="00BA7CF0">
        <w:rPr>
          <w:sz w:val="24"/>
          <w:lang w:val="fi-FI"/>
        </w:rPr>
        <w:t xml:space="preserve"> </w:t>
      </w:r>
      <w:r w:rsidR="00AC5210" w:rsidRPr="00BA7CF0">
        <w:rPr>
          <w:sz w:val="24"/>
          <w:lang w:val="fi-FI"/>
        </w:rPr>
        <w:tab/>
      </w:r>
      <w:r w:rsidRPr="00BA7CF0">
        <w:rPr>
          <w:sz w:val="24"/>
          <w:lang w:val="fi-FI"/>
        </w:rPr>
        <w:t xml:space="preserve">JO L, 2026/894, 22.4.2026, ELI: </w:t>
      </w:r>
      <w:hyperlink r:id="rId3" w:history="1">
        <w:r w:rsidRPr="00BA7CF0">
          <w:rPr>
            <w:rStyle w:val="Hyperlink"/>
            <w:sz w:val="24"/>
            <w:lang w:val="fi-FI"/>
          </w:rPr>
          <w:t>http://data.europa.eu/eli/dec/2026/894/oj</w:t>
        </w:r>
      </w:hyperlink>
      <w:r w:rsidRPr="00BA7CF0">
        <w:rPr>
          <w:sz w:val="24"/>
          <w:lang w:val="fi-FI"/>
        </w:rPr>
        <w:t>.</w:t>
      </w:r>
    </w:p>
  </w:footnote>
  <w:footnote w:id="4">
    <w:p w14:paraId="5509510F" w14:textId="533FFC6B" w:rsidR="00A96CE4" w:rsidRPr="00BA7CF0" w:rsidRDefault="00A96CE4" w:rsidP="00AC5210">
      <w:pPr>
        <w:pStyle w:val="FootnoteText"/>
        <w:ind w:left="567" w:hanging="567"/>
        <w:rPr>
          <w:sz w:val="24"/>
          <w:lang w:val="fi-FI"/>
        </w:rPr>
      </w:pPr>
      <w:r w:rsidRPr="00AC5210">
        <w:rPr>
          <w:rStyle w:val="FootnoteReference"/>
          <w:sz w:val="24"/>
          <w:lang w:val="pt-PT"/>
        </w:rPr>
        <w:footnoteRef/>
      </w:r>
      <w:r w:rsidR="00AC5210" w:rsidRPr="00BA7CF0">
        <w:rPr>
          <w:sz w:val="24"/>
          <w:lang w:val="fi-FI"/>
        </w:rPr>
        <w:t xml:space="preserve"> </w:t>
      </w:r>
      <w:r w:rsidR="00AC5210" w:rsidRPr="00BA7CF0">
        <w:rPr>
          <w:sz w:val="24"/>
          <w:lang w:val="fi-FI"/>
        </w:rPr>
        <w:tab/>
      </w:r>
      <w:r w:rsidRPr="00BA7CF0">
        <w:rPr>
          <w:sz w:val="24"/>
          <w:lang w:val="fi-FI"/>
        </w:rPr>
        <w:t xml:space="preserve">JO L, 2024/2010, 23.7.2024, ELI: </w:t>
      </w:r>
      <w:hyperlink r:id="rId4" w:history="1">
        <w:r w:rsidRPr="00BA7CF0">
          <w:rPr>
            <w:rStyle w:val="Hyperlink"/>
            <w:sz w:val="24"/>
            <w:lang w:val="fi-FI"/>
          </w:rPr>
          <w:t>http://data.europa.eu/eli/dec/2024/2010/oj</w:t>
        </w:r>
      </w:hyperlink>
      <w:r w:rsidRPr="00BA7CF0">
        <w:rPr>
          <w:sz w:val="24"/>
          <w:lang w:val="fi-FI"/>
        </w:rPr>
        <w:t>.</w:t>
      </w:r>
    </w:p>
  </w:footnote>
  <w:footnote w:id="5">
    <w:p w14:paraId="61779BF1" w14:textId="603562DA" w:rsidR="00A96CE4" w:rsidRPr="00AC5210" w:rsidRDefault="00A96CE4" w:rsidP="00AC5210">
      <w:pPr>
        <w:pStyle w:val="FootnoteText"/>
        <w:ind w:left="567" w:hanging="567"/>
        <w:rPr>
          <w:sz w:val="24"/>
          <w:lang w:val="pt-PT"/>
        </w:rPr>
      </w:pPr>
      <w:r w:rsidRPr="00AC5210">
        <w:rPr>
          <w:rStyle w:val="FootnoteReference"/>
          <w:sz w:val="24"/>
          <w:lang w:val="pt-PT"/>
        </w:rPr>
        <w:footnoteRef/>
      </w:r>
      <w:r w:rsidR="00AC5210" w:rsidRPr="00AC5210">
        <w:rPr>
          <w:sz w:val="24"/>
          <w:lang w:val="pt-PT"/>
        </w:rPr>
        <w:t xml:space="preserve"> </w:t>
      </w:r>
      <w:r w:rsidR="00AC5210" w:rsidRPr="00AC5210">
        <w:rPr>
          <w:sz w:val="24"/>
          <w:lang w:val="pt-PT"/>
        </w:rPr>
        <w:tab/>
      </w:r>
      <w:r w:rsidRPr="00AC5210">
        <w:rPr>
          <w:sz w:val="24"/>
          <w:lang w:val="pt-PT"/>
        </w:rPr>
        <w:t xml:space="preserve">Acordo entre a União Europeia e a República da Arménia que estabelece um quadro para a participação da República da Arménia em operações da União Europeia no domínio da gestão de crises (JO L, 2025/1553, 31.7.2025, ELI: </w:t>
      </w:r>
      <w:hyperlink r:id="rId5" w:history="1">
        <w:r w:rsidRPr="00AC5210">
          <w:rPr>
            <w:rStyle w:val="Hyperlink"/>
            <w:sz w:val="24"/>
            <w:lang w:val="pt-PT"/>
          </w:rPr>
          <w:t>http://data.europa.eu/eli/agree_internation/2025/1553/oj</w:t>
        </w:r>
      </w:hyperlink>
      <w:r w:rsidRPr="00AC5210">
        <w:rPr>
          <w:sz w:val="24"/>
          <w:lang w:val="pt-PT"/>
        </w:rPr>
        <w:t>).</w:t>
      </w:r>
    </w:p>
  </w:footnote>
  <w:footnote w:id="6">
    <w:p w14:paraId="44A6512E" w14:textId="4F769879" w:rsidR="00A96CE4" w:rsidRPr="00AC5210" w:rsidRDefault="00A96CE4" w:rsidP="00AC5210">
      <w:pPr>
        <w:pStyle w:val="FootnoteText"/>
        <w:ind w:left="567" w:hanging="567"/>
        <w:rPr>
          <w:sz w:val="24"/>
          <w:lang w:val="pt-PT"/>
        </w:rPr>
      </w:pPr>
      <w:r w:rsidRPr="00AC5210">
        <w:rPr>
          <w:rStyle w:val="FootnoteReference"/>
          <w:sz w:val="24"/>
          <w:lang w:val="pt-PT"/>
        </w:rPr>
        <w:footnoteRef/>
      </w:r>
      <w:r w:rsidR="00AC5210" w:rsidRPr="00AC5210">
        <w:rPr>
          <w:sz w:val="24"/>
          <w:lang w:val="pt-PT"/>
        </w:rPr>
        <w:t xml:space="preserve"> </w:t>
      </w:r>
      <w:r w:rsidR="00AC5210" w:rsidRPr="00AC5210">
        <w:rPr>
          <w:sz w:val="24"/>
          <w:lang w:val="pt-PT"/>
        </w:rPr>
        <w:tab/>
      </w:r>
      <w:r w:rsidRPr="00AC5210">
        <w:rPr>
          <w:sz w:val="24"/>
          <w:lang w:val="pt-PT"/>
        </w:rPr>
        <w:t>JO C 328 de 6.9.2016, p.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4F5E8" w14:textId="77777777" w:rsidR="00064002" w:rsidRPr="00AC52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5908" w14:textId="77777777" w:rsidR="00064002" w:rsidRPr="00AC52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DC952" w14:textId="77777777" w:rsidR="00064002" w:rsidRPr="00AC52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1948001">
    <w:abstractNumId w:val="9"/>
  </w:num>
  <w:num w:numId="2" w16cid:durableId="564338241">
    <w:abstractNumId w:val="9"/>
  </w:num>
  <w:num w:numId="3" w16cid:durableId="1240678100">
    <w:abstractNumId w:val="7"/>
  </w:num>
  <w:num w:numId="4" w16cid:durableId="740130678">
    <w:abstractNumId w:val="7"/>
  </w:num>
  <w:num w:numId="5" w16cid:durableId="1897008157">
    <w:abstractNumId w:val="6"/>
  </w:num>
  <w:num w:numId="6" w16cid:durableId="332684462">
    <w:abstractNumId w:val="6"/>
  </w:num>
  <w:num w:numId="7" w16cid:durableId="2142724983">
    <w:abstractNumId w:val="5"/>
  </w:num>
  <w:num w:numId="8" w16cid:durableId="328414336">
    <w:abstractNumId w:val="5"/>
  </w:num>
  <w:num w:numId="9" w16cid:durableId="518391948">
    <w:abstractNumId w:val="4"/>
  </w:num>
  <w:num w:numId="10" w16cid:durableId="80227129">
    <w:abstractNumId w:val="4"/>
  </w:num>
  <w:num w:numId="11" w16cid:durableId="1674604384">
    <w:abstractNumId w:val="8"/>
  </w:num>
  <w:num w:numId="12" w16cid:durableId="1976374504">
    <w:abstractNumId w:val="8"/>
  </w:num>
  <w:num w:numId="13" w16cid:durableId="295572640">
    <w:abstractNumId w:val="3"/>
  </w:num>
  <w:num w:numId="14" w16cid:durableId="1864899096">
    <w:abstractNumId w:val="3"/>
  </w:num>
  <w:num w:numId="15" w16cid:durableId="1093818655">
    <w:abstractNumId w:val="2"/>
  </w:num>
  <w:num w:numId="16" w16cid:durableId="1379011834">
    <w:abstractNumId w:val="2"/>
  </w:num>
  <w:num w:numId="17" w16cid:durableId="273246792">
    <w:abstractNumId w:val="1"/>
  </w:num>
  <w:num w:numId="18" w16cid:durableId="1841308075">
    <w:abstractNumId w:val="1"/>
  </w:num>
  <w:num w:numId="19" w16cid:durableId="148520283">
    <w:abstractNumId w:val="0"/>
  </w:num>
  <w:num w:numId="20" w16cid:durableId="1599827600">
    <w:abstractNumId w:val="0"/>
  </w:num>
  <w:num w:numId="21" w16cid:durableId="617875649">
    <w:abstractNumId w:val="9"/>
  </w:num>
  <w:num w:numId="22" w16cid:durableId="1929270399">
    <w:abstractNumId w:val="7"/>
  </w:num>
  <w:num w:numId="23" w16cid:durableId="1135021378">
    <w:abstractNumId w:val="6"/>
  </w:num>
  <w:num w:numId="24" w16cid:durableId="1477995428">
    <w:abstractNumId w:val="5"/>
  </w:num>
  <w:num w:numId="25" w16cid:durableId="76563884">
    <w:abstractNumId w:val="4"/>
  </w:num>
  <w:num w:numId="26" w16cid:durableId="1170218597">
    <w:abstractNumId w:val="8"/>
  </w:num>
  <w:num w:numId="27" w16cid:durableId="2048216265">
    <w:abstractNumId w:val="3"/>
  </w:num>
  <w:num w:numId="28" w16cid:durableId="751125438">
    <w:abstractNumId w:val="2"/>
  </w:num>
  <w:num w:numId="29" w16cid:durableId="1000740975">
    <w:abstractNumId w:val="1"/>
  </w:num>
  <w:num w:numId="30" w16cid:durableId="127360359">
    <w:abstractNumId w:val="0"/>
  </w:num>
  <w:num w:numId="31" w16cid:durableId="322439992">
    <w:abstractNumId w:val="9"/>
  </w:num>
  <w:num w:numId="32" w16cid:durableId="818960210">
    <w:abstractNumId w:val="7"/>
  </w:num>
  <w:num w:numId="33" w16cid:durableId="1335916941">
    <w:abstractNumId w:val="6"/>
  </w:num>
  <w:num w:numId="34" w16cid:durableId="835151220">
    <w:abstractNumId w:val="5"/>
  </w:num>
  <w:num w:numId="35" w16cid:durableId="599068821">
    <w:abstractNumId w:val="4"/>
  </w:num>
  <w:num w:numId="36" w16cid:durableId="1866821926">
    <w:abstractNumId w:val="8"/>
  </w:num>
  <w:num w:numId="37" w16cid:durableId="52429867">
    <w:abstractNumId w:val="3"/>
  </w:num>
  <w:num w:numId="38" w16cid:durableId="1041171247">
    <w:abstractNumId w:val="2"/>
  </w:num>
  <w:num w:numId="39" w16cid:durableId="885675827">
    <w:abstractNumId w:val="1"/>
  </w:num>
  <w:num w:numId="40" w16cid:durableId="1773892490">
    <w:abstractNumId w:val="0"/>
  </w:num>
  <w:num w:numId="41" w16cid:durableId="1878620162">
    <w:abstractNumId w:val="10"/>
  </w:num>
  <w:num w:numId="42" w16cid:durableId="266239212">
    <w:abstractNumId w:val="10"/>
  </w:num>
  <w:num w:numId="43" w16cid:durableId="155654266">
    <w:abstractNumId w:val="10"/>
  </w:num>
  <w:num w:numId="44" w16cid:durableId="14868977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95. 0196, 0198, 0199 e 0200/2026"/>
    <w:docVar w:name="dvlangue" w:val="PT"/>
    <w:docVar w:name="dvnumam" w:val="0"/>
    <w:docVar w:name="dvpe" w:val="783.229"/>
    <w:docVar w:name="dvtitre" w:val="Resolução do Parlamento Europeu, de ... de ... de 2026,_x000d__x000a_ sobre o apoio à resistência democrática na Arménia(2026/2701(RSP))"/>
  </w:docVars>
  <w:rsids>
    <w:rsidRoot w:val="00BD07E9"/>
    <w:rsid w:val="00002272"/>
    <w:rsid w:val="00064002"/>
    <w:rsid w:val="000677B9"/>
    <w:rsid w:val="000831BA"/>
    <w:rsid w:val="000A42CC"/>
    <w:rsid w:val="000E7DD9"/>
    <w:rsid w:val="0010095E"/>
    <w:rsid w:val="001222A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788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F28"/>
    <w:rsid w:val="00981893"/>
    <w:rsid w:val="00A1687D"/>
    <w:rsid w:val="00A43E52"/>
    <w:rsid w:val="00A4678D"/>
    <w:rsid w:val="00A778C7"/>
    <w:rsid w:val="00A96CE4"/>
    <w:rsid w:val="00AB441E"/>
    <w:rsid w:val="00AB6293"/>
    <w:rsid w:val="00AC5210"/>
    <w:rsid w:val="00AE0928"/>
    <w:rsid w:val="00AF3B82"/>
    <w:rsid w:val="00B12E95"/>
    <w:rsid w:val="00B22876"/>
    <w:rsid w:val="00B558F0"/>
    <w:rsid w:val="00BA7CF0"/>
    <w:rsid w:val="00BD07E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BF889"/>
  <w15:chartTrackingRefBased/>
  <w15:docId w15:val="{74602792-73B7-4D36-9063-F44B519E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96CE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96CE4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96CE4"/>
    <w:rPr>
      <w:sz w:val="24"/>
      <w:lang w:val="pt-PT"/>
    </w:rPr>
  </w:style>
  <w:style w:type="character" w:styleId="Hyperlink">
    <w:name w:val="Hyperlink"/>
    <w:basedOn w:val="DefaultParagraphFont"/>
    <w:rsid w:val="00A96CE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27886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6/894/oj" TargetMode="External"/><Relationship Id="rId2" Type="http://schemas.openxmlformats.org/officeDocument/2006/relationships/hyperlink" Target="http://data.europa.eu/eli/dec/2025/211/oj" TargetMode="External"/><Relationship Id="rId1" Type="http://schemas.openxmlformats.org/officeDocument/2006/relationships/hyperlink" Target="http://data.europa.eu/eli/agree_internation/2018/104/oj" TargetMode="External"/><Relationship Id="rId5" Type="http://schemas.openxmlformats.org/officeDocument/2006/relationships/hyperlink" Target="http://data.europa.eu/eli/agree_internation/2025/1553/oj" TargetMode="External"/><Relationship Id="rId4" Type="http://schemas.openxmlformats.org/officeDocument/2006/relationships/hyperlink" Target="http://data.europa.eu/eli/dec/2024/201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2747</Words>
  <Characters>14881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Teresa_RELEC</dc:creator>
  <cp:keywords/>
  <cp:lastModifiedBy>SEMEDO Teresa_RELEC</cp:lastModifiedBy>
  <cp:revision>2</cp:revision>
  <cp:lastPrinted>2004-11-19T15:42:00Z</cp:lastPrinted>
  <dcterms:created xsi:type="dcterms:W3CDTF">2026-04-30T10:44:00Z</dcterms:created>
  <dcterms:modified xsi:type="dcterms:W3CDTF">2026-04-30T10:44:00Z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B10-0195. 0196, 0198, 0199 e 0200/2026</vt:lpwstr>
  </property>
  <property fmtid="{D5CDD505-2E9C-101B-9397-08002B2CF9AE}" pid="4" name="&lt;Type&gt;">
    <vt:lpwstr>RR</vt:lpwstr>
  </property>
</Properties>
</file>