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5745" w14:paraId="00532A2C" w14:textId="77777777" w:rsidTr="0010095E">
        <w:trPr>
          <w:trHeight w:hRule="exact" w:val="1418"/>
        </w:trPr>
        <w:tc>
          <w:tcPr>
            <w:tcW w:w="6804" w:type="dxa"/>
            <w:shd w:val="clear" w:color="auto" w:fill="auto"/>
            <w:vAlign w:val="center"/>
          </w:tcPr>
          <w:p w14:paraId="6720EA6A" w14:textId="77777777" w:rsidR="00751A4A" w:rsidRPr="00565745" w:rsidRDefault="00831B56" w:rsidP="0010095E">
            <w:pPr>
              <w:pStyle w:val="EPName"/>
            </w:pPr>
            <w:r w:rsidRPr="00565745">
              <w:t>Parlamentul European</w:t>
            </w:r>
          </w:p>
          <w:p w14:paraId="74CDDC51" w14:textId="77777777" w:rsidR="00751A4A" w:rsidRPr="00565745" w:rsidRDefault="005F1B17" w:rsidP="005F1B17">
            <w:pPr>
              <w:pStyle w:val="EPTerm"/>
              <w:rPr>
                <w:rStyle w:val="HideTWBExt"/>
                <w:noProof w:val="0"/>
                <w:vanish w:val="0"/>
                <w:color w:val="auto"/>
              </w:rPr>
            </w:pPr>
            <w:r w:rsidRPr="00565745">
              <w:t>2024</w:t>
            </w:r>
            <w:r w:rsidR="00817416" w:rsidRPr="00565745">
              <w:t>-202</w:t>
            </w:r>
            <w:r w:rsidRPr="00565745">
              <w:t>9</w:t>
            </w:r>
          </w:p>
        </w:tc>
        <w:tc>
          <w:tcPr>
            <w:tcW w:w="2268" w:type="dxa"/>
            <w:shd w:val="clear" w:color="auto" w:fill="auto"/>
          </w:tcPr>
          <w:p w14:paraId="1889FA47" w14:textId="77777777" w:rsidR="00751A4A" w:rsidRPr="00565745" w:rsidRDefault="00187494" w:rsidP="0010095E">
            <w:pPr>
              <w:pStyle w:val="EPLogo"/>
            </w:pPr>
            <w:r w:rsidRPr="00565745">
              <w:rPr>
                <w:noProof/>
                <w:lang w:eastAsia="ja-JP"/>
              </w:rPr>
              <w:drawing>
                <wp:inline distT="0" distB="0" distL="0" distR="0" wp14:anchorId="7E761231" wp14:editId="12A4D7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858C31" w14:textId="77777777" w:rsidR="00D058B8" w:rsidRPr="00565745" w:rsidRDefault="00D058B8" w:rsidP="004C5D52">
      <w:pPr>
        <w:pStyle w:val="LineTop"/>
      </w:pPr>
    </w:p>
    <w:p w14:paraId="4B5FDBBD" w14:textId="77777777" w:rsidR="00680577" w:rsidRPr="00565745" w:rsidRDefault="00831B56" w:rsidP="00680577">
      <w:pPr>
        <w:pStyle w:val="EPBodyTA1"/>
      </w:pPr>
      <w:r w:rsidRPr="00565745">
        <w:t>TEXTE ADOPTATE</w:t>
      </w:r>
    </w:p>
    <w:p w14:paraId="377DC2C0" w14:textId="77777777" w:rsidR="00D058B8" w:rsidRPr="00565745" w:rsidRDefault="00D058B8" w:rsidP="00D058B8">
      <w:pPr>
        <w:pStyle w:val="LineBottom"/>
      </w:pPr>
    </w:p>
    <w:p w14:paraId="6EA50AAD" w14:textId="68CCCF8B" w:rsidR="00831B56" w:rsidRPr="00565745" w:rsidRDefault="00831B56" w:rsidP="00831B56">
      <w:pPr>
        <w:pStyle w:val="ATHeading1"/>
      </w:pPr>
      <w:bookmarkStart w:id="0" w:name="TANumber"/>
      <w:r w:rsidRPr="00565745">
        <w:t>P10_TA(2026)0</w:t>
      </w:r>
      <w:bookmarkEnd w:id="0"/>
      <w:r w:rsidR="00565745" w:rsidRPr="00565745">
        <w:t>162</w:t>
      </w:r>
    </w:p>
    <w:p w14:paraId="4C978143" w14:textId="77777777" w:rsidR="00831B56" w:rsidRPr="00565745" w:rsidRDefault="00831B56" w:rsidP="00831B56">
      <w:pPr>
        <w:pStyle w:val="ATHeading2"/>
      </w:pPr>
      <w:bookmarkStart w:id="1" w:name="title"/>
      <w:r w:rsidRPr="00565745">
        <w:t>Sprijinirea rezilienței democratice în Armenia</w:t>
      </w:r>
      <w:bookmarkEnd w:id="1"/>
    </w:p>
    <w:p w14:paraId="6B46CF43" w14:textId="6A800960" w:rsidR="00831B56" w:rsidRPr="00565745" w:rsidRDefault="00831B56" w:rsidP="00831B56">
      <w:pPr>
        <w:rPr>
          <w:i/>
          <w:vanish/>
        </w:rPr>
      </w:pPr>
      <w:r w:rsidRPr="00565745">
        <w:rPr>
          <w:i/>
        </w:rPr>
        <w:fldChar w:fldCharType="begin"/>
      </w:r>
      <w:r w:rsidRPr="00565745">
        <w:rPr>
          <w:i/>
        </w:rPr>
        <w:instrText xml:space="preserve"> TC"(</w:instrText>
      </w:r>
      <w:bookmarkStart w:id="2" w:name="DocNumber"/>
      <w:r w:rsidRPr="00565745">
        <w:rPr>
          <w:i/>
        </w:rPr>
        <w:instrText>B10-0195</w:instrText>
      </w:r>
      <w:r w:rsidR="0098468C" w:rsidRPr="00565745">
        <w:rPr>
          <w:i/>
        </w:rPr>
        <w:instrText>, 0196, 0198, 0199 și 0200</w:instrText>
      </w:r>
      <w:r w:rsidRPr="00565745">
        <w:rPr>
          <w:i/>
        </w:rPr>
        <w:instrText>/2026</w:instrText>
      </w:r>
      <w:bookmarkEnd w:id="2"/>
      <w:r w:rsidRPr="00565745">
        <w:rPr>
          <w:i/>
        </w:rPr>
        <w:instrText xml:space="preserve">)"\l3 \n&gt; \* MERGEFORMAT </w:instrText>
      </w:r>
      <w:r w:rsidRPr="00565745">
        <w:rPr>
          <w:i/>
        </w:rPr>
        <w:fldChar w:fldCharType="end"/>
      </w:r>
    </w:p>
    <w:p w14:paraId="168A3B13" w14:textId="77777777" w:rsidR="00831B56" w:rsidRPr="00565745" w:rsidRDefault="00831B56" w:rsidP="00831B56">
      <w:pPr>
        <w:rPr>
          <w:vanish/>
        </w:rPr>
      </w:pPr>
      <w:bookmarkStart w:id="3" w:name="PE"/>
      <w:r w:rsidRPr="00565745">
        <w:rPr>
          <w:vanish/>
        </w:rPr>
        <w:t>PE783.229</w:t>
      </w:r>
      <w:bookmarkEnd w:id="3"/>
    </w:p>
    <w:p w14:paraId="5008F396" w14:textId="77777777" w:rsidR="00831B56" w:rsidRPr="00565745" w:rsidRDefault="00831B56" w:rsidP="00831B56">
      <w:pPr>
        <w:pStyle w:val="ATHeading3"/>
      </w:pPr>
      <w:bookmarkStart w:id="4" w:name="Sujet"/>
      <w:r w:rsidRPr="00565745">
        <w:t>Rezoluția Parlamentului European din 30 aprilie 2026 referitoare la sprijinirea rezilienței democratice în Armenia</w:t>
      </w:r>
      <w:bookmarkEnd w:id="4"/>
      <w:r w:rsidRPr="00565745">
        <w:t xml:space="preserve"> </w:t>
      </w:r>
      <w:bookmarkStart w:id="5" w:name="References"/>
      <w:r w:rsidRPr="00565745">
        <w:t>(2026/2701(RSP))</w:t>
      </w:r>
      <w:bookmarkEnd w:id="5"/>
    </w:p>
    <w:p w14:paraId="380B62A9" w14:textId="77777777" w:rsidR="00E24D55" w:rsidRPr="00565745" w:rsidRDefault="00E24D55" w:rsidP="00E24D55">
      <w:pPr>
        <w:pStyle w:val="EPComma"/>
      </w:pPr>
      <w:bookmarkStart w:id="6" w:name="TextBodyBegin"/>
      <w:bookmarkEnd w:id="6"/>
      <w:r w:rsidRPr="00565745">
        <w:rPr>
          <w:i/>
          <w:iCs/>
        </w:rPr>
        <w:t>Parlamentul European</w:t>
      </w:r>
      <w:r w:rsidRPr="00565745">
        <w:t>,</w:t>
      </w:r>
    </w:p>
    <w:p w14:paraId="27D4C609" w14:textId="77777777" w:rsidR="00E24D55" w:rsidRPr="00565745" w:rsidRDefault="00E24D55" w:rsidP="00E24D55">
      <w:pPr>
        <w:pStyle w:val="NormalHanging12a"/>
      </w:pPr>
      <w:r w:rsidRPr="00565745">
        <w:rPr>
          <w:color w:val="000000"/>
        </w:rPr>
        <w:t>–</w:t>
      </w:r>
      <w:r w:rsidRPr="00565745">
        <w:tab/>
        <w:t>având în vedere rezoluțiile sale anterioare referitoare la Armenia,</w:t>
      </w:r>
    </w:p>
    <w:p w14:paraId="28BE1C8A" w14:textId="77777777" w:rsidR="00E24D55" w:rsidRPr="00565745" w:rsidRDefault="00E24D55" w:rsidP="00E24D55">
      <w:pPr>
        <w:pStyle w:val="NormalHanging12a"/>
      </w:pPr>
      <w:r w:rsidRPr="00565745">
        <w:t>–</w:t>
      </w:r>
      <w:r w:rsidRPr="00565745">
        <w:tab/>
        <w:t>având în vedere Acordul de parteneriat cuprinzător și consolidat dintre Uniunea Europeană și Comunitatea Europeană a Energiei Atomice și statele membre ale acestora, pe de o parte, și Republica Armenia, pe de altă parte</w:t>
      </w:r>
      <w:r w:rsidRPr="00565745">
        <w:rPr>
          <w:rStyle w:val="FootnoteReference"/>
        </w:rPr>
        <w:footnoteReference w:id="1"/>
      </w:r>
      <w:r w:rsidRPr="00565745">
        <w:t>,</w:t>
      </w:r>
    </w:p>
    <w:p w14:paraId="2059A8BC" w14:textId="77777777" w:rsidR="00E24D55" w:rsidRPr="00565745" w:rsidRDefault="00E24D55" w:rsidP="00E24D55">
      <w:pPr>
        <w:pStyle w:val="NormalHanging12a"/>
      </w:pPr>
      <w:r w:rsidRPr="00565745">
        <w:t>–</w:t>
      </w:r>
      <w:r w:rsidRPr="00565745">
        <w:tab/>
        <w:t>având în vedere legea adoptată de Adunarea Națională a Armeniei la 26 martie 2025 de lansare a procesului de aderare a Armeniei la Uniunea Europeană,</w:t>
      </w:r>
    </w:p>
    <w:p w14:paraId="2AAAFC88" w14:textId="77777777" w:rsidR="00E24D55" w:rsidRPr="00565745" w:rsidRDefault="00E24D55" w:rsidP="00E24D55">
      <w:pPr>
        <w:pStyle w:val="NormalHanging12a"/>
      </w:pPr>
      <w:r w:rsidRPr="00565745">
        <w:t>–</w:t>
      </w:r>
      <w:r w:rsidRPr="00565745">
        <w:tab/>
        <w:t xml:space="preserve">având în vedere discursul prim-ministrului, </w:t>
      </w:r>
      <w:proofErr w:type="spellStart"/>
      <w:r w:rsidRPr="00565745">
        <w:t>Nikol</w:t>
      </w:r>
      <w:proofErr w:type="spellEnd"/>
      <w:r w:rsidRPr="00565745">
        <w:t xml:space="preserve"> </w:t>
      </w:r>
      <w:proofErr w:type="spellStart"/>
      <w:r w:rsidRPr="00565745">
        <w:t>Pașinian</w:t>
      </w:r>
      <w:proofErr w:type="spellEnd"/>
      <w:r w:rsidRPr="00565745">
        <w:t>, adresat Parlamentului European în Strasbourg la 11 martie 2026,</w:t>
      </w:r>
    </w:p>
    <w:p w14:paraId="7CA6A4C6" w14:textId="77777777" w:rsidR="00E24D55" w:rsidRPr="00565745" w:rsidRDefault="00E24D55" w:rsidP="00E24D55">
      <w:pPr>
        <w:pStyle w:val="NormalHanging12a"/>
      </w:pPr>
      <w:r w:rsidRPr="00565745">
        <w:t>–</w:t>
      </w:r>
      <w:r w:rsidRPr="00565745">
        <w:tab/>
        <w:t>având în vedere declarația de presă comună din 3 decembrie 2025 în urma celei de-a șasea reuniuni a Consiliului de parteneriat UE-Armenia,</w:t>
      </w:r>
    </w:p>
    <w:p w14:paraId="200C490D" w14:textId="77777777" w:rsidR="00E24D55" w:rsidRPr="00565745" w:rsidRDefault="00E24D55" w:rsidP="00E24D55">
      <w:pPr>
        <w:pStyle w:val="NormalHanging12a"/>
      </w:pPr>
      <w:r w:rsidRPr="00565745">
        <w:t>–</w:t>
      </w:r>
      <w:r w:rsidRPr="00565745">
        <w:tab/>
        <w:t>având în vedere adoptarea agendei strategice pentru parteneriatul Armenia-UE,</w:t>
      </w:r>
    </w:p>
    <w:p w14:paraId="125B3AC9" w14:textId="77777777" w:rsidR="00E24D55" w:rsidRPr="00565745" w:rsidRDefault="00E24D55" w:rsidP="00E24D55">
      <w:pPr>
        <w:pStyle w:val="NormalHanging12a"/>
      </w:pPr>
      <w:r w:rsidRPr="00565745">
        <w:t>–</w:t>
      </w:r>
      <w:r w:rsidRPr="00565745">
        <w:tab/>
        <w:t>având în vedere planul de reziliență și creștere UE-Armenia și angajamentele de investiții ale UE în cadrul strategiei „Global Gateway”,</w:t>
      </w:r>
    </w:p>
    <w:p w14:paraId="50EAFA4C" w14:textId="77777777" w:rsidR="00E24D55" w:rsidRPr="00565745" w:rsidRDefault="00E24D55" w:rsidP="00E24D55">
      <w:pPr>
        <w:pStyle w:val="NormalHanging12a"/>
      </w:pPr>
      <w:r w:rsidRPr="00565745">
        <w:t>–</w:t>
      </w:r>
      <w:r w:rsidRPr="00565745">
        <w:tab/>
        <w:t>având în vedere concluziile dialogului politic și de securitate la nivel înalt UE-Armenia din 3 februarie 2026,</w:t>
      </w:r>
    </w:p>
    <w:p w14:paraId="6191282C" w14:textId="77777777" w:rsidR="00E24D55" w:rsidRPr="00565745" w:rsidRDefault="00E24D55" w:rsidP="00E24D55">
      <w:pPr>
        <w:pStyle w:val="NormalHanging12a"/>
      </w:pPr>
      <w:r w:rsidRPr="00565745">
        <w:t>–</w:t>
      </w:r>
      <w:r w:rsidRPr="00565745">
        <w:tab/>
        <w:t>având în vedere Decizia (PESC) 2025/211 a Consiliului din 30 ianuarie 2025</w:t>
      </w:r>
      <w:r w:rsidRPr="00565745">
        <w:rPr>
          <w:rStyle w:val="FootnoteReference"/>
        </w:rPr>
        <w:footnoteReference w:id="2"/>
      </w:r>
      <w:r w:rsidRPr="00565745">
        <w:t>, care prelungește mandatul Misiunii Uniunii Europene pentru drepturile omului (EUMA) cu doi ani,</w:t>
      </w:r>
    </w:p>
    <w:p w14:paraId="18BF15C6" w14:textId="77777777" w:rsidR="00E24D55" w:rsidRPr="00565745" w:rsidRDefault="00E24D55" w:rsidP="00E24D55">
      <w:pPr>
        <w:pStyle w:val="NormalHanging12a"/>
      </w:pPr>
      <w:r w:rsidRPr="00565745">
        <w:lastRenderedPageBreak/>
        <w:t>–</w:t>
      </w:r>
      <w:r w:rsidRPr="00565745">
        <w:tab/>
        <w:t>având în vedere Decizia (PESC) 2026/894 a Consiliului din 21 aprilie 2026</w:t>
      </w:r>
      <w:r w:rsidRPr="00565745">
        <w:rPr>
          <w:rStyle w:val="FootnoteReference"/>
        </w:rPr>
        <w:footnoteReference w:id="3"/>
      </w:r>
      <w:r w:rsidRPr="00565745">
        <w:t>, care instituie Misiunea de parteneriat a UE în Armenia (EUPM Armenia) în cadrul politicii de securitate și apărare comune (PSAC),</w:t>
      </w:r>
    </w:p>
    <w:p w14:paraId="75B31515" w14:textId="77777777" w:rsidR="00E24D55" w:rsidRPr="00565745" w:rsidRDefault="00E24D55" w:rsidP="00E24D55">
      <w:pPr>
        <w:pStyle w:val="NormalHanging12a"/>
      </w:pPr>
      <w:r w:rsidRPr="00565745">
        <w:t>–</w:t>
      </w:r>
      <w:r w:rsidRPr="00565745">
        <w:tab/>
        <w:t>având în vedere Decizia (PESC) 2024/2010 a Consiliului din 22 iulie 2024</w:t>
      </w:r>
      <w:r w:rsidRPr="00565745">
        <w:rPr>
          <w:rStyle w:val="FootnoteReference"/>
        </w:rPr>
        <w:footnoteReference w:id="4"/>
      </w:r>
      <w:r w:rsidRPr="00565745">
        <w:t>, care adoptă prima măsură de asistență din cadrul Instrumentului european pentru pace în sprijinul forțelor armate armene,</w:t>
      </w:r>
    </w:p>
    <w:p w14:paraId="723CC3C2" w14:textId="77777777" w:rsidR="00E24D55" w:rsidRPr="00565745" w:rsidRDefault="00E24D55" w:rsidP="00E24D55">
      <w:pPr>
        <w:pStyle w:val="NormalHanging12a"/>
      </w:pPr>
      <w:r w:rsidRPr="00565745">
        <w:t>–</w:t>
      </w:r>
      <w:r w:rsidRPr="00565745">
        <w:tab/>
        <w:t>având în vedere ratificarea acordului-cadru de participare la PSAC dintre Uniunea Europeană și Armenia</w:t>
      </w:r>
      <w:r w:rsidRPr="00565745">
        <w:rPr>
          <w:rStyle w:val="FootnoteReference"/>
        </w:rPr>
        <w:footnoteReference w:id="5"/>
      </w:r>
      <w:r w:rsidRPr="00565745">
        <w:t>, salutată în declarația de presă comună din 3 decembrie 2025 în urma celei de a șasea reuniuni a Consiliului de parteneriat UE-Armenia,</w:t>
      </w:r>
    </w:p>
    <w:p w14:paraId="202ED081" w14:textId="77777777" w:rsidR="00E24D55" w:rsidRPr="00565745" w:rsidRDefault="00E24D55" w:rsidP="00E24D55">
      <w:pPr>
        <w:pStyle w:val="NormalHanging12a"/>
      </w:pPr>
      <w:r w:rsidRPr="00565745">
        <w:t>–</w:t>
      </w:r>
      <w:r w:rsidRPr="00565745">
        <w:tab/>
        <w:t xml:space="preserve">având în vedere </w:t>
      </w:r>
      <w:proofErr w:type="spellStart"/>
      <w:r w:rsidRPr="00565745">
        <w:t>summitul</w:t>
      </w:r>
      <w:proofErr w:type="spellEnd"/>
      <w:r w:rsidRPr="00565745">
        <w:t xml:space="preserve"> pentru pace de la Washington din 8 august 2025,</w:t>
      </w:r>
    </w:p>
    <w:p w14:paraId="3F01B569" w14:textId="77777777" w:rsidR="00E24D55" w:rsidRPr="00565745" w:rsidRDefault="00E24D55" w:rsidP="00E24D55">
      <w:pPr>
        <w:pStyle w:val="NormalHanging12a"/>
      </w:pPr>
      <w:r w:rsidRPr="00565745">
        <w:t>–</w:t>
      </w:r>
      <w:r w:rsidRPr="00565745">
        <w:tab/>
        <w:t xml:space="preserve">având în vedere raportul misiunii de evaluare a nevoilor, publicat de Biroul pentru Instituții Democratice și Drepturile Omului (ODIHR) al Organizației pentru Securitate și Cooperare în Europa, privind alegerile parlamentare din Armenia din 7 iunie 2026 și activitatea Consiliului Europei privind standardele electorale, libertatea mass-mediei și integritatea informațiilor, </w:t>
      </w:r>
    </w:p>
    <w:p w14:paraId="3F996119" w14:textId="77777777" w:rsidR="00E24D55" w:rsidRPr="00565745" w:rsidRDefault="00E24D55" w:rsidP="00E24D55">
      <w:pPr>
        <w:pStyle w:val="NormalHanging12a"/>
      </w:pPr>
      <w:r w:rsidRPr="00565745">
        <w:t>–</w:t>
      </w:r>
      <w:r w:rsidRPr="00565745">
        <w:tab/>
        <w:t>având în vedere rezoluția sa din 15 aprilie 2015 referitoare la centenarul Genocidului armean</w:t>
      </w:r>
      <w:r w:rsidRPr="00565745">
        <w:rPr>
          <w:rStyle w:val="FootnoteReference"/>
        </w:rPr>
        <w:footnoteReference w:id="6"/>
      </w:r>
      <w:r w:rsidRPr="00565745">
        <w:t>,</w:t>
      </w:r>
    </w:p>
    <w:p w14:paraId="7A2EE1C2" w14:textId="77777777" w:rsidR="00E24D55" w:rsidRPr="00565745" w:rsidRDefault="00E24D55" w:rsidP="00E24D55">
      <w:pPr>
        <w:pStyle w:val="NormalHanging12a"/>
      </w:pPr>
      <w:r w:rsidRPr="00565745">
        <w:t>–</w:t>
      </w:r>
      <w:r w:rsidRPr="00565745">
        <w:tab/>
        <w:t>având în vedere articolul 136 alineatele (2) și (4) din Regulamentul său de procedură,</w:t>
      </w:r>
    </w:p>
    <w:p w14:paraId="7397BBF8" w14:textId="77777777" w:rsidR="00E24D55" w:rsidRPr="00565745" w:rsidRDefault="00E24D55" w:rsidP="00E24D55">
      <w:pPr>
        <w:pStyle w:val="NormalHanging12a"/>
      </w:pPr>
      <w:r w:rsidRPr="00565745">
        <w:t>A.</w:t>
      </w:r>
      <w:r w:rsidRPr="00565745">
        <w:tab/>
        <w:t>întrucât relațiile UE-Armenia au intrat într-o nouă etapă, marcată de un nivel mai ridicat de angajament politic și de o relație extinsă în materie de securitate; întrucât aceste relații se bazează pe valori comune, printre care se numără democrația, statul de drept și respectarea drepturilor omului și a libertăților fundamentale; întrucât Consiliul de parteneriat UE-Armenia a adoptat o nouă agendă strategică, ca un pas important în consolidarea legăturilor bilaterale, care acoperă democrația, reforma justiției, drepturile omului și o gamă largă de alte domenii, pe baza Acordului de parteneriat cuprinzător și consolidat; întrucât UE și-a reafirmat sprijinul ferm pentru agenda de reforme a Armeniei și pentru eforturile țării de a contracara amenințările hibride, pentru progresele înregistrate în dialogul privind liberalizarea vizelor și pentru planul UE de reziliență și creștere în valoare de 270 de milioane EUR pentru Armenia; întrucât Armenia a întreprins reforme semnificative în ultimii ani; întrucât este în continuare esențial să se aducă îmbunătățiri suplimentare;</w:t>
      </w:r>
    </w:p>
    <w:p w14:paraId="1F1319E6" w14:textId="77777777" w:rsidR="00E24D55" w:rsidRPr="00565745" w:rsidRDefault="00E24D55" w:rsidP="00E24D55">
      <w:pPr>
        <w:pStyle w:val="NormalHanging12a"/>
      </w:pPr>
      <w:r w:rsidRPr="00565745">
        <w:t>B.</w:t>
      </w:r>
      <w:r w:rsidRPr="00565745">
        <w:tab/>
        <w:t>întrucât, la 26 martie 2025, parlamentul Armeniei a adoptat legea privind lansarea procesului de aderare a Armeniei la UE, exprimând astfel aspirația acestei țări de a deveni un stat membru al UE;</w:t>
      </w:r>
    </w:p>
    <w:p w14:paraId="3AD54952" w14:textId="77777777" w:rsidR="00E24D55" w:rsidRPr="00565745" w:rsidRDefault="00E24D55" w:rsidP="00E24D55">
      <w:pPr>
        <w:pStyle w:val="NormalHanging12a"/>
      </w:pPr>
      <w:r w:rsidRPr="00565745">
        <w:t>C.</w:t>
      </w:r>
      <w:r w:rsidRPr="00565745">
        <w:tab/>
        <w:t xml:space="preserve">întrucât noua Agendă strategică, adoptată în decembrie 2025 și bazată pe punerea în </w:t>
      </w:r>
      <w:r w:rsidRPr="00565745">
        <w:lastRenderedPageBreak/>
        <w:t>aplicare integrală a Acordului de parteneriat cuprinzător și consolidat, acoperă o gamă largă de domenii, inclusiv democrația și statul de drept, reforma justiției și drepturile omului; întrucât această decizie privind domeniile demonstrează angajamentul suveran al Armeniei față de principiile democratice și statul de drept, în concordanță cu normele și valorile UE;</w:t>
      </w:r>
    </w:p>
    <w:p w14:paraId="236AB48B" w14:textId="77777777" w:rsidR="00E24D55" w:rsidRPr="00565745" w:rsidRDefault="00E24D55" w:rsidP="00E24D55">
      <w:pPr>
        <w:pStyle w:val="NormalHanging12a"/>
      </w:pPr>
      <w:r w:rsidRPr="00565745">
        <w:t>D.</w:t>
      </w:r>
      <w:r w:rsidRPr="00565745">
        <w:tab/>
        <w:t xml:space="preserve">întrucât cel de al optulea summit al comunității politice europene și primul summit UE-Armenia vor avea loc consecutiv la Erevan, în perioada 4-5 mai 2026, ceea ce reprezintă un semnal istoric de solidaritate europeană cu Armenia; întrucât </w:t>
      </w:r>
      <w:proofErr w:type="spellStart"/>
      <w:r w:rsidRPr="00565745">
        <w:t>summitul</w:t>
      </w:r>
      <w:proofErr w:type="spellEnd"/>
      <w:r w:rsidRPr="00565745">
        <w:t xml:space="preserve"> UE-Armenia, care va reuni Președintele Consiliului European, Președinta Comisiei și Vicepreședinta Comisiei/Înalta Reprezentantă a Uniunii pentru afaceri externe și politica de securitate, urmează să producă rezultate concrete în relațiile bilaterale, cu un accent deosebit pe conectivitatea în domeniul energiei, al transporturilor și al infrastructurii digitale, precum și pe aspectele legate de pace, securitate și prosperitate în Caucazul de Sud;</w:t>
      </w:r>
    </w:p>
    <w:p w14:paraId="4F9D0599" w14:textId="77777777" w:rsidR="00E24D55" w:rsidRPr="00565745" w:rsidRDefault="00E24D55" w:rsidP="00E24D55">
      <w:pPr>
        <w:pStyle w:val="NormalHanging12a"/>
      </w:pPr>
      <w:r w:rsidRPr="00565745">
        <w:t>E.</w:t>
      </w:r>
      <w:r w:rsidRPr="00565745">
        <w:tab/>
        <w:t>întrucât, la 21 aprilie 2026, Consiliul a instituit EUPM Armenia în cadrul PSAC ca o contribuție suplimentară la consolidarea rezilienței democratice a Armeniei și a capacității sale de a gestiona crizele; întrucât misiunea va ajuta Armenia să facă față unor amenințări pe mai multe niveluri, cum ar fi acțiunile străine de manipulare a informațiilor și ingerințele străine (FIMI), atacurile cibernetice și fluxurile financiare ilicite; întrucât înființarea misiunii confirmă faptul că securitatea democratică este în prezent un pilon central al parteneriatului UE-Armenia; întrucât EUPM Armenia va oferi consiliere strategică și consolidarea capacităților instituțiilor Armeniei pentru a le ajuta să răspundă unor astfel de amenințări;</w:t>
      </w:r>
    </w:p>
    <w:p w14:paraId="55EC94E6" w14:textId="77777777" w:rsidR="00E24D55" w:rsidRPr="00565745" w:rsidRDefault="00E24D55" w:rsidP="00E24D55">
      <w:pPr>
        <w:pStyle w:val="NormalHanging12a"/>
        <w:rPr>
          <w:bCs/>
        </w:rPr>
      </w:pPr>
      <w:r w:rsidRPr="00565745">
        <w:t>F.</w:t>
      </w:r>
      <w:r w:rsidRPr="00565745">
        <w:tab/>
        <w:t>întrucât la 7 iunie 2026, Armenia va avea alegeri parlamentare, care sunt importante din punct de vedere strategic nu numai pentru consolidarea democrației interne, ci și pentru sustenabilitatea păcii, a reformelor și pentru o cooperare mai strânsă cu UE; întrucât integritatea alegerilor depinde de existența condițiilor pentru alegeri libere, corecte și competitive, a unor instituții puternice, a unei mass-medii independente și a unor garanții solide împotriva dezinformării, a finanțării ilicite, a cumpărării voturilor și a altor forme de ingerință răuvoitoare; întrucât ODIHR a înregistrat preocupări cu privire la pregătirea comisiilor locale, securitatea cibernetică, campaniile timpurii, utilizarea abuzivă a resurselor administrative, transparența finanțării campaniilor și polarizarea mass-mediei; întrucât ingerințele externe – în special operațiunile hibride sistematice ale Rusiei desfășurate cu ajutorul interpușilor săi, inclusiv campaniile de dezinformare, operațiunile cibernetice, presiunea economică și mobilizarea interpușilor locali – au funcționat din ce în ce mai mult prin amplificatori interni, cum ar fi anumiți actori religioși și rețele oligarhice, reflectând modelele observate în recentele alegeri din Moldova și Georgia;</w:t>
      </w:r>
    </w:p>
    <w:p w14:paraId="70191EFB" w14:textId="77777777" w:rsidR="00E24D55" w:rsidRPr="00565745" w:rsidRDefault="00E24D55" w:rsidP="00E24D55">
      <w:pPr>
        <w:pStyle w:val="NormalHanging12a"/>
        <w:rPr>
          <w:bCs/>
        </w:rPr>
      </w:pPr>
      <w:r w:rsidRPr="00565745">
        <w:t>G.</w:t>
      </w:r>
      <w:r w:rsidRPr="00565745">
        <w:tab/>
        <w:t xml:space="preserve">întrucât, în cursul reuniunii din 1 aprilie 2026, Vladimir Putin a exercitat presiuni asupra prim-ministrului armean </w:t>
      </w:r>
      <w:proofErr w:type="spellStart"/>
      <w:r w:rsidRPr="00565745">
        <w:t>Nikol</w:t>
      </w:r>
      <w:proofErr w:type="spellEnd"/>
      <w:r w:rsidRPr="00565745">
        <w:t xml:space="preserve"> </w:t>
      </w:r>
      <w:proofErr w:type="spellStart"/>
      <w:r w:rsidRPr="00565745">
        <w:t>Pașinian</w:t>
      </w:r>
      <w:proofErr w:type="spellEnd"/>
      <w:r w:rsidRPr="00565745">
        <w:t xml:space="preserve"> pentru ca acesta să-i permită lui </w:t>
      </w:r>
      <w:proofErr w:type="spellStart"/>
      <w:r w:rsidRPr="00565745">
        <w:t>Samvel</w:t>
      </w:r>
      <w:proofErr w:type="spellEnd"/>
      <w:r w:rsidRPr="00565745">
        <w:t xml:space="preserve"> </w:t>
      </w:r>
      <w:proofErr w:type="spellStart"/>
      <w:r w:rsidRPr="00565745">
        <w:t>Karapetian</w:t>
      </w:r>
      <w:proofErr w:type="spellEnd"/>
      <w:r w:rsidRPr="00565745">
        <w:t>, miliardarul ruso-armean aflat în detenție, să participe la viitoarele alegeri din Armenia;</w:t>
      </w:r>
    </w:p>
    <w:p w14:paraId="0EC684D0" w14:textId="77777777" w:rsidR="00E24D55" w:rsidRPr="00565745" w:rsidRDefault="00E24D55" w:rsidP="00E24D55">
      <w:pPr>
        <w:pStyle w:val="NormalHanging12a"/>
        <w:rPr>
          <w:bCs/>
        </w:rPr>
      </w:pPr>
      <w:r w:rsidRPr="00565745">
        <w:t>H.</w:t>
      </w:r>
      <w:r w:rsidRPr="00565745">
        <w:tab/>
        <w:t xml:space="preserve">întrucât EUMA continuă să joace un rol vital în ceea ce privește contribuția la stabilitate, consolidarea încrederii și securitatea persoanelor în zonele afectate de conflicte; întrucât, la 30 ianuarie 2025, Consiliul a prelungit mandatul EUMA cu doi ani; întrucât EUMA joacă un rol esențial de stabilizare de-a lungul frontierei dintre Armenia și Azerbaidjan; întrucât aceasta contribuie, de asemenea, la observarea și </w:t>
      </w:r>
      <w:r w:rsidRPr="00565745">
        <w:lastRenderedPageBreak/>
        <w:t>raportarea situației de pe teren și la sprijinirea consolidării încrederii între Armenia și Azerbaidjan;</w:t>
      </w:r>
    </w:p>
    <w:p w14:paraId="70E1DC54" w14:textId="77777777" w:rsidR="00E24D55" w:rsidRPr="00565745" w:rsidRDefault="00E24D55" w:rsidP="00E24D55">
      <w:pPr>
        <w:pStyle w:val="NormalHanging12a"/>
      </w:pPr>
      <w:r w:rsidRPr="00565745">
        <w:t>I.</w:t>
      </w:r>
      <w:r w:rsidRPr="00565745">
        <w:tab/>
        <w:t xml:space="preserve">întrucât procesul de pace dintre Armenia și Azerbaidjan a căpătat un impuls semnificativ, cu planuri de conectivitate </w:t>
      </w:r>
      <w:proofErr w:type="spellStart"/>
      <w:r w:rsidRPr="00565745">
        <w:t>multimodală</w:t>
      </w:r>
      <w:proofErr w:type="spellEnd"/>
      <w:r w:rsidRPr="00565745">
        <w:t xml:space="preserve"> de tranzit prin teritoriul armean care leagă Azerbaidjanul continental de Republica Autonomă </w:t>
      </w:r>
      <w:proofErr w:type="spellStart"/>
      <w:r w:rsidRPr="00565745">
        <w:t>Nahcivan</w:t>
      </w:r>
      <w:proofErr w:type="spellEnd"/>
      <w:r w:rsidRPr="00565745">
        <w:t>, respectând totodată pe deplin suveranitatea, integritatea teritorială și jurisdicția Armeniei, și reprezintă un instrument-cheie pentru reducerea dependenței economice a Armeniei de Rusia; întrucât UE, prin intermediul Parteneriatului pentru conectivitate UE-Armenia și al inițiativei „</w:t>
      </w:r>
      <w:proofErr w:type="spellStart"/>
      <w:r w:rsidRPr="00565745">
        <w:t>Crossroads</w:t>
      </w:r>
      <w:proofErr w:type="spellEnd"/>
      <w:r w:rsidRPr="00565745">
        <w:t xml:space="preserve"> of </w:t>
      </w:r>
      <w:proofErr w:type="spellStart"/>
      <w:r w:rsidRPr="00565745">
        <w:t>Peace</w:t>
      </w:r>
      <w:proofErr w:type="spellEnd"/>
      <w:r w:rsidRPr="00565745">
        <w:t>”, sprijină pe deplin acest proces;</w:t>
      </w:r>
    </w:p>
    <w:p w14:paraId="23CE6845" w14:textId="77777777" w:rsidR="00E24D55" w:rsidRPr="00565745" w:rsidRDefault="00E24D55" w:rsidP="00E24D55">
      <w:pPr>
        <w:pStyle w:val="NormalHanging12a"/>
      </w:pPr>
      <w:r w:rsidRPr="00565745">
        <w:t>1.</w:t>
      </w:r>
      <w:r w:rsidRPr="00565745">
        <w:tab/>
        <w:t>își afirmă convingerea fermă în angajamentul autorităților armene de a asigura desfășurarea unor alegeri libere, corecte și transparente și își exprimă sprijinul pentru eforturile lor de a proteja instituțiile democratice împotriva ingerințelor externe;</w:t>
      </w:r>
    </w:p>
    <w:p w14:paraId="4082EC51" w14:textId="77777777" w:rsidR="00E24D55" w:rsidRPr="00565745" w:rsidRDefault="00E24D55" w:rsidP="00E24D55">
      <w:pPr>
        <w:pStyle w:val="NormalHanging12a"/>
      </w:pPr>
      <w:r w:rsidRPr="00565745">
        <w:t>2.</w:t>
      </w:r>
      <w:r w:rsidRPr="00565745">
        <w:tab/>
        <w:t>își exprimă sprijinul deplin pentru organizarea de alegeri parlamentare libere, corecte, competitive și pașnice în Armenia în iunie 2026, al căror rezultat trebuie determinat doar de poporul armean; subliniază importanța independenței administrației electorale, a condițiilor egale de campanie pentru toți candidații, a pluralismului mass-mediei și a respectării depline a libertăților fundamentale pe tot parcursul ciclului electoral; solicită garanții solide împotriva dezinformării, a finanțării ilicite, a cumpărării voturilor și a constrângerii, precum și o protecție sporită a infrastructurii electorale, transparența finanțării campaniilor și sprijinirea inițiativelor de verificare a faptelor și a societății civile, inclusiv prin schimbul de informații și mecanisme de alertă timpurie; solicită misiuni internaționale și naționale solide de observare a alegerilor, inclusiv din partea ODIHR, precum și cooperarea deplină cu astfel de misiuni;</w:t>
      </w:r>
    </w:p>
    <w:p w14:paraId="79B0C3AD" w14:textId="77777777" w:rsidR="00E24D55" w:rsidRPr="00565745" w:rsidRDefault="00E24D55" w:rsidP="00E24D55">
      <w:pPr>
        <w:pStyle w:val="NormalHanging12a"/>
      </w:pPr>
      <w:r w:rsidRPr="00565745">
        <w:t>3.</w:t>
      </w:r>
      <w:r w:rsidRPr="00565745">
        <w:tab/>
        <w:t>condamnă cu fermitate acțiunile străine de manipulare a informațiilor și ingerințele străine, campaniile de dezinformare și alte amenințări hibride îndreptate împotriva Armeniei, în special cele care provin din Rusia și din partea aliaților săi, inclusiv prin atacuri cibernetice, finanțare politică ilicită și utilizarea actorilor interni, inclusiv a rețelelor oligarhice, pentru a amplifica astfel de amenințări; subliniază că este vorba de amenințări pe termen lung cu un caracter structural și că sunt necesare eforturi susținute pentru a consolida reziliența democratică dincolo de ciclul electoral; salută, în acest sens, instituirea EUPM Armenia și solicită un sprijin sporit din partea UE prin comunicare strategică, educație în domeniul mass-mediei, consolidarea capacităților în domeniul securității cibernetice și colaborarea structurată cu platformele online; invită autoritățile armene să garanteze respectarea deplină a drepturilor opoziției, a independenței sistemului judiciar și a libertății de exprimare;</w:t>
      </w:r>
    </w:p>
    <w:p w14:paraId="0D4FC567" w14:textId="77777777" w:rsidR="00E24D55" w:rsidRPr="00565745" w:rsidRDefault="00E24D55" w:rsidP="00E24D55">
      <w:pPr>
        <w:pStyle w:val="NormalHanging12a"/>
      </w:pPr>
      <w:r w:rsidRPr="00565745">
        <w:t>4.</w:t>
      </w:r>
      <w:r w:rsidRPr="00565745">
        <w:tab/>
        <w:t>ia act de provocările specifice legate de prezența în Armenia a unei comunități ruse de dimensiuni considerabile, care are resortisanți cu dublă cetățenie, și subliniază necesitatea vigilenței împotriva oricărei tentative de a exploata această situație pentru a influența alegerile;</w:t>
      </w:r>
    </w:p>
    <w:p w14:paraId="4854B624" w14:textId="77777777" w:rsidR="00E24D55" w:rsidRPr="00565745" w:rsidRDefault="00E24D55" w:rsidP="00E24D55">
      <w:pPr>
        <w:pStyle w:val="NormalHanging12a"/>
      </w:pPr>
      <w:r w:rsidRPr="00565745">
        <w:t>5.</w:t>
      </w:r>
      <w:r w:rsidRPr="00565745">
        <w:tab/>
        <w:t>salută dinamica puternică a relațiilor UE-Armenia și angajamentul continuu al Armeniei față de democrație, statul de drept, drepturile omului și reformele politice și economice ambițioase;</w:t>
      </w:r>
    </w:p>
    <w:p w14:paraId="74DC65FB" w14:textId="77777777" w:rsidR="00E24D55" w:rsidRPr="00565745" w:rsidRDefault="00E24D55" w:rsidP="00E24D55">
      <w:pPr>
        <w:pStyle w:val="NormalHanging12a"/>
      </w:pPr>
      <w:r w:rsidRPr="00565745">
        <w:t>6.</w:t>
      </w:r>
      <w:r w:rsidRPr="00565745">
        <w:tab/>
        <w:t xml:space="preserve">salută adoptarea noii agende strategice pentru parteneriatul UE-Armenia, progresele înregistrate în punerea în aplicare a Acordului de parteneriat cuprinzător și consolidat, </w:t>
      </w:r>
      <w:r w:rsidRPr="00565745">
        <w:lastRenderedPageBreak/>
        <w:t>progresele înregistrate în dialogul privind liberalizarea vizelor și continuarea punerii în aplicare a planului de reziliență și creștere; salută, în acest sens, eforturile legislative și politice ale Armeniei care vizează aprofundarea relațiilor cu UE;</w:t>
      </w:r>
    </w:p>
    <w:p w14:paraId="46414565" w14:textId="77777777" w:rsidR="00E24D55" w:rsidRPr="00565745" w:rsidRDefault="00E24D55" w:rsidP="00E24D55">
      <w:pPr>
        <w:pStyle w:val="NormalHanging12a"/>
      </w:pPr>
      <w:r w:rsidRPr="00565745">
        <w:t>7.</w:t>
      </w:r>
      <w:r w:rsidRPr="00565745">
        <w:tab/>
        <w:t xml:space="preserve">salută organizarea celui de al optulea summit al comunității politice europene și a primului summit UE-Armenia la Erevan, la 4 și 5 mai 2026, ca o etapă excepțională și istorică; consideră că găzduirea consecutivă a ambelor </w:t>
      </w:r>
      <w:proofErr w:type="spellStart"/>
      <w:r w:rsidRPr="00565745">
        <w:t>summituri</w:t>
      </w:r>
      <w:proofErr w:type="spellEnd"/>
      <w:r w:rsidRPr="00565745">
        <w:t xml:space="preserve"> la Erevan transmite un semnal politic clar de solidaritate paneuropeană cu Armenia, demonstrând angajamentul UE de a sprijini agenda Armeniei pentru pace, reformă și reziliență; invită liderii UE și ai Armeniei să profite de această ocazie pentru a elabora obiective ambițioase și concrete;</w:t>
      </w:r>
    </w:p>
    <w:p w14:paraId="51100D3B" w14:textId="77777777" w:rsidR="00E24D55" w:rsidRPr="00565745" w:rsidRDefault="00E24D55" w:rsidP="00E24D55">
      <w:pPr>
        <w:pStyle w:val="NormalHanging12a"/>
      </w:pPr>
      <w:r w:rsidRPr="00565745">
        <w:t>8.</w:t>
      </w:r>
      <w:r w:rsidRPr="00565745">
        <w:tab/>
        <w:t>ia act de adoptarea unei legislații care exprimă aspirația țării de a adera la UE și solicită instituțiilor UE și autorităților armene să sprijine această alegere politică prin măsuri practice, ancorate în democrație, statul de drept și drepturile fundamentale;</w:t>
      </w:r>
    </w:p>
    <w:p w14:paraId="6FD86C98" w14:textId="77777777" w:rsidR="00E24D55" w:rsidRPr="00565745" w:rsidRDefault="00E24D55" w:rsidP="00E24D55">
      <w:pPr>
        <w:pStyle w:val="NormalHanging12a"/>
        <w:rPr>
          <w:bCs/>
        </w:rPr>
      </w:pPr>
      <w:r w:rsidRPr="00565745">
        <w:t>9.</w:t>
      </w:r>
      <w:r w:rsidRPr="00565745">
        <w:tab/>
        <w:t>invită Comisia, Serviciul European de Acțiune Externă și statele membre să aprofundeze cooperarea cu Armenia în ceea ce privește guvernanța democratică, statul de drept, reforma judiciară, combaterea corupției, securitatea cibernetică și reziliența la amenințările hibride și să sporească sprijinul accesibil pentru mass-media independentă, societatea civilă, instituțiile locale și administrația publică orientată spre reformă; solicită o coordonare strânsă cu partenerii internaționali în sprijinirea acestor eforturi;</w:t>
      </w:r>
    </w:p>
    <w:p w14:paraId="5CCAED17" w14:textId="77777777" w:rsidR="00E24D55" w:rsidRPr="00565745" w:rsidRDefault="00E24D55" w:rsidP="00E24D55">
      <w:pPr>
        <w:pStyle w:val="NormalHanging12a"/>
        <w:rPr>
          <w:bCs/>
        </w:rPr>
      </w:pPr>
      <w:r w:rsidRPr="00565745">
        <w:t>10.</w:t>
      </w:r>
      <w:r w:rsidRPr="00565745">
        <w:tab/>
        <w:t>sprijină ferm eforturile continue ale Armeniei în direcția păcii, reconcilierii și normalizării depline a relațiilor cu Azerbaidjanul; salută progresele înregistrate în procesul de pace și invită ambele părți să avanseze către un acord de pace cuprinzător și obligatoriu din punct de vedere juridic; subliniază că orice pace sustenabilă trebuie să se bazeze pe respectarea suveranității, a integrității teritoriale și a inviolabilității frontierelor;</w:t>
      </w:r>
    </w:p>
    <w:p w14:paraId="6FF67E85" w14:textId="77777777" w:rsidR="00E24D55" w:rsidRPr="00565745" w:rsidRDefault="00E24D55" w:rsidP="00E24D55">
      <w:pPr>
        <w:pStyle w:val="NormalHanging12a"/>
      </w:pPr>
      <w:r w:rsidRPr="00565745">
        <w:t>11.</w:t>
      </w:r>
      <w:r w:rsidRPr="00565745">
        <w:tab/>
        <w:t>încurajează intensificarea schimbului de informații și a cooperării cu Republica Moldova, facilitate de UE, cu privire la experiențele comparabile de ingerință electorală;</w:t>
      </w:r>
    </w:p>
    <w:p w14:paraId="5E60951F" w14:textId="77777777" w:rsidR="00E24D55" w:rsidRPr="00565745" w:rsidRDefault="00E24D55" w:rsidP="00E24D55">
      <w:pPr>
        <w:pStyle w:val="NormalHanging12a"/>
      </w:pPr>
      <w:r w:rsidRPr="00565745">
        <w:t>12.</w:t>
      </w:r>
      <w:r w:rsidRPr="00565745">
        <w:tab/>
        <w:t>își reiterează sprijinul pentru drepturile armenilor din Nagorno-Karabah, inclusiv pentru protecția identității, a proprietății și a patrimoniului lor cultural, precum și pentru dreptul lor la o întoarcere în siguranță, neîngrădită și demnă, cu garanții internaționale adecvate; solicită ca cei responsabili de distrugerea patrimoniului cultural și religios armean să fie trași la răspundere și cere organizarea unei misiuni internaționale de evaluare;</w:t>
      </w:r>
    </w:p>
    <w:p w14:paraId="3A45BA2D" w14:textId="77777777" w:rsidR="00E24D55" w:rsidRPr="00565745" w:rsidRDefault="00E24D55" w:rsidP="00E24D55">
      <w:pPr>
        <w:pStyle w:val="NormalHanging12a"/>
        <w:rPr>
          <w:bCs/>
        </w:rPr>
      </w:pPr>
      <w:r w:rsidRPr="00565745">
        <w:t>13.</w:t>
      </w:r>
      <w:r w:rsidRPr="00565745">
        <w:tab/>
        <w:t>condamnă detenția injustă de către Azerbaidjan a prizonierilor de război, a deținuților și a ostaticilor armeni; solicită eliberarea lor imediată și necondiționată; ia act de măsurile luate până în prezent și solicită măsuri suplimentare de consolidare a încrederii; solicită respectarea deplină a dreptului internațional umanitar și a dreptului internațional al drepturilor omului;</w:t>
      </w:r>
    </w:p>
    <w:p w14:paraId="20042A1D" w14:textId="77777777" w:rsidR="00E24D55" w:rsidRPr="00565745" w:rsidRDefault="00E24D55" w:rsidP="00E24D55">
      <w:pPr>
        <w:pStyle w:val="NormalHanging12a"/>
      </w:pPr>
      <w:r w:rsidRPr="00565745">
        <w:t>14.</w:t>
      </w:r>
      <w:r w:rsidRPr="00565745">
        <w:tab/>
        <w:t xml:space="preserve">invită UE să intensifice asistența financiară și tehnică acordată Armeniei, inclusiv prin intermediul planului de reziliență și creștere, cu accent pe consolidarea rezilienței instituționale, a securității energetice, a guvernanței digitale și a diversificării economice, precum și pe reducerea dependențelor structurale în sectoare critice, cum ar </w:t>
      </w:r>
      <w:r w:rsidRPr="00565745">
        <w:lastRenderedPageBreak/>
        <w:t>fi energia, transporturile și infrastructura; încurajează guvernul armean să monitorizeze reformele;</w:t>
      </w:r>
    </w:p>
    <w:p w14:paraId="5AD0653D" w14:textId="77777777" w:rsidR="00E24D55" w:rsidRPr="00565745" w:rsidRDefault="00E24D55" w:rsidP="00E24D55">
      <w:pPr>
        <w:pStyle w:val="NormalHanging12a"/>
      </w:pPr>
      <w:r w:rsidRPr="00565745">
        <w:t>15.</w:t>
      </w:r>
      <w:r w:rsidRPr="00565745">
        <w:tab/>
        <w:t>consideră binevenită adoptarea strategiei EUMA pentru societatea civilă; consideră că aceasta este un pas important în extinderea colaborării misiunii cu societatea civilă armeană dincolo de mandatul său principal de monitorizare a securității și încurajează EUMA să își consolideze comunicarea cu actorii democratici locali, cu organizațiile comunitare și cu mass-media independentă, ca parte a contribuției sale la reziliența democratică; salută activitatea societății civile armene de investigare a campaniilor de ingerință externă, a atacurilor cibernetice și a dezinformării online;</w:t>
      </w:r>
    </w:p>
    <w:p w14:paraId="07C8B2AD" w14:textId="77777777" w:rsidR="00E24D55" w:rsidRPr="00565745" w:rsidRDefault="00E24D55" w:rsidP="00E24D55">
      <w:pPr>
        <w:pStyle w:val="NormalHanging12a"/>
        <w:rPr>
          <w:bCs/>
        </w:rPr>
      </w:pPr>
      <w:r w:rsidRPr="00565745">
        <w:t>16.</w:t>
      </w:r>
      <w:r w:rsidRPr="00565745">
        <w:tab/>
        <w:t>salută eforturile continue în direcția normalizării relațiilor dintre Armenia și Turcia, ca o contribuție importantă la stabilitatea, reconcilierea și conectivitatea regionale; invită ambele părți să continue să se implice cu bună credință în măsuri suplimentare de consolidare a încrederii, inclusiv în redeschiderea frontierelor, ca o contribuție importantă la stabilitatea, reconcilierea și conectivitatea regionale;</w:t>
      </w:r>
    </w:p>
    <w:p w14:paraId="397B3E56" w14:textId="77F4D05C" w:rsidR="0091597D" w:rsidRPr="00565745" w:rsidRDefault="00E24D55" w:rsidP="0091597D">
      <w:pPr>
        <w:pStyle w:val="NormalHanging12a"/>
      </w:pPr>
      <w:r w:rsidRPr="00565745">
        <w:t>17.</w:t>
      </w:r>
      <w:r w:rsidRPr="00565745">
        <w:tab/>
        <w:t>încredințează Președintei sarcina de a transmite prezenta rezoluție Consiliului, Comisiei, Vicepreședintei Comisiei/Înaltei Reprezentant al Uniunii pentru afaceri externe și politica de securitate, guvernelor și parlamentelor statelor membre, președintelui, guvernului și parlamentului Republicii Armenia, Organizației pentru Securitate și Cooperare în Europa, Consiliului Europei și Organizației Națiunilor Unite.</w:t>
      </w:r>
    </w:p>
    <w:p w14:paraId="50B05769" w14:textId="6C383F48" w:rsidR="00E365E1" w:rsidRPr="00565745" w:rsidRDefault="00E365E1" w:rsidP="00831B56"/>
    <w:sectPr w:rsidR="00E365E1" w:rsidRPr="00565745" w:rsidSect="009159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D1702" w14:textId="77777777" w:rsidR="00831B56" w:rsidRPr="0091597D" w:rsidRDefault="00831B56">
      <w:r w:rsidRPr="0091597D">
        <w:separator/>
      </w:r>
    </w:p>
  </w:endnote>
  <w:endnote w:type="continuationSeparator" w:id="0">
    <w:p w14:paraId="0E952918" w14:textId="77777777" w:rsidR="00831B56" w:rsidRPr="0091597D" w:rsidRDefault="00831B56">
      <w:r w:rsidRPr="009159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E725" w14:textId="77777777" w:rsidR="00064002" w:rsidRPr="009159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093E" w14:textId="77777777" w:rsidR="00064002" w:rsidRPr="009159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C40D" w14:textId="77777777" w:rsidR="00064002" w:rsidRPr="009159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0C46" w14:textId="77777777" w:rsidR="00831B56" w:rsidRPr="0091597D" w:rsidRDefault="00831B56">
      <w:r w:rsidRPr="0091597D">
        <w:separator/>
      </w:r>
    </w:p>
  </w:footnote>
  <w:footnote w:type="continuationSeparator" w:id="0">
    <w:p w14:paraId="51526395" w14:textId="77777777" w:rsidR="00831B56" w:rsidRPr="0091597D" w:rsidRDefault="00831B56">
      <w:r w:rsidRPr="0091597D">
        <w:continuationSeparator/>
      </w:r>
    </w:p>
  </w:footnote>
  <w:footnote w:id="1">
    <w:p w14:paraId="5E5D66C7" w14:textId="1DD31B9A" w:rsidR="00E24D55" w:rsidRPr="0091597D" w:rsidRDefault="00E24D55" w:rsidP="0091597D">
      <w:pPr>
        <w:pStyle w:val="FootnoteText"/>
        <w:ind w:left="567" w:hanging="567"/>
        <w:rPr>
          <w:sz w:val="24"/>
          <w:lang w:val="ro-RO"/>
        </w:rPr>
      </w:pPr>
      <w:r w:rsidRPr="0091597D">
        <w:rPr>
          <w:rStyle w:val="FootnoteReference"/>
          <w:sz w:val="24"/>
          <w:lang w:val="ro-RO"/>
        </w:rPr>
        <w:footnoteRef/>
      </w:r>
      <w:r w:rsidR="0091597D" w:rsidRPr="0091597D">
        <w:rPr>
          <w:sz w:val="24"/>
          <w:lang w:val="ro-RO"/>
        </w:rPr>
        <w:t xml:space="preserve"> </w:t>
      </w:r>
      <w:r w:rsidR="0091597D" w:rsidRPr="0091597D">
        <w:rPr>
          <w:sz w:val="24"/>
          <w:lang w:val="ro-RO"/>
        </w:rPr>
        <w:tab/>
      </w:r>
      <w:r w:rsidRPr="0091597D">
        <w:rPr>
          <w:sz w:val="24"/>
          <w:lang w:val="ro-RO"/>
        </w:rPr>
        <w:t>JO L 23, 26</w:t>
      </w:r>
      <w:r w:rsidR="001C52B0">
        <w:rPr>
          <w:sz w:val="24"/>
          <w:lang w:val="ro-RO"/>
        </w:rPr>
        <w:t>.1.</w:t>
      </w:r>
      <w:r w:rsidRPr="0091597D">
        <w:rPr>
          <w:sz w:val="24"/>
          <w:lang w:val="ro-RO"/>
        </w:rPr>
        <w:t xml:space="preserve">2018, p. 4, ELI: </w:t>
      </w:r>
      <w:hyperlink r:id="rId1" w:history="1">
        <w:r w:rsidRPr="0091597D">
          <w:rPr>
            <w:rStyle w:val="Hyperlink"/>
            <w:sz w:val="24"/>
            <w:lang w:val="ro-RO"/>
          </w:rPr>
          <w:t>http://data.europa.eu/eli/agree_internation/2018/104/oj</w:t>
        </w:r>
      </w:hyperlink>
      <w:r w:rsidRPr="0091597D">
        <w:rPr>
          <w:sz w:val="24"/>
          <w:lang w:val="ro-RO"/>
        </w:rPr>
        <w:t>.</w:t>
      </w:r>
    </w:p>
  </w:footnote>
  <w:footnote w:id="2">
    <w:p w14:paraId="403CC66C" w14:textId="001A4B3D" w:rsidR="00E24D55" w:rsidRPr="0091597D" w:rsidRDefault="00E24D55" w:rsidP="0091597D">
      <w:pPr>
        <w:pStyle w:val="FootnoteText"/>
        <w:ind w:left="567" w:hanging="567"/>
        <w:rPr>
          <w:sz w:val="24"/>
          <w:lang w:val="ro-RO"/>
        </w:rPr>
      </w:pPr>
      <w:r w:rsidRPr="0091597D">
        <w:rPr>
          <w:rStyle w:val="FootnoteReference"/>
          <w:sz w:val="24"/>
          <w:lang w:val="ro-RO"/>
        </w:rPr>
        <w:footnoteRef/>
      </w:r>
      <w:r w:rsidR="0091597D" w:rsidRPr="0091597D">
        <w:rPr>
          <w:sz w:val="24"/>
          <w:lang w:val="ro-RO"/>
        </w:rPr>
        <w:t xml:space="preserve"> </w:t>
      </w:r>
      <w:r w:rsidR="0091597D" w:rsidRPr="0091597D">
        <w:rPr>
          <w:sz w:val="24"/>
          <w:lang w:val="ro-RO"/>
        </w:rPr>
        <w:tab/>
      </w:r>
      <w:r w:rsidRPr="0091597D">
        <w:rPr>
          <w:sz w:val="24"/>
          <w:lang w:val="ro-RO"/>
        </w:rPr>
        <w:t xml:space="preserve">JO L, 2025/211, 31.1.2025, ELI: </w:t>
      </w:r>
      <w:hyperlink r:id="rId2" w:history="1">
        <w:r w:rsidRPr="0091597D">
          <w:rPr>
            <w:rStyle w:val="Hyperlink"/>
            <w:sz w:val="24"/>
            <w:lang w:val="ro-RO"/>
          </w:rPr>
          <w:t>http://data.europa.eu/eli/dec/2025/211/oj</w:t>
        </w:r>
      </w:hyperlink>
      <w:r w:rsidRPr="0091597D">
        <w:rPr>
          <w:sz w:val="24"/>
          <w:lang w:val="ro-RO"/>
        </w:rPr>
        <w:t>.</w:t>
      </w:r>
    </w:p>
  </w:footnote>
  <w:footnote w:id="3">
    <w:p w14:paraId="7694E6D0" w14:textId="24442E68" w:rsidR="00E24D55" w:rsidRPr="0091597D" w:rsidRDefault="00E24D55" w:rsidP="0091597D">
      <w:pPr>
        <w:pStyle w:val="FootnoteText"/>
        <w:ind w:left="567" w:hanging="567"/>
        <w:rPr>
          <w:sz w:val="24"/>
          <w:lang w:val="ro-RO"/>
        </w:rPr>
      </w:pPr>
      <w:r w:rsidRPr="0091597D">
        <w:rPr>
          <w:rStyle w:val="FootnoteReference"/>
          <w:sz w:val="24"/>
          <w:lang w:val="ro-RO"/>
        </w:rPr>
        <w:footnoteRef/>
      </w:r>
      <w:r w:rsidR="0091597D" w:rsidRPr="0091597D">
        <w:rPr>
          <w:sz w:val="24"/>
          <w:lang w:val="ro-RO"/>
        </w:rPr>
        <w:t xml:space="preserve"> </w:t>
      </w:r>
      <w:r w:rsidR="0091597D" w:rsidRPr="0091597D">
        <w:rPr>
          <w:sz w:val="24"/>
          <w:lang w:val="ro-RO"/>
        </w:rPr>
        <w:tab/>
      </w:r>
      <w:r w:rsidRPr="0091597D">
        <w:rPr>
          <w:sz w:val="24"/>
          <w:lang w:val="ro-RO"/>
        </w:rPr>
        <w:t xml:space="preserve">JO L, 2026/894, 22.4.2026, ELI: </w:t>
      </w:r>
      <w:hyperlink r:id="rId3" w:history="1">
        <w:r w:rsidRPr="0091597D">
          <w:rPr>
            <w:rStyle w:val="Hyperlink"/>
            <w:sz w:val="24"/>
            <w:lang w:val="ro-RO"/>
          </w:rPr>
          <w:t>http://data.europa.eu/eli/dec/2026/894/oj</w:t>
        </w:r>
      </w:hyperlink>
      <w:r w:rsidRPr="0091597D">
        <w:rPr>
          <w:sz w:val="24"/>
          <w:lang w:val="ro-RO"/>
        </w:rPr>
        <w:t>.</w:t>
      </w:r>
    </w:p>
  </w:footnote>
  <w:footnote w:id="4">
    <w:p w14:paraId="4967A1A3" w14:textId="4A99A6B0" w:rsidR="00E24D55" w:rsidRPr="0091597D" w:rsidRDefault="00E24D55" w:rsidP="0091597D">
      <w:pPr>
        <w:pStyle w:val="FootnoteText"/>
        <w:ind w:left="567" w:hanging="567"/>
        <w:rPr>
          <w:sz w:val="24"/>
          <w:lang w:val="ro-RO"/>
        </w:rPr>
      </w:pPr>
      <w:r w:rsidRPr="0091597D">
        <w:rPr>
          <w:rStyle w:val="FootnoteReference"/>
          <w:sz w:val="24"/>
          <w:lang w:val="ro-RO"/>
        </w:rPr>
        <w:footnoteRef/>
      </w:r>
      <w:r w:rsidR="0091597D" w:rsidRPr="0091597D">
        <w:rPr>
          <w:sz w:val="24"/>
          <w:lang w:val="ro-RO"/>
        </w:rPr>
        <w:t xml:space="preserve"> </w:t>
      </w:r>
      <w:r w:rsidR="0091597D" w:rsidRPr="0091597D">
        <w:rPr>
          <w:sz w:val="24"/>
          <w:lang w:val="ro-RO"/>
        </w:rPr>
        <w:tab/>
      </w:r>
      <w:r w:rsidRPr="0091597D">
        <w:rPr>
          <w:sz w:val="24"/>
          <w:lang w:val="ro-RO"/>
        </w:rPr>
        <w:t xml:space="preserve">JO L, 2024/2010, 23.7.2024, ELI: </w:t>
      </w:r>
      <w:hyperlink r:id="rId4" w:history="1">
        <w:r w:rsidRPr="0091597D">
          <w:rPr>
            <w:rStyle w:val="Hyperlink"/>
            <w:sz w:val="24"/>
            <w:lang w:val="ro-RO"/>
          </w:rPr>
          <w:t>http://data.europa.eu/eli/dec/2024/2010/oj</w:t>
        </w:r>
      </w:hyperlink>
      <w:r w:rsidRPr="0091597D">
        <w:rPr>
          <w:sz w:val="24"/>
          <w:lang w:val="ro-RO"/>
        </w:rPr>
        <w:t>.</w:t>
      </w:r>
    </w:p>
  </w:footnote>
  <w:footnote w:id="5">
    <w:p w14:paraId="27B0CF98" w14:textId="2895BD82" w:rsidR="00E24D55" w:rsidRPr="0091597D" w:rsidRDefault="00E24D55" w:rsidP="0091597D">
      <w:pPr>
        <w:pStyle w:val="FootnoteText"/>
        <w:ind w:left="567" w:hanging="567"/>
        <w:rPr>
          <w:sz w:val="24"/>
          <w:lang w:val="ro-RO"/>
        </w:rPr>
      </w:pPr>
      <w:r w:rsidRPr="0091597D">
        <w:rPr>
          <w:rStyle w:val="FootnoteReference"/>
          <w:sz w:val="24"/>
          <w:lang w:val="ro-RO"/>
        </w:rPr>
        <w:footnoteRef/>
      </w:r>
      <w:r w:rsidR="0091597D" w:rsidRPr="0091597D">
        <w:rPr>
          <w:sz w:val="24"/>
          <w:lang w:val="ro-RO"/>
        </w:rPr>
        <w:t xml:space="preserve"> </w:t>
      </w:r>
      <w:r w:rsidR="0091597D" w:rsidRPr="0091597D">
        <w:rPr>
          <w:sz w:val="24"/>
          <w:lang w:val="ro-RO"/>
        </w:rPr>
        <w:tab/>
      </w:r>
      <w:r w:rsidRPr="0091597D">
        <w:rPr>
          <w:sz w:val="24"/>
          <w:lang w:val="ro-RO"/>
        </w:rPr>
        <w:t xml:space="preserve">Acordul dintre Uniunea Europeană și Republica Armenia de instituire a unui cadru pentru participarea Republicii Armenia la operațiile Uniunii Europene de gestionare a crizelor (JO L, 2025/1553, 31.7.2025, ELI: </w:t>
      </w:r>
      <w:hyperlink r:id="rId5" w:history="1">
        <w:r w:rsidRPr="0091597D">
          <w:rPr>
            <w:rStyle w:val="Hyperlink"/>
            <w:sz w:val="24"/>
            <w:lang w:val="ro-RO"/>
          </w:rPr>
          <w:t>http://data.europa.eu/eli/agree_internation/2025/1553/oj</w:t>
        </w:r>
      </w:hyperlink>
      <w:r w:rsidRPr="0091597D">
        <w:rPr>
          <w:sz w:val="24"/>
          <w:lang w:val="ro-RO"/>
        </w:rPr>
        <w:t>).</w:t>
      </w:r>
    </w:p>
  </w:footnote>
  <w:footnote w:id="6">
    <w:p w14:paraId="4518CAD7" w14:textId="2C92A5DD" w:rsidR="00E24D55" w:rsidRPr="0091597D" w:rsidRDefault="00E24D55" w:rsidP="0091597D">
      <w:pPr>
        <w:pStyle w:val="FootnoteText"/>
        <w:ind w:left="567" w:hanging="567"/>
        <w:rPr>
          <w:sz w:val="24"/>
          <w:lang w:val="ro-RO"/>
        </w:rPr>
      </w:pPr>
      <w:r w:rsidRPr="0091597D">
        <w:rPr>
          <w:rStyle w:val="FootnoteReference"/>
          <w:sz w:val="24"/>
          <w:lang w:val="ro-RO"/>
        </w:rPr>
        <w:footnoteRef/>
      </w:r>
      <w:r w:rsidR="0091597D" w:rsidRPr="0091597D">
        <w:rPr>
          <w:sz w:val="24"/>
          <w:lang w:val="ro-RO"/>
        </w:rPr>
        <w:t xml:space="preserve"> </w:t>
      </w:r>
      <w:r w:rsidR="0091597D" w:rsidRPr="0091597D">
        <w:rPr>
          <w:sz w:val="24"/>
          <w:lang w:val="ro-RO"/>
        </w:rPr>
        <w:tab/>
      </w:r>
      <w:r w:rsidRPr="0091597D">
        <w:rPr>
          <w:sz w:val="24"/>
          <w:lang w:val="ro-RO"/>
        </w:rPr>
        <w:t>JO C 328, 6.9.2016, p.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ABD7" w14:textId="77777777" w:rsidR="00064002" w:rsidRPr="009159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EA0E" w14:textId="77777777" w:rsidR="00064002" w:rsidRPr="009159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4D2F" w14:textId="77777777" w:rsidR="00064002" w:rsidRPr="009159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127163">
    <w:abstractNumId w:val="9"/>
  </w:num>
  <w:num w:numId="2" w16cid:durableId="1853568191">
    <w:abstractNumId w:val="9"/>
  </w:num>
  <w:num w:numId="3" w16cid:durableId="70736630">
    <w:abstractNumId w:val="7"/>
  </w:num>
  <w:num w:numId="4" w16cid:durableId="1959794276">
    <w:abstractNumId w:val="7"/>
  </w:num>
  <w:num w:numId="5" w16cid:durableId="1638485991">
    <w:abstractNumId w:val="6"/>
  </w:num>
  <w:num w:numId="6" w16cid:durableId="597911601">
    <w:abstractNumId w:val="6"/>
  </w:num>
  <w:num w:numId="7" w16cid:durableId="1693916604">
    <w:abstractNumId w:val="5"/>
  </w:num>
  <w:num w:numId="8" w16cid:durableId="970131135">
    <w:abstractNumId w:val="5"/>
  </w:num>
  <w:num w:numId="9" w16cid:durableId="925269534">
    <w:abstractNumId w:val="4"/>
  </w:num>
  <w:num w:numId="10" w16cid:durableId="1800874701">
    <w:abstractNumId w:val="4"/>
  </w:num>
  <w:num w:numId="11" w16cid:durableId="1506242177">
    <w:abstractNumId w:val="8"/>
  </w:num>
  <w:num w:numId="12" w16cid:durableId="1949046198">
    <w:abstractNumId w:val="8"/>
  </w:num>
  <w:num w:numId="13" w16cid:durableId="708531294">
    <w:abstractNumId w:val="3"/>
  </w:num>
  <w:num w:numId="14" w16cid:durableId="1317690036">
    <w:abstractNumId w:val="3"/>
  </w:num>
  <w:num w:numId="15" w16cid:durableId="393740592">
    <w:abstractNumId w:val="2"/>
  </w:num>
  <w:num w:numId="16" w16cid:durableId="1008824463">
    <w:abstractNumId w:val="2"/>
  </w:num>
  <w:num w:numId="17" w16cid:durableId="1740788594">
    <w:abstractNumId w:val="1"/>
  </w:num>
  <w:num w:numId="18" w16cid:durableId="210265891">
    <w:abstractNumId w:val="1"/>
  </w:num>
  <w:num w:numId="19" w16cid:durableId="341129088">
    <w:abstractNumId w:val="0"/>
  </w:num>
  <w:num w:numId="20" w16cid:durableId="6829055">
    <w:abstractNumId w:val="0"/>
  </w:num>
  <w:num w:numId="21" w16cid:durableId="1393578705">
    <w:abstractNumId w:val="9"/>
  </w:num>
  <w:num w:numId="22" w16cid:durableId="1985234967">
    <w:abstractNumId w:val="7"/>
  </w:num>
  <w:num w:numId="23" w16cid:durableId="1712224719">
    <w:abstractNumId w:val="6"/>
  </w:num>
  <w:num w:numId="24" w16cid:durableId="921913428">
    <w:abstractNumId w:val="5"/>
  </w:num>
  <w:num w:numId="25" w16cid:durableId="1784229854">
    <w:abstractNumId w:val="4"/>
  </w:num>
  <w:num w:numId="26" w16cid:durableId="322661055">
    <w:abstractNumId w:val="8"/>
  </w:num>
  <w:num w:numId="27" w16cid:durableId="1425758292">
    <w:abstractNumId w:val="3"/>
  </w:num>
  <w:num w:numId="28" w16cid:durableId="33893356">
    <w:abstractNumId w:val="2"/>
  </w:num>
  <w:num w:numId="29" w16cid:durableId="32927122">
    <w:abstractNumId w:val="1"/>
  </w:num>
  <w:num w:numId="30" w16cid:durableId="1412194229">
    <w:abstractNumId w:val="0"/>
  </w:num>
  <w:num w:numId="31" w16cid:durableId="981345667">
    <w:abstractNumId w:val="9"/>
  </w:num>
  <w:num w:numId="32" w16cid:durableId="155076747">
    <w:abstractNumId w:val="7"/>
  </w:num>
  <w:num w:numId="33" w16cid:durableId="858158088">
    <w:abstractNumId w:val="6"/>
  </w:num>
  <w:num w:numId="34" w16cid:durableId="395277325">
    <w:abstractNumId w:val="5"/>
  </w:num>
  <w:num w:numId="35" w16cid:durableId="460928100">
    <w:abstractNumId w:val="4"/>
  </w:num>
  <w:num w:numId="36" w16cid:durableId="432748716">
    <w:abstractNumId w:val="8"/>
  </w:num>
  <w:num w:numId="37" w16cid:durableId="622032557">
    <w:abstractNumId w:val="3"/>
  </w:num>
  <w:num w:numId="38" w16cid:durableId="1372144555">
    <w:abstractNumId w:val="2"/>
  </w:num>
  <w:num w:numId="39" w16cid:durableId="1674339406">
    <w:abstractNumId w:val="1"/>
  </w:num>
  <w:num w:numId="40" w16cid:durableId="1076636265">
    <w:abstractNumId w:val="0"/>
  </w:num>
  <w:num w:numId="41" w16cid:durableId="247153355">
    <w:abstractNumId w:val="10"/>
  </w:num>
  <w:num w:numId="42" w16cid:durableId="650209625">
    <w:abstractNumId w:val="10"/>
  </w:num>
  <w:num w:numId="43" w16cid:durableId="537015202">
    <w:abstractNumId w:val="10"/>
  </w:num>
  <w:num w:numId="44" w16cid:durableId="831919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RO"/>
    <w:docVar w:name="dvnumam" w:val="0"/>
    <w:docVar w:name="dvpe" w:val="783.229"/>
    <w:docVar w:name="dvtitre" w:val="Rezoluția Parlamentului European din 30 aprilie 2026 referitoare la sprijinirea rezilienței democratice în Armenia(2026/2701(RSP))"/>
  </w:docVars>
  <w:rsids>
    <w:rsidRoot w:val="00831B56"/>
    <w:rsid w:val="00002272"/>
    <w:rsid w:val="00064002"/>
    <w:rsid w:val="000677B9"/>
    <w:rsid w:val="000831BA"/>
    <w:rsid w:val="000A42CC"/>
    <w:rsid w:val="000E7DD9"/>
    <w:rsid w:val="0010095E"/>
    <w:rsid w:val="00125B37"/>
    <w:rsid w:val="00187494"/>
    <w:rsid w:val="001C52B0"/>
    <w:rsid w:val="001F32AE"/>
    <w:rsid w:val="002767FF"/>
    <w:rsid w:val="002B18FE"/>
    <w:rsid w:val="002B5493"/>
    <w:rsid w:val="00343214"/>
    <w:rsid w:val="00361C00"/>
    <w:rsid w:val="00395FA1"/>
    <w:rsid w:val="003E15D4"/>
    <w:rsid w:val="00411CCE"/>
    <w:rsid w:val="0041666E"/>
    <w:rsid w:val="00421060"/>
    <w:rsid w:val="00470C5F"/>
    <w:rsid w:val="00471C19"/>
    <w:rsid w:val="004867E3"/>
    <w:rsid w:val="00494A28"/>
    <w:rsid w:val="004C0004"/>
    <w:rsid w:val="004C5D52"/>
    <w:rsid w:val="0050519A"/>
    <w:rsid w:val="005072A1"/>
    <w:rsid w:val="00514517"/>
    <w:rsid w:val="00545827"/>
    <w:rsid w:val="00560270"/>
    <w:rsid w:val="0056574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B56"/>
    <w:rsid w:val="00842779"/>
    <w:rsid w:val="00865F67"/>
    <w:rsid w:val="00881A7B"/>
    <w:rsid w:val="008840E5"/>
    <w:rsid w:val="00887B3E"/>
    <w:rsid w:val="008C2AC6"/>
    <w:rsid w:val="0091597D"/>
    <w:rsid w:val="00930C23"/>
    <w:rsid w:val="0093193B"/>
    <w:rsid w:val="009509D8"/>
    <w:rsid w:val="00950B64"/>
    <w:rsid w:val="00981893"/>
    <w:rsid w:val="0098468C"/>
    <w:rsid w:val="00A1687D"/>
    <w:rsid w:val="00A43E52"/>
    <w:rsid w:val="00A4678D"/>
    <w:rsid w:val="00A778C7"/>
    <w:rsid w:val="00AB441E"/>
    <w:rsid w:val="00AB6293"/>
    <w:rsid w:val="00AE0928"/>
    <w:rsid w:val="00AF3B82"/>
    <w:rsid w:val="00B12E95"/>
    <w:rsid w:val="00B22876"/>
    <w:rsid w:val="00B33AB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D5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9C3D4"/>
  <w15:chartTrackingRefBased/>
  <w15:docId w15:val="{CE8919C5-1EB9-494D-8C82-30CC8BB94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24D55"/>
    <w:pPr>
      <w:spacing w:after="240"/>
      <w:ind w:left="567" w:hanging="567"/>
    </w:pPr>
  </w:style>
  <w:style w:type="paragraph" w:customStyle="1" w:styleId="EPComma">
    <w:name w:val="EPComma"/>
    <w:basedOn w:val="Normal"/>
    <w:link w:val="EPCommaChar"/>
    <w:rsid w:val="00E24D55"/>
    <w:pPr>
      <w:spacing w:before="480" w:after="240"/>
    </w:pPr>
  </w:style>
  <w:style w:type="character" w:customStyle="1" w:styleId="EPCommaChar">
    <w:name w:val="EPComma Char"/>
    <w:basedOn w:val="DefaultParagraphFont"/>
    <w:link w:val="EPComma"/>
    <w:rsid w:val="00E24D55"/>
    <w:rPr>
      <w:sz w:val="24"/>
      <w:lang w:val="ro-RO"/>
    </w:rPr>
  </w:style>
  <w:style w:type="character" w:styleId="Hyperlink">
    <w:name w:val="Hyperlink"/>
    <w:basedOn w:val="DefaultParagraphFont"/>
    <w:rsid w:val="00E24D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2246</Words>
  <Characters>14272</Characters>
  <Application>Microsoft Office Word</Application>
  <DocSecurity>0</DocSecurity>
  <Lines>339</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2026-06-05T08:35:00Z</dcterms:created>
  <dcterms:modified xsi:type="dcterms:W3CDTF">2026-06-05T08:35:00Z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B10-0195/2026</vt:lpwstr>
  </property>
  <property fmtid="{D5CDD505-2E9C-101B-9397-08002B2CF9AE}" pid="4" name="&lt;Type&gt;">
    <vt:lpwstr>RR</vt:lpwstr>
  </property>
</Properties>
</file>