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28B7" w14:paraId="70E32E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805B8C" w14:textId="77777777" w:rsidR="00751A4A" w:rsidRPr="00FB28B7" w:rsidRDefault="00C11B58" w:rsidP="0010095E">
            <w:pPr>
              <w:pStyle w:val="EPName"/>
            </w:pPr>
            <w:r w:rsidRPr="00FB28B7">
              <w:t>Európsky parlament</w:t>
            </w:r>
          </w:p>
          <w:p w14:paraId="4B44AD4D" w14:textId="77777777" w:rsidR="00751A4A" w:rsidRPr="00FB28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28B7">
              <w:t>2024</w:t>
            </w:r>
            <w:r w:rsidR="00817416" w:rsidRPr="00FB28B7">
              <w:t>-202</w:t>
            </w:r>
            <w:r w:rsidRPr="00FB28B7">
              <w:t>9</w:t>
            </w:r>
          </w:p>
        </w:tc>
        <w:tc>
          <w:tcPr>
            <w:tcW w:w="2268" w:type="dxa"/>
            <w:shd w:val="clear" w:color="auto" w:fill="auto"/>
          </w:tcPr>
          <w:p w14:paraId="24B93997" w14:textId="77777777" w:rsidR="00751A4A" w:rsidRPr="00FB28B7" w:rsidRDefault="00187494" w:rsidP="0010095E">
            <w:pPr>
              <w:pStyle w:val="EPLogo"/>
            </w:pPr>
            <w:r w:rsidRPr="00FB28B7">
              <w:rPr>
                <w:noProof/>
                <w:lang w:eastAsia="ja-JP"/>
              </w:rPr>
              <w:drawing>
                <wp:inline distT="0" distB="0" distL="0" distR="0" wp14:anchorId="5CD4548A" wp14:editId="58BC07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8712E3" w14:textId="77777777" w:rsidR="00D058B8" w:rsidRPr="00FB28B7" w:rsidRDefault="00D058B8" w:rsidP="004C5D52">
      <w:pPr>
        <w:pStyle w:val="LineTop"/>
      </w:pPr>
    </w:p>
    <w:p w14:paraId="16EC7319" w14:textId="77777777" w:rsidR="00680577" w:rsidRPr="00FB28B7" w:rsidRDefault="00C11B58" w:rsidP="00680577">
      <w:pPr>
        <w:pStyle w:val="EPBodyTA1"/>
      </w:pPr>
      <w:r w:rsidRPr="00FB28B7">
        <w:t>PRIJATÉ TEXTY</w:t>
      </w:r>
    </w:p>
    <w:p w14:paraId="08083763" w14:textId="77777777" w:rsidR="00D058B8" w:rsidRPr="00FB28B7" w:rsidRDefault="00D058B8" w:rsidP="00D058B8">
      <w:pPr>
        <w:pStyle w:val="LineBottom"/>
      </w:pPr>
    </w:p>
    <w:p w14:paraId="3E41985F" w14:textId="1CE7FD9D" w:rsidR="00C11B58" w:rsidRPr="00FB28B7" w:rsidRDefault="00C11B58" w:rsidP="00C11B58">
      <w:pPr>
        <w:pStyle w:val="ATHeading1"/>
      </w:pPr>
      <w:bookmarkStart w:id="0" w:name="TANumber"/>
      <w:r w:rsidRPr="00FB28B7">
        <w:t>P10_TA(2026)0</w:t>
      </w:r>
      <w:r w:rsidR="00FB28B7" w:rsidRPr="00FB28B7">
        <w:t>162</w:t>
      </w:r>
      <w:bookmarkEnd w:id="0"/>
    </w:p>
    <w:p w14:paraId="757F5252" w14:textId="77777777" w:rsidR="00C11B58" w:rsidRPr="00FB28B7" w:rsidRDefault="00C11B58" w:rsidP="00C11B58">
      <w:pPr>
        <w:pStyle w:val="ATHeading2"/>
      </w:pPr>
      <w:bookmarkStart w:id="1" w:name="title"/>
      <w:r w:rsidRPr="00FB28B7">
        <w:t>Podpora demokratickej odolnosti v Arménsku</w:t>
      </w:r>
      <w:bookmarkEnd w:id="1"/>
    </w:p>
    <w:p w14:paraId="3085FD84" w14:textId="77777777" w:rsidR="00C11B58" w:rsidRPr="00FB28B7" w:rsidRDefault="00C11B58" w:rsidP="00C11B58">
      <w:pPr>
        <w:rPr>
          <w:i/>
          <w:vanish/>
        </w:rPr>
      </w:pPr>
      <w:r w:rsidRPr="00FB28B7">
        <w:rPr>
          <w:i/>
        </w:rPr>
        <w:fldChar w:fldCharType="begin"/>
      </w:r>
      <w:r w:rsidRPr="00FB28B7">
        <w:rPr>
          <w:i/>
        </w:rPr>
        <w:instrText xml:space="preserve"> TC"(</w:instrText>
      </w:r>
      <w:bookmarkStart w:id="2" w:name="DocNumber"/>
      <w:r w:rsidRPr="00FB28B7">
        <w:rPr>
          <w:i/>
        </w:rPr>
        <w:instrText>B10-0195, 0196, 0198, 0199 a 0200/2026</w:instrText>
      </w:r>
      <w:bookmarkEnd w:id="2"/>
      <w:r w:rsidRPr="00FB28B7">
        <w:rPr>
          <w:i/>
        </w:rPr>
        <w:instrText xml:space="preserve">)"\l3 \n&gt; \* MERGEFORMAT </w:instrText>
      </w:r>
      <w:r w:rsidRPr="00FB28B7">
        <w:rPr>
          <w:i/>
        </w:rPr>
        <w:fldChar w:fldCharType="end"/>
      </w:r>
    </w:p>
    <w:p w14:paraId="1F5B6FD2" w14:textId="77777777" w:rsidR="00C11B58" w:rsidRPr="00FB28B7" w:rsidRDefault="00C11B58" w:rsidP="00C11B58">
      <w:pPr>
        <w:rPr>
          <w:vanish/>
        </w:rPr>
      </w:pPr>
      <w:bookmarkStart w:id="3" w:name="PE"/>
      <w:r w:rsidRPr="00FB28B7">
        <w:rPr>
          <w:vanish/>
        </w:rPr>
        <w:t>PE783.229</w:t>
      </w:r>
      <w:bookmarkEnd w:id="3"/>
    </w:p>
    <w:p w14:paraId="11DD8DFA" w14:textId="2DB1908B" w:rsidR="00C11B58" w:rsidRPr="00FB28B7" w:rsidRDefault="00C11B58" w:rsidP="00C11B58">
      <w:pPr>
        <w:pStyle w:val="ATHeading3"/>
      </w:pPr>
      <w:bookmarkStart w:id="4" w:name="Sujet"/>
      <w:r w:rsidRPr="00FB28B7">
        <w:t xml:space="preserve">Uznesenie Európskeho parlamentu z </w:t>
      </w:r>
      <w:r w:rsidR="004B45E9" w:rsidRPr="00FB28B7">
        <w:t>30</w:t>
      </w:r>
      <w:r w:rsidRPr="00FB28B7">
        <w:t xml:space="preserve">. </w:t>
      </w:r>
      <w:r w:rsidR="004B45E9" w:rsidRPr="00FB28B7">
        <w:t>apríla</w:t>
      </w:r>
      <w:r w:rsidR="004B45E9" w:rsidRPr="00FB28B7">
        <w:t xml:space="preserve"> </w:t>
      </w:r>
      <w:r w:rsidRPr="00FB28B7">
        <w:t>2026 o podpore demokratickej odolnosti v Arménsku</w:t>
      </w:r>
      <w:bookmarkEnd w:id="4"/>
      <w:r w:rsidRPr="00FB28B7">
        <w:t xml:space="preserve"> </w:t>
      </w:r>
      <w:bookmarkStart w:id="5" w:name="References"/>
      <w:r w:rsidRPr="00FB28B7">
        <w:t>(2026/2701(RSP))</w:t>
      </w:r>
      <w:bookmarkEnd w:id="5"/>
    </w:p>
    <w:p w14:paraId="036BC027" w14:textId="77777777" w:rsidR="00C83B75" w:rsidRPr="00FB28B7" w:rsidRDefault="00C83B75" w:rsidP="00C83B75">
      <w:pPr>
        <w:pStyle w:val="EPComma"/>
      </w:pPr>
      <w:bookmarkStart w:id="6" w:name="TextBodyBegin"/>
      <w:bookmarkEnd w:id="6"/>
      <w:r w:rsidRPr="00FB28B7">
        <w:rPr>
          <w:i/>
          <w:iCs/>
        </w:rPr>
        <w:t>Európsky parlament</w:t>
      </w:r>
      <w:r w:rsidRPr="00FB28B7">
        <w:t>,</w:t>
      </w:r>
    </w:p>
    <w:p w14:paraId="57B7450D" w14:textId="77777777" w:rsidR="00C83B75" w:rsidRPr="00FB28B7" w:rsidRDefault="00C83B75" w:rsidP="00C83B75">
      <w:pPr>
        <w:pStyle w:val="NormalHanging12a"/>
      </w:pPr>
      <w:r w:rsidRPr="00FB28B7">
        <w:rPr>
          <w:color w:val="000000"/>
        </w:rPr>
        <w:t>–</w:t>
      </w:r>
      <w:r w:rsidRPr="00FB28B7">
        <w:tab/>
        <w:t>so zreteľom na svoje predchádzajúce uznesenia o Arménsku,</w:t>
      </w:r>
    </w:p>
    <w:p w14:paraId="2CE0D5FF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>so zreteľom na Dohodu o komplexnom a posilnenom partnerstve medzi Európskou úniou a Európskym spoločenstvom pre atómovú energiu a ich členskými štátmi na jednej strane a Arménskou republikou na strane druhej</w:t>
      </w:r>
      <w:r w:rsidRPr="00FB28B7">
        <w:rPr>
          <w:rStyle w:val="FootnoteReference"/>
        </w:rPr>
        <w:footnoteReference w:id="1"/>
      </w:r>
      <w:r w:rsidRPr="00FB28B7">
        <w:t>,</w:t>
      </w:r>
    </w:p>
    <w:p w14:paraId="487E5C0C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>so zreteľom na zákon prijatý Národným zhromaždením Arménska 26. marca 2025, ktorým sa začal proces pristúpenia Arménska k Európskej únii,</w:t>
      </w:r>
    </w:p>
    <w:p w14:paraId="329E0BFB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 xml:space="preserve">so zreteľom na prejav, ktorý predniesol predseda vlády Nikol </w:t>
      </w:r>
      <w:proofErr w:type="spellStart"/>
      <w:r w:rsidRPr="00FB28B7">
        <w:t>Pašinjan</w:t>
      </w:r>
      <w:proofErr w:type="spellEnd"/>
      <w:r w:rsidRPr="00FB28B7">
        <w:t xml:space="preserve"> v Európskom parlamente 11. marca 2026,</w:t>
      </w:r>
    </w:p>
    <w:p w14:paraId="743E6AEE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>so zreteľom na spoločné tlačové vyhlásenie z 3. decembra 2025 v nadväznosti na šieste zasadnutie Rady pre partnerstvo medzi EÚ a Arménskom,</w:t>
      </w:r>
    </w:p>
    <w:p w14:paraId="199928FF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>so zreteľom na prijatie strategického programu partnerstva medzi Arménskom a EÚ,</w:t>
      </w:r>
    </w:p>
    <w:p w14:paraId="23C66DEB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 xml:space="preserve">so zreteľom na plán odolnosti a rastu EÚ – Arménsko a investičné záväzky EÚ v rámci stratégie </w:t>
      </w:r>
      <w:proofErr w:type="spellStart"/>
      <w:r w:rsidRPr="00FB28B7">
        <w:t>Global</w:t>
      </w:r>
      <w:proofErr w:type="spellEnd"/>
      <w:r w:rsidRPr="00FB28B7">
        <w:t xml:space="preserve"> </w:t>
      </w:r>
      <w:proofErr w:type="spellStart"/>
      <w:r w:rsidRPr="00FB28B7">
        <w:t>Gateway</w:t>
      </w:r>
      <w:proofErr w:type="spellEnd"/>
      <w:r w:rsidRPr="00FB28B7">
        <w:t>,</w:t>
      </w:r>
    </w:p>
    <w:p w14:paraId="0E739B74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>so zreteľom na závery politického a bezpečnostného dialógu medzi EÚ a Arménskom z 3. februára 2026,</w:t>
      </w:r>
    </w:p>
    <w:p w14:paraId="041F64C5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>so zreteľom na rozhodnutie Rady (SZBP) 2025/211 z 30. januára 2025</w:t>
      </w:r>
      <w:r w:rsidRPr="00FB28B7">
        <w:rPr>
          <w:rStyle w:val="FootnoteReference"/>
        </w:rPr>
        <w:footnoteReference w:id="2"/>
      </w:r>
      <w:r w:rsidRPr="00FB28B7">
        <w:t>, ktorým sa predlžuje mandát misie Európskej únie v Arménsku (EUMA) o dva roky,</w:t>
      </w:r>
    </w:p>
    <w:p w14:paraId="436992D0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>so zreteľom na rozhodnutie Rady (SZBP) 2026/894 z 21. apríla 2026</w:t>
      </w:r>
      <w:r w:rsidRPr="00FB28B7">
        <w:rPr>
          <w:rStyle w:val="FootnoteReference"/>
        </w:rPr>
        <w:footnoteReference w:id="3"/>
      </w:r>
      <w:r w:rsidRPr="00FB28B7">
        <w:t xml:space="preserve">, ktorým sa </w:t>
      </w:r>
      <w:r w:rsidRPr="00FB28B7">
        <w:lastRenderedPageBreak/>
        <w:t xml:space="preserve">zriaďuje partnerská misia EÚ v Arménsku (EUPM </w:t>
      </w:r>
      <w:proofErr w:type="spellStart"/>
      <w:r w:rsidRPr="00FB28B7">
        <w:t>Armenia</w:t>
      </w:r>
      <w:proofErr w:type="spellEnd"/>
      <w:r w:rsidRPr="00FB28B7">
        <w:t>) v rámci spoločnej bezpečnostnej a obrannej politiky (SBOP),</w:t>
      </w:r>
    </w:p>
    <w:p w14:paraId="443206B6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>so zreteľom na rozhodnutie Rady (SZBP) 2024/2010 z 22. júla 2024</w:t>
      </w:r>
      <w:r w:rsidRPr="00FB28B7">
        <w:rPr>
          <w:rStyle w:val="FootnoteReference"/>
        </w:rPr>
        <w:footnoteReference w:id="4"/>
      </w:r>
      <w:r w:rsidRPr="00FB28B7">
        <w:t>, ktorým sa prijíma vôbec prvé opatrenie pomoci v rámci Európskeho mierového nástroja na podporu arménskych ozbrojených síl,</w:t>
      </w:r>
    </w:p>
    <w:p w14:paraId="4E384317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>so zreteľom na ratifikáciu rámcovej dohody o účasti na SBOP medzi Európskou úniou a Arménskom</w:t>
      </w:r>
      <w:r w:rsidRPr="00FB28B7">
        <w:rPr>
          <w:rStyle w:val="FootnoteReference"/>
        </w:rPr>
        <w:footnoteReference w:id="5"/>
      </w:r>
      <w:r w:rsidRPr="00FB28B7">
        <w:t>, ktorá bola privítaná v spoločnom tlačovom vyhlásení z 3. decembra 2025 po šiestom zasadnutí Rady pre partnerstvo medzi EÚ a Arménskom,</w:t>
      </w:r>
    </w:p>
    <w:p w14:paraId="5F72B46D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>so zreteľom na mierový samit, ktorý sa konal 8. augusta 2025 vo Washingtone,</w:t>
      </w:r>
    </w:p>
    <w:p w14:paraId="4E80A917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 xml:space="preserve">so zreteľom na správu misie o odhade potrieb v súvislosti s parlamentnými voľbami v Arménsku 7. júna 2026, ktorú uverejnil Úrad pre demokratické inštitúcie a ľudské práva (ODIHR) Organizácie pre bezpečnosť a spoluprácu v Európe, a na prácu Rady Európy v oblasti noriem týkajúcich sa volieb, slobody médií a integrity informácií, </w:t>
      </w:r>
    </w:p>
    <w:p w14:paraId="38E3BBFC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>so zreteľom na svoje uznesenie z 15. apríla 2015 o 100. výročí genocídy Arménov</w:t>
      </w:r>
      <w:r w:rsidRPr="00FB28B7">
        <w:rPr>
          <w:rStyle w:val="FootnoteReference"/>
        </w:rPr>
        <w:footnoteReference w:id="6"/>
      </w:r>
      <w:r w:rsidRPr="00FB28B7">
        <w:t>,</w:t>
      </w:r>
    </w:p>
    <w:p w14:paraId="13AF8A37" w14:textId="77777777" w:rsidR="00C83B75" w:rsidRPr="00FB28B7" w:rsidRDefault="00C83B75" w:rsidP="00C83B75">
      <w:pPr>
        <w:pStyle w:val="NormalHanging12a"/>
      </w:pPr>
      <w:r w:rsidRPr="00FB28B7">
        <w:t>–</w:t>
      </w:r>
      <w:r w:rsidRPr="00FB28B7">
        <w:tab/>
        <w:t>so zreteľom na článok 136 ods. 2 a 4 rokovacieho poriadku,</w:t>
      </w:r>
    </w:p>
    <w:p w14:paraId="50562763" w14:textId="77777777" w:rsidR="00C83B75" w:rsidRPr="00FB28B7" w:rsidRDefault="00C83B75" w:rsidP="00C83B75">
      <w:pPr>
        <w:pStyle w:val="NormalHanging12a"/>
      </w:pPr>
      <w:r w:rsidRPr="00FB28B7">
        <w:t>A.</w:t>
      </w:r>
      <w:r w:rsidRPr="00FB28B7">
        <w:tab/>
        <w:t xml:space="preserve">keďže vzťahy medzi EÚ a Arménskom vstúpili do novej fázy, ktorá sa vyznačuje vyššou úrovňou politickej angažovanosti a rozšírenými bezpečnostnými vzťahmi; keďže tieto vzťahy sú založené na spoločných hodnotách vrátane demokracie, právneho štátu a dodržiavania ľudských práv a základných slobôd; keďže Rada pre partnerstvo medzi EÚ a Arménskom prijala nový strategický program ako významný krok pri posilňovaní dvojstranných väzieb, ktorý zahŕňa demokraciu, reformu súdnictva, ľudské práva a širokú škálu ďalších oblastí na základe komplexnej a posilnenej dohody o partnerstve; keďže EÚ opätovne potvrdila svoju neochvejnú podporu programu reforiem Arménska a jeho úsiliu bojovať proti hybridným hrozbám, ako aj pokroku, ktorý dosiahlo v dialógu o liberalizácii vízového režimu, a </w:t>
      </w:r>
      <w:proofErr w:type="spellStart"/>
      <w:r w:rsidRPr="00FB28B7">
        <w:t>únijnému</w:t>
      </w:r>
      <w:proofErr w:type="spellEnd"/>
      <w:r w:rsidRPr="00FB28B7">
        <w:t xml:space="preserve"> plánu odolnosti a rastu pre Arménsko vo výške 270 miliónov EUR; keďže Arménsko uskutočnilo v posledných rokoch významné reformy; keďže je nevyhnutné, aby došlo k ďalšiemu zlepšeniu;</w:t>
      </w:r>
    </w:p>
    <w:p w14:paraId="1431DEC7" w14:textId="77777777" w:rsidR="00C83B75" w:rsidRPr="00FB28B7" w:rsidRDefault="00C83B75" w:rsidP="00C83B75">
      <w:pPr>
        <w:pStyle w:val="NormalHanging12a"/>
      </w:pPr>
      <w:r w:rsidRPr="00FB28B7">
        <w:t>B.</w:t>
      </w:r>
      <w:r w:rsidRPr="00FB28B7">
        <w:tab/>
        <w:t>keďže 26. marca 2025 arménsky parlament prijal zákon o začatí procesu pristúpenia Arménska k EÚ, čím vyjadril túžbu krajiny stať sa členom EÚ;</w:t>
      </w:r>
    </w:p>
    <w:p w14:paraId="583C3BA7" w14:textId="77777777" w:rsidR="00C83B75" w:rsidRPr="00FB28B7" w:rsidRDefault="00C83B75" w:rsidP="00C83B75">
      <w:pPr>
        <w:pStyle w:val="NormalHanging12a"/>
      </w:pPr>
      <w:r w:rsidRPr="00FB28B7">
        <w:t>C.</w:t>
      </w:r>
      <w:r w:rsidRPr="00FB28B7">
        <w:tab/>
        <w:t>keďže nový strategický program prijatý v decembri 2025, ktorý vychádza z úplného vykonávania komplexnej a posilnenej dohody o partnerstve, sa vzťahuje na celý rad oblastí vrátane demokracie a právneho štátu, reformy súdnictva a ľudských práv; keďže výber týchto oblastí preukazuje zvrchovaný záväzok Arménska dodržiavať demokratické normy a zásady právneho štátu v súlade s normami a hodnotami EÚ;</w:t>
      </w:r>
    </w:p>
    <w:p w14:paraId="19C95AD3" w14:textId="77777777" w:rsidR="00C83B75" w:rsidRPr="00FB28B7" w:rsidRDefault="00C83B75" w:rsidP="00C83B75">
      <w:pPr>
        <w:pStyle w:val="NormalHanging12a"/>
      </w:pPr>
      <w:r w:rsidRPr="00FB28B7">
        <w:lastRenderedPageBreak/>
        <w:t>D.</w:t>
      </w:r>
      <w:r w:rsidRPr="00FB28B7">
        <w:tab/>
        <w:t>keďže ôsmy samit Európskeho politického spoločenstva a vôbec prvý samit EÚ – Arménsko sa uskutočnia v Jerevane 4. a 5. mája 2026, čo je historickým prejavom európskej solidarity s Arménskom; keďže samit EÚ – Arménsko, na ktorom sa stretnú predseda Európskej rady, predsedníčka Komisie a podpredsedníčka Komisie/vysoká predstaviteľka Únie pre zahraničné veci a bezpečnostnú politiku, má priniesť konkrétne výsledky pre dvojstranné vzťahy s osobitným zameraním na prepojenosť v oblasti energetickej, dopravnej a digitálnej infraštruktúry a na mier, bezpečnosť a prosperitu v Zakaukazsku;</w:t>
      </w:r>
    </w:p>
    <w:p w14:paraId="5CAE0C5E" w14:textId="77777777" w:rsidR="00C83B75" w:rsidRPr="00FB28B7" w:rsidRDefault="00C83B75" w:rsidP="00C83B75">
      <w:pPr>
        <w:pStyle w:val="NormalHanging12a"/>
      </w:pPr>
      <w:r w:rsidRPr="00FB28B7">
        <w:t>E.</w:t>
      </w:r>
      <w:r w:rsidRPr="00FB28B7">
        <w:tab/>
        <w:t xml:space="preserve">keďže 21. apríla 2026 Rada zriadila partnerskú misiu EÚ v Arménsku (EUPM </w:t>
      </w:r>
      <w:proofErr w:type="spellStart"/>
      <w:r w:rsidRPr="00FB28B7">
        <w:t>Armenia</w:t>
      </w:r>
      <w:proofErr w:type="spellEnd"/>
      <w:r w:rsidRPr="00FB28B7">
        <w:t xml:space="preserve">) v rámci SBOP, ktorá je ďalším príspevkom k posilneniu demokratickej odolnosti Arménska a jeho schopnosti zvládať krízy; keďže táto misia bude podporovať Arménsko pri riešení viacúrovňových hrozieb, ako je zahraničná manipulácia s informáciami a zahraničné zasahovanie, kybernetické útoky a nezákonné finančné toky; keďže zriadenie tejto misie potvrdzuje, že demokratická bezpečnosť je teraz jedným zo základných pilierov partnerstva medzi EÚ a Arménskom; keďže misia EUPM </w:t>
      </w:r>
      <w:proofErr w:type="spellStart"/>
      <w:r w:rsidRPr="00FB28B7">
        <w:t>Armenia</w:t>
      </w:r>
      <w:proofErr w:type="spellEnd"/>
      <w:r w:rsidRPr="00FB28B7">
        <w:t xml:space="preserve"> bude arménskym inštitúciám poskytovať strategické poradenstvo a budovanie kapacít s cieľom pomôcť im reagovať na takéto hrozby;</w:t>
      </w:r>
    </w:p>
    <w:p w14:paraId="1C1D6970" w14:textId="77777777" w:rsidR="00C83B75" w:rsidRPr="00FB28B7" w:rsidRDefault="00C83B75" w:rsidP="00C83B75">
      <w:pPr>
        <w:pStyle w:val="NormalHanging12a"/>
        <w:rPr>
          <w:bCs/>
        </w:rPr>
      </w:pPr>
      <w:r w:rsidRPr="00FB28B7">
        <w:t>F.</w:t>
      </w:r>
      <w:r w:rsidRPr="00FB28B7">
        <w:tab/>
        <w:t>keďže 7. júna 2026 sa budú v Arménsku konať parlamentné voľby, ktoré sú strategicky dôležité nielen pre upevnenie domácej demokracie, ale aj pre udržateľnosť mieru, reforiem a užšej spolupráce s EÚ; keďže integrita volieb závisí od existencie podmienok pre slobodné, spravodlivé a pluralitné voľby, silných inštitúcií, nezávislých médií a spoľahlivých záruk proti dezinformáciám, nezákonnému financovaniu, kupovaniu hlasov a iným formám škodlivého zasahovania; keďže Úrad pre demokratické inštitúcie a ľudské práva (ODIHR) zaznamenal obavy týkajúce sa pripravenosti okrskových komisií, kybernetickej bezpečnosti, predčasného začiatku kampane, zneužívania administratívnych zdrojov, transparentnosti financovania kampane a polarizácie médií; keďže zahraničné zasahovanie – najmä systematické hybridné operácie Ruska vykonávané s pomocou jeho zástupných aktérov vrátane dezinformačných kampaní, kybernetických operácií, hospodárskeho tlaku a mobilizácie miestnych zástupných aktérov – čoraz častejšie prebieha prostredníctvom domácich zosilňovacích hlasov, ako sú niektorí náboženskí aktéri a oligarchické siete, čo kopíruje vzorce pozorované pri nedávnych voľbách v Moldavsku a Gruzínsku;</w:t>
      </w:r>
    </w:p>
    <w:p w14:paraId="2F62A7C2" w14:textId="77777777" w:rsidR="00C83B75" w:rsidRPr="00FB28B7" w:rsidRDefault="00C83B75" w:rsidP="00C83B75">
      <w:pPr>
        <w:pStyle w:val="NormalHanging12a"/>
        <w:rPr>
          <w:bCs/>
        </w:rPr>
      </w:pPr>
      <w:r w:rsidRPr="00FB28B7">
        <w:t>G.</w:t>
      </w:r>
      <w:r w:rsidRPr="00FB28B7">
        <w:tab/>
        <w:t xml:space="preserve">keďže </w:t>
      </w:r>
      <w:proofErr w:type="spellStart"/>
      <w:r w:rsidRPr="00FB28B7">
        <w:t>Vladimir</w:t>
      </w:r>
      <w:proofErr w:type="spellEnd"/>
      <w:r w:rsidRPr="00FB28B7">
        <w:t xml:space="preserve"> Putin vyvíjal počas stretnutia 1. apríla 2026 nátlak na predsedu vlády Arménska Nikola </w:t>
      </w:r>
      <w:proofErr w:type="spellStart"/>
      <w:r w:rsidRPr="00FB28B7">
        <w:t>Pašinjana</w:t>
      </w:r>
      <w:proofErr w:type="spellEnd"/>
      <w:r w:rsidRPr="00FB28B7">
        <w:t xml:space="preserve">, aby zadržiavanému rusko-arménskemu miliardárovi </w:t>
      </w:r>
      <w:proofErr w:type="spellStart"/>
      <w:r w:rsidRPr="00FB28B7">
        <w:t>Samvelovi</w:t>
      </w:r>
      <w:proofErr w:type="spellEnd"/>
      <w:r w:rsidRPr="00FB28B7">
        <w:t xml:space="preserve"> </w:t>
      </w:r>
      <w:proofErr w:type="spellStart"/>
      <w:r w:rsidRPr="00FB28B7">
        <w:t>Karapetjanovi</w:t>
      </w:r>
      <w:proofErr w:type="spellEnd"/>
      <w:r w:rsidRPr="00FB28B7">
        <w:t xml:space="preserve"> umožnil zúčastniť sa na nadchádzajúcich voľbách v Arménsku;</w:t>
      </w:r>
    </w:p>
    <w:p w14:paraId="76CA8E8C" w14:textId="77777777" w:rsidR="00C83B75" w:rsidRPr="00FB28B7" w:rsidRDefault="00C83B75" w:rsidP="00C83B75">
      <w:pPr>
        <w:pStyle w:val="NormalHanging12a"/>
        <w:rPr>
          <w:bCs/>
        </w:rPr>
      </w:pPr>
      <w:r w:rsidRPr="00FB28B7">
        <w:t>H.</w:t>
      </w:r>
      <w:r w:rsidRPr="00FB28B7">
        <w:tab/>
        <w:t>keďže misia EÚ v Arménsku naďalej zohráva kľúčovú úlohu pri prispievaní k stabilite, budovaniu dôvery a ľudskej bezpečnosti v oblastiach postihnutých konfliktom; keďže 30. januára 2025 Rada predĺžila mandát misie EÚ v Arménsku o dva roky; keďže misia EÚ v Arménsku zohráva kľúčovú stabilizačnú úlohu pozdĺž arménsko-azerbajdžanskej hranice; keďže prispieva aj k pozorovaniu situácie na mieste a podávaniu správ o nej a k podpore budovania dôvery medzi Arménskom a Azerbajdžanom;</w:t>
      </w:r>
    </w:p>
    <w:p w14:paraId="53CB7F3A" w14:textId="77777777" w:rsidR="00C83B75" w:rsidRPr="00FB28B7" w:rsidRDefault="00C83B75" w:rsidP="00C83B75">
      <w:pPr>
        <w:pStyle w:val="NormalHanging12a"/>
      </w:pPr>
      <w:r w:rsidRPr="00FB28B7">
        <w:t>I.</w:t>
      </w:r>
      <w:r w:rsidRPr="00FB28B7">
        <w:tab/>
        <w:t xml:space="preserve">keďže mierový proces medzi Arménskom a Azerbajdžanom zaznamenal výrazný posun vpred a vznikajú plány na vytvorenie </w:t>
      </w:r>
      <w:proofErr w:type="spellStart"/>
      <w:r w:rsidRPr="00FB28B7">
        <w:t>multimodálneho</w:t>
      </w:r>
      <w:proofErr w:type="spellEnd"/>
      <w:r w:rsidRPr="00FB28B7">
        <w:t xml:space="preserve"> tranzitného prepojenia cez arménske územie, ktoré by spojilo kontinentálny Azerbajdžan s jeho </w:t>
      </w:r>
      <w:proofErr w:type="spellStart"/>
      <w:r w:rsidRPr="00FB28B7">
        <w:t>Nachičevanskou</w:t>
      </w:r>
      <w:proofErr w:type="spellEnd"/>
      <w:r w:rsidRPr="00FB28B7">
        <w:t xml:space="preserve"> autonómnou republikou, a to pri plnom rešpektovaní zvrchovanosti, územnej celistvosti </w:t>
      </w:r>
      <w:r w:rsidRPr="00FB28B7">
        <w:lastRenderedPageBreak/>
        <w:t>a jurisdikcie Arménska, a ktoré predstavuje kľúčový nástroj na zníženie hospodárskej závislosti Arménska od Ruska; keďže EÚ prostredníctvom partnerstva EÚ s Arménskom v oblasti prepojenosti a iniciatívy Križovatka mieru tento proces plne podporuje;</w:t>
      </w:r>
    </w:p>
    <w:p w14:paraId="40DCC357" w14:textId="77777777" w:rsidR="00C83B75" w:rsidRPr="00FB28B7" w:rsidRDefault="00C83B75" w:rsidP="00C83B75">
      <w:pPr>
        <w:pStyle w:val="NormalHanging12a"/>
      </w:pPr>
      <w:r w:rsidRPr="00FB28B7">
        <w:t>1.</w:t>
      </w:r>
      <w:r w:rsidRPr="00FB28B7">
        <w:tab/>
        <w:t>potvrdzuje svoju silnú vieru v odhodlanie arménskych orgánov presadzovať slobodné, spravodlivé a transparentné voľby a vyjadruje podporu ich úsiliu o ochranu demokratických inštitúcií pred vonkajším zasahovaním;</w:t>
      </w:r>
    </w:p>
    <w:p w14:paraId="703EB054" w14:textId="77777777" w:rsidR="00C83B75" w:rsidRPr="00FB28B7" w:rsidRDefault="00C83B75" w:rsidP="00C83B75">
      <w:pPr>
        <w:pStyle w:val="NormalHanging12a"/>
      </w:pPr>
      <w:r w:rsidRPr="00FB28B7">
        <w:t>2.</w:t>
      </w:r>
      <w:r w:rsidRPr="00FB28B7">
        <w:tab/>
        <w:t>vyjadruje plnú podporu slobodným, spravodlivým, pluralitným a pokojným parlamentným voľbám v Arménsku v júni 2026, ktorých výsledok musí určiť výlučne arménsky ľud; zdôrazňuje význam nezávislosti volebnej správy, rovnakých podmienok kampane pre všetkých kandidátov, plurality médií a plného dodržiavania základných slobôd počas celého volebného cyklu; požaduje spoľahlivé záruky proti dezinformáciám, nezákonnému financovaniu, kupovaniu hlasov a nátlaku a posilnenú ochranu volebnej infraštruktúry, transparentnosť financovania kampane a podporu iniciatív na overovanie faktov a podporu občianskej spoločnosti, a to aj prostredníctvom mechanizmov výmeny informácií a včasného varovania; požaduje účasť rozsiahlych medzinárodných a domácich volebných pozorovateľských misii, a to aj misie vedenej Úradom pre demokratické inštitúcie a ľudské práva, a plnú spoluprácu s týmito misiami;</w:t>
      </w:r>
    </w:p>
    <w:p w14:paraId="2FFF6A8C" w14:textId="77777777" w:rsidR="00C83B75" w:rsidRPr="00FB28B7" w:rsidRDefault="00C83B75" w:rsidP="00C83B75">
      <w:pPr>
        <w:pStyle w:val="NormalHanging12a"/>
      </w:pPr>
      <w:r w:rsidRPr="00FB28B7">
        <w:t>3.</w:t>
      </w:r>
      <w:r w:rsidRPr="00FB28B7">
        <w:tab/>
        <w:t xml:space="preserve">dôrazne odsudzuje zahraničnú manipuláciu s informáciami a zahraničné zasahovanie, dezinformačné kampane a iné hybridné hrozby namierené proti Arménsku, najmä tie, ktoré vychádzajú z Ruska a od jeho zástupných aktérov, a to aj v podobe kybernetických útokov, nezákonného politického financovania a využívania domácich aktérov vrátane oligarchických sietí na posilnenie takýchto hrozieb; zdôrazňuje, že tieto hrozby majú štrukturálny a dlhodobý charakter a treba sa neustále snažiť posilňovať demokratickú odolnosť aj mimo volebného cyklu; v tejto súvislosti víta zriadenie misie EUPM </w:t>
      </w:r>
      <w:proofErr w:type="spellStart"/>
      <w:r w:rsidRPr="00FB28B7">
        <w:t>Armenia</w:t>
      </w:r>
      <w:proofErr w:type="spellEnd"/>
      <w:r w:rsidRPr="00FB28B7">
        <w:t xml:space="preserve"> a vyzýva na posilnenie podpory EÚ prostredníctvom strategickej komunikácie, mediálnej gramotnosti, budovania kapacít v oblasti kybernetickej bezpečnosti a štruktúrovanej spolupráce s online platformami; vyzýva arménske orgány, aby v plnej miere zaručili dodržiavanie práv opozície, nezávislosti súdnictva a slobody prejavu;</w:t>
      </w:r>
    </w:p>
    <w:p w14:paraId="74A74337" w14:textId="77777777" w:rsidR="00C83B75" w:rsidRPr="00FB28B7" w:rsidRDefault="00C83B75" w:rsidP="00C83B75">
      <w:pPr>
        <w:pStyle w:val="NormalHanging12a"/>
      </w:pPr>
      <w:r w:rsidRPr="00FB28B7">
        <w:t>4.</w:t>
      </w:r>
      <w:r w:rsidRPr="00FB28B7">
        <w:tab/>
        <w:t>berie na vedomie osobitné výzvy spojené s prítomnosťou početnej ruskej komunity vrátane osôb s dvojakou štátnou príslušnosťou v Arménsku a zdôrazňuje potrebu ostražitosti voči akýmkoľvek pokusom o využitie tejto situácie na zasahovanie do volieb;</w:t>
      </w:r>
    </w:p>
    <w:p w14:paraId="4FCA8453" w14:textId="77777777" w:rsidR="00C83B75" w:rsidRPr="00FB28B7" w:rsidRDefault="00C83B75" w:rsidP="00C83B75">
      <w:pPr>
        <w:pStyle w:val="NormalHanging12a"/>
      </w:pPr>
      <w:r w:rsidRPr="00FB28B7">
        <w:t>5.</w:t>
      </w:r>
      <w:r w:rsidRPr="00FB28B7">
        <w:tab/>
        <w:t>víta silný impulz vo vzťahoch medzi EÚ a Arménskom a pokračujúci záväzok Arménska k demokracii, právnemu štátu, ľudským právam a ambicióznym politickým a hospodárskym reformám;</w:t>
      </w:r>
    </w:p>
    <w:p w14:paraId="27433AFF" w14:textId="77777777" w:rsidR="00C83B75" w:rsidRPr="00FB28B7" w:rsidRDefault="00C83B75" w:rsidP="00C83B75">
      <w:pPr>
        <w:pStyle w:val="NormalHanging12a"/>
      </w:pPr>
      <w:r w:rsidRPr="00FB28B7">
        <w:t>6.</w:t>
      </w:r>
      <w:r w:rsidRPr="00FB28B7">
        <w:tab/>
        <w:t>víta prijatie nového strategického programu partnerstva medzi EÚ a Arménskom, pokrok dosiahnutý pri vykonávaní komplexnej a posilnenej dohody o partnerstve, pokrok v dialógu o liberalizácii vízového režimu a pokračujúce vykonávanie plánu odolnosti a rastu; v tejto súvislosti víta legislatívne a politické úsilie Arménska zamerané na prehĺbenie vzťahov s EÚ;</w:t>
      </w:r>
    </w:p>
    <w:p w14:paraId="593B101E" w14:textId="77777777" w:rsidR="00C83B75" w:rsidRPr="00FB28B7" w:rsidRDefault="00C83B75" w:rsidP="00C83B75">
      <w:pPr>
        <w:pStyle w:val="NormalHanging12a"/>
      </w:pPr>
      <w:r w:rsidRPr="00FB28B7">
        <w:t>7.</w:t>
      </w:r>
      <w:r w:rsidRPr="00FB28B7">
        <w:tab/>
        <w:t xml:space="preserve">víta usporiadanie ôsmeho samitu Európskeho politického spoločenstva a vôbec prvého samitu EÚ – Arménsko 4. a 5. mája 2026 v Jerevane ako výnimočný a historický </w:t>
      </w:r>
      <w:r w:rsidRPr="00FB28B7">
        <w:lastRenderedPageBreak/>
        <w:t>míľnik; domnieva sa, že usporiadanie oboch po sebe nasledujúcich samitov v Jerevane vysiela jednoznačný politický signál celoeurópskej solidarity s Arménskom a záväzku EÚ podporovať program Arménska v oblasti mieru, reforiem a odolnosti; vyzýva vedúcich predstaviteľov EÚ a Arménska, aby využili túto príležitosť na vytvorenie ambicióznych a konkrétnych cieľov;</w:t>
      </w:r>
    </w:p>
    <w:p w14:paraId="49E633AD" w14:textId="77777777" w:rsidR="00C83B75" w:rsidRPr="00FB28B7" w:rsidRDefault="00C83B75" w:rsidP="00C83B75">
      <w:pPr>
        <w:pStyle w:val="NormalHanging12a"/>
      </w:pPr>
      <w:r w:rsidRPr="00FB28B7">
        <w:t>8.</w:t>
      </w:r>
      <w:r w:rsidRPr="00FB28B7">
        <w:tab/>
        <w:t>víta prijatie právneho predpisu, ktorým táto krajina vyjadruje svoju túžbu stať sa členom EÚ, a vyzýva inštitúcie EÚ a arménske orgány, aby podporili túto politickú voľbu praktickými krokmi, ktoré budú založené na demokracii, zásadách právneho štátu a základných slobodách;</w:t>
      </w:r>
    </w:p>
    <w:p w14:paraId="1F595974" w14:textId="77777777" w:rsidR="00C83B75" w:rsidRPr="00FB28B7" w:rsidRDefault="00C83B75" w:rsidP="00C83B75">
      <w:pPr>
        <w:pStyle w:val="NormalHanging12a"/>
        <w:rPr>
          <w:bCs/>
        </w:rPr>
      </w:pPr>
      <w:r w:rsidRPr="00FB28B7">
        <w:t>9.</w:t>
      </w:r>
      <w:r w:rsidRPr="00FB28B7">
        <w:tab/>
        <w:t>vyzýva Komisiu, Európsku službu pre vonkajšiu činnosť a členské štáty, aby prehĺbili spoluprácu s Arménskom v oblasti demokratickej správy vecí verejných, právneho štátu, reformy súdnictva, boja proti korupcii, kybernetickej bezpečnosti a odolnosti voči hybridným hrozbám a aby zvýšili dostupnú podporu pre nezávislé médiá, občiansku spoločnosť, miestne inštitúcie a verejnú správu orientovanú na reformy; vyzýva na úzku koordináciu s medzinárodnými partnermi pri podpore tohto úsilia;</w:t>
      </w:r>
    </w:p>
    <w:p w14:paraId="41C9764E" w14:textId="77777777" w:rsidR="00C83B75" w:rsidRPr="00FB28B7" w:rsidRDefault="00C83B75" w:rsidP="00C83B75">
      <w:pPr>
        <w:pStyle w:val="NormalHanging12a"/>
        <w:rPr>
          <w:bCs/>
        </w:rPr>
      </w:pPr>
      <w:r w:rsidRPr="00FB28B7">
        <w:t>10.</w:t>
      </w:r>
      <w:r w:rsidRPr="00FB28B7">
        <w:tab/>
        <w:t>dôrazne podporuje pokračujúce úsilie Arménska o mier, zmierenie a úplnú normalizáciu vzťahov s Azerbajdžanom; víta pokrok dosiahnutý v mierovom procese a vyzýva obe strany, aby pristúpili ku komplexnej a právne záväznej mierovej dohode; zdôrazňuje, že akýkoľvek udržateľný mier musí byť založený na rešpektovaní zvrchovanosti, územnej celistvosti a nedotknuteľnosti hraníc;</w:t>
      </w:r>
    </w:p>
    <w:p w14:paraId="68CC6CE5" w14:textId="77777777" w:rsidR="00C83B75" w:rsidRPr="00FB28B7" w:rsidRDefault="00C83B75" w:rsidP="00C83B75">
      <w:pPr>
        <w:pStyle w:val="NormalHanging12a"/>
      </w:pPr>
      <w:r w:rsidRPr="00FB28B7">
        <w:t>11.</w:t>
      </w:r>
      <w:r w:rsidRPr="00FB28B7">
        <w:tab/>
        <w:t>nabáda na posilnenú výmenu informácií a spoluprácu s Moldavskou republikou s podporou EÚ vzhľadom na porovnateľné skúsenosti so zasahovaním do volieb;</w:t>
      </w:r>
    </w:p>
    <w:p w14:paraId="057A6FE0" w14:textId="77777777" w:rsidR="00C83B75" w:rsidRPr="00FB28B7" w:rsidRDefault="00C83B75" w:rsidP="00C83B75">
      <w:pPr>
        <w:pStyle w:val="NormalHanging12a"/>
      </w:pPr>
      <w:r w:rsidRPr="00FB28B7">
        <w:t>12.</w:t>
      </w:r>
      <w:r w:rsidRPr="00FB28B7">
        <w:tab/>
        <w:t>opakuje svoju podporu právam Arménov v Náhornom Karabachu vrátane ochrany ich identity, majetku a kultúrneho dedičstva a ich právu na bezpečný, nerušený a dôstojný návrat s primeranými medzinárodnými zárukami; žiada, aby osoby zodpovedné za ničenie arménskeho kultúrneho a náboženského dedičstva boli brané na zodpovednosť a aby bola vyslaná medzinárodná hodnotiaca misia;</w:t>
      </w:r>
    </w:p>
    <w:p w14:paraId="4522A051" w14:textId="77777777" w:rsidR="00C83B75" w:rsidRPr="00FB28B7" w:rsidRDefault="00C83B75" w:rsidP="00C83B75">
      <w:pPr>
        <w:pStyle w:val="NormalHanging12a"/>
        <w:rPr>
          <w:bCs/>
        </w:rPr>
      </w:pPr>
      <w:r w:rsidRPr="00FB28B7">
        <w:t>13.</w:t>
      </w:r>
      <w:r w:rsidRPr="00FB28B7">
        <w:tab/>
        <w:t>odsudzuje nespravodlivé zadržiavanie arménskych vojnových zajatcov, zadržiavaných osôb a rukojemníkov Azerbajdžanom; požaduje ich okamžité a bezpodmienečné prepustenie; berie na vedomie doterajšie kroky a vyzýva na prijatie ďalších opatrení na budovanie dôvery; vyzýva na úplné dodržiavanie medzinárodného humanitárneho práva a práva v oblasti ľudských práv;</w:t>
      </w:r>
    </w:p>
    <w:p w14:paraId="5C6D2940" w14:textId="77777777" w:rsidR="00C83B75" w:rsidRPr="00FB28B7" w:rsidRDefault="00C83B75" w:rsidP="00C83B75">
      <w:pPr>
        <w:pStyle w:val="NormalHanging12a"/>
      </w:pPr>
      <w:r w:rsidRPr="00FB28B7">
        <w:t>14.</w:t>
      </w:r>
      <w:r w:rsidRPr="00FB28B7">
        <w:tab/>
        <w:t>vyzýva EÚ, aby zintenzívnila finančnú a technickú pomoc Arménsku, a to aj prostredníctvom plánu odolnosti a rastu, so zameraním na posilnenie inštitucionálnej odolnosti, energetickej bezpečnosti, digitálnej správy a hospodárskej diverzifikácie a na zníženie štrukturálnych závislostí v kritických odvetviach, ako sú energetika, doprava a infraštruktúra; nabáda arménsku vládu, aby nadviazala na reformy ďalšími krokmi;</w:t>
      </w:r>
    </w:p>
    <w:p w14:paraId="62D476AE" w14:textId="77777777" w:rsidR="00C83B75" w:rsidRPr="00FB28B7" w:rsidRDefault="00C83B75" w:rsidP="00C83B75">
      <w:pPr>
        <w:pStyle w:val="NormalHanging12a"/>
      </w:pPr>
      <w:r w:rsidRPr="00FB28B7">
        <w:t>15.</w:t>
      </w:r>
      <w:r w:rsidRPr="00FB28B7">
        <w:tab/>
        <w:t xml:space="preserve">víta prijatie stratégie občianskej spoločnosti v rámci misie EÚ v Arménsku; považuje to za dôležitý krok pri rozširovaní spolupráce misie s arménskou občianskou spoločnosťou nad rámec jej hlavného mandátu na monitorovanie bezpečnosti a nabáda misiu EÚ v Arménsku, aby v rámci svojho príspevku k demokratickej odolnosti posilnila svoj dosah na miestnych demokratických aktérov, komunitné organizácie a nezávislé médiá; oceňuje prácu arménskej občianskej spoločnosti pri vyšetrovaní kampaní zahraničného </w:t>
      </w:r>
      <w:r w:rsidRPr="00FB28B7">
        <w:lastRenderedPageBreak/>
        <w:t>zasahovania, kybernetických útokov a dezinformácií na internete;</w:t>
      </w:r>
    </w:p>
    <w:p w14:paraId="0BD9E9C6" w14:textId="77777777" w:rsidR="00C83B75" w:rsidRPr="00FB28B7" w:rsidRDefault="00C83B75" w:rsidP="00C83B75">
      <w:pPr>
        <w:pStyle w:val="NormalHanging12a"/>
        <w:rPr>
          <w:bCs/>
        </w:rPr>
      </w:pPr>
      <w:r w:rsidRPr="00FB28B7">
        <w:t>16.</w:t>
      </w:r>
      <w:r w:rsidRPr="00FB28B7">
        <w:tab/>
        <w:t>víta pokračujúce úsilie o normalizáciu vzťahov medzi Arménskom a Tureckom ako dôležitý príspevok k regionálnej stabilite, zmiereniu a prepojenosti; vyzýva obe strany, aby aj naďalej v dobrej viere uskutočňovali ďalšie kroky na budovanie dôvery vrátane opätovného otvorenia hraníc ako významného príspevku k regionálnej stabilite, zmiereniu a prepojenosti;</w:t>
      </w:r>
    </w:p>
    <w:p w14:paraId="03996E98" w14:textId="4C06242C" w:rsidR="00E365E1" w:rsidRPr="00FB28B7" w:rsidRDefault="00C83B75" w:rsidP="004B45E9">
      <w:pPr>
        <w:pStyle w:val="NormalHanging12a"/>
      </w:pPr>
      <w:r w:rsidRPr="00FB28B7">
        <w:t>17.</w:t>
      </w:r>
      <w:r w:rsidRPr="00FB28B7">
        <w:tab/>
        <w:t>poveruje svoju predsedníčku, aby postúpila toto uznesenie Rade, Komisii, podpredsedníčke Komisie/vysokej predstaviteľke Únie pre zahraničné veci a bezpečnostnú politiku, vládam a parlamentom členských štátov, prezidentovi, vláde a parlamentu Arménskej republiky, Organizácii pre bezpečnosť a spoluprácu v Európe, Rade Európy a Organizácii Spojených národov.</w:t>
      </w:r>
    </w:p>
    <w:sectPr w:rsidR="00E365E1" w:rsidRPr="00FB28B7" w:rsidSect="002B65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6FB39" w14:textId="77777777" w:rsidR="00C11B58" w:rsidRPr="002B65CE" w:rsidRDefault="00C11B58">
      <w:r w:rsidRPr="002B65CE">
        <w:separator/>
      </w:r>
    </w:p>
  </w:endnote>
  <w:endnote w:type="continuationSeparator" w:id="0">
    <w:p w14:paraId="1360EAF1" w14:textId="77777777" w:rsidR="00C11B58" w:rsidRPr="002B65CE" w:rsidRDefault="00C11B58">
      <w:r w:rsidRPr="002B65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218AD" w14:textId="77777777" w:rsidR="00064002" w:rsidRPr="002B65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A3E43" w14:textId="77777777" w:rsidR="00064002" w:rsidRPr="002B65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C5FC6" w14:textId="77777777" w:rsidR="00064002" w:rsidRPr="002B65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D7248" w14:textId="77777777" w:rsidR="00C11B58" w:rsidRPr="002B65CE" w:rsidRDefault="00C11B58">
      <w:r w:rsidRPr="002B65CE">
        <w:separator/>
      </w:r>
    </w:p>
  </w:footnote>
  <w:footnote w:type="continuationSeparator" w:id="0">
    <w:p w14:paraId="285DD60F" w14:textId="77777777" w:rsidR="00C11B58" w:rsidRPr="002B65CE" w:rsidRDefault="00C11B58">
      <w:r w:rsidRPr="002B65CE">
        <w:continuationSeparator/>
      </w:r>
    </w:p>
  </w:footnote>
  <w:footnote w:id="1">
    <w:p w14:paraId="2B8E3C9A" w14:textId="7F43A72B" w:rsidR="00C83B75" w:rsidRPr="002B65CE" w:rsidRDefault="00C83B75" w:rsidP="002B65CE">
      <w:pPr>
        <w:pStyle w:val="FootnoteText"/>
        <w:ind w:left="567" w:hanging="567"/>
        <w:rPr>
          <w:sz w:val="24"/>
          <w:lang w:val="sk-SK"/>
        </w:rPr>
      </w:pPr>
      <w:r w:rsidRPr="002B65CE">
        <w:rPr>
          <w:rStyle w:val="FootnoteReference"/>
          <w:sz w:val="24"/>
          <w:lang w:val="sk-SK"/>
        </w:rPr>
        <w:footnoteRef/>
      </w:r>
      <w:r w:rsidR="002B65CE" w:rsidRPr="002B65CE">
        <w:rPr>
          <w:sz w:val="24"/>
          <w:lang w:val="sk-SK"/>
        </w:rPr>
        <w:t xml:space="preserve"> </w:t>
      </w:r>
      <w:r w:rsidR="002B65CE" w:rsidRPr="002B65CE">
        <w:rPr>
          <w:sz w:val="24"/>
          <w:lang w:val="sk-SK"/>
        </w:rPr>
        <w:tab/>
      </w:r>
      <w:r w:rsidRPr="002B65CE">
        <w:rPr>
          <w:sz w:val="24"/>
          <w:lang w:val="sk-SK"/>
        </w:rPr>
        <w:t xml:space="preserve">Ú. v. EÚ L 23, 26.1.2018, s. 4, ELI: </w:t>
      </w:r>
      <w:hyperlink r:id="rId1" w:history="1">
        <w:r w:rsidRPr="002B65CE">
          <w:rPr>
            <w:rStyle w:val="Hyperlink"/>
            <w:sz w:val="24"/>
            <w:lang w:val="sk-SK"/>
          </w:rPr>
          <w:t>https://eur-lex.europa.eu/eli/agree_internation/2018/104/oj</w:t>
        </w:r>
      </w:hyperlink>
      <w:r w:rsidRPr="002B65CE">
        <w:rPr>
          <w:sz w:val="24"/>
          <w:lang w:val="sk-SK"/>
        </w:rPr>
        <w:t>.</w:t>
      </w:r>
    </w:p>
  </w:footnote>
  <w:footnote w:id="2">
    <w:p w14:paraId="0AB7A3C2" w14:textId="4957D466" w:rsidR="00C83B75" w:rsidRPr="002B65CE" w:rsidRDefault="00C83B75" w:rsidP="002B65CE">
      <w:pPr>
        <w:pStyle w:val="FootnoteText"/>
        <w:ind w:left="567" w:hanging="567"/>
        <w:rPr>
          <w:sz w:val="24"/>
          <w:lang w:val="sk-SK"/>
        </w:rPr>
      </w:pPr>
      <w:r w:rsidRPr="002B65CE">
        <w:rPr>
          <w:rStyle w:val="FootnoteReference"/>
          <w:sz w:val="24"/>
          <w:lang w:val="sk-SK"/>
        </w:rPr>
        <w:footnoteRef/>
      </w:r>
      <w:r w:rsidR="002B65CE" w:rsidRPr="002B65CE">
        <w:rPr>
          <w:sz w:val="24"/>
          <w:lang w:val="sk-SK"/>
        </w:rPr>
        <w:t xml:space="preserve"> </w:t>
      </w:r>
      <w:r w:rsidR="002B65CE" w:rsidRPr="002B65CE">
        <w:rPr>
          <w:sz w:val="24"/>
          <w:lang w:val="sk-SK"/>
        </w:rPr>
        <w:tab/>
      </w:r>
      <w:r w:rsidRPr="002B65CE">
        <w:rPr>
          <w:sz w:val="24"/>
          <w:lang w:val="sk-SK"/>
        </w:rPr>
        <w:t xml:space="preserve">Ú. v. EÚ L, 2025/211, 31.1.2025, ELI: </w:t>
      </w:r>
      <w:hyperlink r:id="rId2" w:history="1">
        <w:r w:rsidRPr="002B65CE">
          <w:rPr>
            <w:rStyle w:val="Hyperlink"/>
            <w:sz w:val="24"/>
            <w:lang w:val="sk-SK"/>
          </w:rPr>
          <w:t>http://data.europa.eu/eli/dec/2025/211/oj</w:t>
        </w:r>
      </w:hyperlink>
      <w:r w:rsidRPr="002B65CE">
        <w:rPr>
          <w:sz w:val="24"/>
          <w:lang w:val="sk-SK"/>
        </w:rPr>
        <w:t>.</w:t>
      </w:r>
    </w:p>
  </w:footnote>
  <w:footnote w:id="3">
    <w:p w14:paraId="42120BB7" w14:textId="3C3781FE" w:rsidR="00C83B75" w:rsidRPr="002B65CE" w:rsidRDefault="00C83B75" w:rsidP="002B65CE">
      <w:pPr>
        <w:pStyle w:val="FootnoteText"/>
        <w:ind w:left="567" w:hanging="567"/>
        <w:rPr>
          <w:sz w:val="24"/>
          <w:lang w:val="sk-SK"/>
        </w:rPr>
      </w:pPr>
      <w:r w:rsidRPr="002B65CE">
        <w:rPr>
          <w:rStyle w:val="FootnoteReference"/>
          <w:sz w:val="24"/>
          <w:lang w:val="sk-SK"/>
        </w:rPr>
        <w:footnoteRef/>
      </w:r>
      <w:r w:rsidR="002B65CE" w:rsidRPr="002B65CE">
        <w:rPr>
          <w:sz w:val="24"/>
          <w:lang w:val="sk-SK"/>
        </w:rPr>
        <w:t xml:space="preserve"> </w:t>
      </w:r>
      <w:r w:rsidR="002B65CE" w:rsidRPr="002B65CE">
        <w:rPr>
          <w:sz w:val="24"/>
          <w:lang w:val="sk-SK"/>
        </w:rPr>
        <w:tab/>
      </w:r>
      <w:r w:rsidRPr="002B65CE">
        <w:rPr>
          <w:sz w:val="24"/>
          <w:lang w:val="sk-SK"/>
        </w:rPr>
        <w:t xml:space="preserve">Ú. v. EÚ L, 2026/894, 22.4.2026, ELI: </w:t>
      </w:r>
      <w:hyperlink r:id="rId3" w:history="1">
        <w:r w:rsidRPr="002B65CE">
          <w:rPr>
            <w:rStyle w:val="Hyperlink"/>
            <w:sz w:val="24"/>
            <w:lang w:val="sk-SK"/>
          </w:rPr>
          <w:t>http://data.europa.eu/eli/dec/2026/894/oj</w:t>
        </w:r>
      </w:hyperlink>
      <w:r w:rsidRPr="002B65CE">
        <w:rPr>
          <w:sz w:val="24"/>
          <w:lang w:val="sk-SK"/>
        </w:rPr>
        <w:t>.</w:t>
      </w:r>
    </w:p>
  </w:footnote>
  <w:footnote w:id="4">
    <w:p w14:paraId="495834D6" w14:textId="0A03ED65" w:rsidR="00C83B75" w:rsidRPr="002B65CE" w:rsidRDefault="00C83B75" w:rsidP="002B65CE">
      <w:pPr>
        <w:pStyle w:val="FootnoteText"/>
        <w:ind w:left="567" w:hanging="567"/>
        <w:rPr>
          <w:sz w:val="24"/>
          <w:lang w:val="sk-SK"/>
        </w:rPr>
      </w:pPr>
      <w:r w:rsidRPr="002B65CE">
        <w:rPr>
          <w:rStyle w:val="FootnoteReference"/>
          <w:sz w:val="24"/>
          <w:lang w:val="sk-SK"/>
        </w:rPr>
        <w:footnoteRef/>
      </w:r>
      <w:r w:rsidR="002B65CE" w:rsidRPr="002B65CE">
        <w:rPr>
          <w:sz w:val="24"/>
          <w:lang w:val="sk-SK"/>
        </w:rPr>
        <w:t xml:space="preserve"> </w:t>
      </w:r>
      <w:r w:rsidR="002B65CE" w:rsidRPr="002B65CE">
        <w:rPr>
          <w:sz w:val="24"/>
          <w:lang w:val="sk-SK"/>
        </w:rPr>
        <w:tab/>
      </w:r>
      <w:r w:rsidRPr="002B65CE">
        <w:rPr>
          <w:sz w:val="24"/>
          <w:lang w:val="sk-SK"/>
        </w:rPr>
        <w:t xml:space="preserve">Ú. v. EÚ L, 2024/2010, 23.7.2024, ELI: </w:t>
      </w:r>
      <w:hyperlink r:id="rId4" w:history="1">
        <w:r w:rsidRPr="002B65CE">
          <w:rPr>
            <w:rStyle w:val="Hyperlink"/>
            <w:sz w:val="24"/>
            <w:lang w:val="sk-SK"/>
          </w:rPr>
          <w:t>http://data.europa.eu/eli/dec/2024/2010/oj</w:t>
        </w:r>
      </w:hyperlink>
      <w:r w:rsidRPr="002B65CE">
        <w:rPr>
          <w:sz w:val="24"/>
          <w:lang w:val="sk-SK"/>
        </w:rPr>
        <w:t>.</w:t>
      </w:r>
    </w:p>
  </w:footnote>
  <w:footnote w:id="5">
    <w:p w14:paraId="57EFC8E9" w14:textId="2C723140" w:rsidR="00C83B75" w:rsidRPr="002B65CE" w:rsidRDefault="00C83B75" w:rsidP="002B65CE">
      <w:pPr>
        <w:pStyle w:val="FootnoteText"/>
        <w:ind w:left="567" w:hanging="567"/>
        <w:rPr>
          <w:sz w:val="24"/>
          <w:lang w:val="sk-SK"/>
        </w:rPr>
      </w:pPr>
      <w:r w:rsidRPr="002B65CE">
        <w:rPr>
          <w:rStyle w:val="FootnoteReference"/>
          <w:sz w:val="24"/>
          <w:lang w:val="sk-SK"/>
        </w:rPr>
        <w:footnoteRef/>
      </w:r>
      <w:r w:rsidR="002B65CE" w:rsidRPr="002B65CE">
        <w:rPr>
          <w:sz w:val="24"/>
          <w:lang w:val="sk-SK"/>
        </w:rPr>
        <w:t xml:space="preserve"> </w:t>
      </w:r>
      <w:r w:rsidR="002B65CE" w:rsidRPr="002B65CE">
        <w:rPr>
          <w:sz w:val="24"/>
          <w:lang w:val="sk-SK"/>
        </w:rPr>
        <w:tab/>
      </w:r>
      <w:r w:rsidRPr="002B65CE">
        <w:rPr>
          <w:sz w:val="24"/>
          <w:lang w:val="sk-SK"/>
        </w:rPr>
        <w:t xml:space="preserve">Dohoda medzi Európskou úniou a Arménskou republikou, ktorou sa zakladá rámec pre účasť Arménskej republiky na operáciách krízového riadenia Európskej únie (Ú. v. EÚ L, 2025/1553, 31.7.2025, ELI: </w:t>
      </w:r>
      <w:hyperlink r:id="rId5" w:history="1">
        <w:r w:rsidRPr="002B65CE">
          <w:rPr>
            <w:rStyle w:val="Hyperlink"/>
            <w:sz w:val="24"/>
            <w:lang w:val="sk-SK"/>
          </w:rPr>
          <w:t>http://data.europa.eu/eli/agree_internation/2025/1553/oj</w:t>
        </w:r>
      </w:hyperlink>
      <w:r w:rsidRPr="002B65CE">
        <w:rPr>
          <w:sz w:val="24"/>
          <w:lang w:val="sk-SK"/>
        </w:rPr>
        <w:t>).</w:t>
      </w:r>
    </w:p>
  </w:footnote>
  <w:footnote w:id="6">
    <w:p w14:paraId="24FB8450" w14:textId="08AAB75A" w:rsidR="00C83B75" w:rsidRPr="002B65CE" w:rsidRDefault="00C83B75" w:rsidP="002B65CE">
      <w:pPr>
        <w:pStyle w:val="FootnoteText"/>
        <w:ind w:left="567" w:hanging="567"/>
        <w:rPr>
          <w:sz w:val="24"/>
          <w:lang w:val="sk-SK"/>
        </w:rPr>
      </w:pPr>
      <w:r w:rsidRPr="002B65CE">
        <w:rPr>
          <w:rStyle w:val="FootnoteReference"/>
          <w:sz w:val="24"/>
          <w:lang w:val="sk-SK"/>
        </w:rPr>
        <w:footnoteRef/>
      </w:r>
      <w:r w:rsidR="002B65CE" w:rsidRPr="002B65CE">
        <w:rPr>
          <w:sz w:val="24"/>
          <w:lang w:val="sk-SK"/>
        </w:rPr>
        <w:t xml:space="preserve"> </w:t>
      </w:r>
      <w:r w:rsidR="002B65CE" w:rsidRPr="002B65CE">
        <w:rPr>
          <w:sz w:val="24"/>
          <w:lang w:val="sk-SK"/>
        </w:rPr>
        <w:tab/>
      </w:r>
      <w:r w:rsidRPr="002B65CE">
        <w:rPr>
          <w:sz w:val="24"/>
          <w:lang w:val="sk-SK"/>
        </w:rPr>
        <w:t>Ú. v. EÚ C 328, 6.9.2016, s.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4C8A3" w14:textId="77777777" w:rsidR="00064002" w:rsidRPr="002B65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A0F8D" w14:textId="77777777" w:rsidR="00064002" w:rsidRPr="002B65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7B8F5" w14:textId="77777777" w:rsidR="00064002" w:rsidRPr="002B65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619494">
    <w:abstractNumId w:val="9"/>
  </w:num>
  <w:num w:numId="2" w16cid:durableId="792213086">
    <w:abstractNumId w:val="9"/>
  </w:num>
  <w:num w:numId="3" w16cid:durableId="909388789">
    <w:abstractNumId w:val="7"/>
  </w:num>
  <w:num w:numId="4" w16cid:durableId="848787354">
    <w:abstractNumId w:val="7"/>
  </w:num>
  <w:num w:numId="5" w16cid:durableId="1478717922">
    <w:abstractNumId w:val="6"/>
  </w:num>
  <w:num w:numId="6" w16cid:durableId="649753697">
    <w:abstractNumId w:val="6"/>
  </w:num>
  <w:num w:numId="7" w16cid:durableId="1646860171">
    <w:abstractNumId w:val="5"/>
  </w:num>
  <w:num w:numId="8" w16cid:durableId="468745012">
    <w:abstractNumId w:val="5"/>
  </w:num>
  <w:num w:numId="9" w16cid:durableId="1418938844">
    <w:abstractNumId w:val="4"/>
  </w:num>
  <w:num w:numId="10" w16cid:durableId="2138444910">
    <w:abstractNumId w:val="4"/>
  </w:num>
  <w:num w:numId="11" w16cid:durableId="1635066408">
    <w:abstractNumId w:val="8"/>
  </w:num>
  <w:num w:numId="12" w16cid:durableId="119997886">
    <w:abstractNumId w:val="8"/>
  </w:num>
  <w:num w:numId="13" w16cid:durableId="2123723881">
    <w:abstractNumId w:val="3"/>
  </w:num>
  <w:num w:numId="14" w16cid:durableId="829559365">
    <w:abstractNumId w:val="3"/>
  </w:num>
  <w:num w:numId="15" w16cid:durableId="22438670">
    <w:abstractNumId w:val="2"/>
  </w:num>
  <w:num w:numId="16" w16cid:durableId="1951470476">
    <w:abstractNumId w:val="2"/>
  </w:num>
  <w:num w:numId="17" w16cid:durableId="598950442">
    <w:abstractNumId w:val="1"/>
  </w:num>
  <w:num w:numId="18" w16cid:durableId="737677616">
    <w:abstractNumId w:val="1"/>
  </w:num>
  <w:num w:numId="19" w16cid:durableId="305352644">
    <w:abstractNumId w:val="0"/>
  </w:num>
  <w:num w:numId="20" w16cid:durableId="2070298793">
    <w:abstractNumId w:val="0"/>
  </w:num>
  <w:num w:numId="21" w16cid:durableId="276295">
    <w:abstractNumId w:val="9"/>
  </w:num>
  <w:num w:numId="22" w16cid:durableId="688601771">
    <w:abstractNumId w:val="7"/>
  </w:num>
  <w:num w:numId="23" w16cid:durableId="674961764">
    <w:abstractNumId w:val="6"/>
  </w:num>
  <w:num w:numId="24" w16cid:durableId="1879049945">
    <w:abstractNumId w:val="5"/>
  </w:num>
  <w:num w:numId="25" w16cid:durableId="1249071839">
    <w:abstractNumId w:val="4"/>
  </w:num>
  <w:num w:numId="26" w16cid:durableId="1518351429">
    <w:abstractNumId w:val="8"/>
  </w:num>
  <w:num w:numId="27" w16cid:durableId="1338388175">
    <w:abstractNumId w:val="3"/>
  </w:num>
  <w:num w:numId="28" w16cid:durableId="1485274888">
    <w:abstractNumId w:val="2"/>
  </w:num>
  <w:num w:numId="29" w16cid:durableId="102186653">
    <w:abstractNumId w:val="1"/>
  </w:num>
  <w:num w:numId="30" w16cid:durableId="248854050">
    <w:abstractNumId w:val="0"/>
  </w:num>
  <w:num w:numId="31" w16cid:durableId="1938444916">
    <w:abstractNumId w:val="9"/>
  </w:num>
  <w:num w:numId="32" w16cid:durableId="1666399168">
    <w:abstractNumId w:val="7"/>
  </w:num>
  <w:num w:numId="33" w16cid:durableId="324749352">
    <w:abstractNumId w:val="6"/>
  </w:num>
  <w:num w:numId="34" w16cid:durableId="1514294493">
    <w:abstractNumId w:val="5"/>
  </w:num>
  <w:num w:numId="35" w16cid:durableId="1900357226">
    <w:abstractNumId w:val="4"/>
  </w:num>
  <w:num w:numId="36" w16cid:durableId="1810243286">
    <w:abstractNumId w:val="8"/>
  </w:num>
  <w:num w:numId="37" w16cid:durableId="145364239">
    <w:abstractNumId w:val="3"/>
  </w:num>
  <w:num w:numId="38" w16cid:durableId="359092162">
    <w:abstractNumId w:val="2"/>
  </w:num>
  <w:num w:numId="39" w16cid:durableId="1882588405">
    <w:abstractNumId w:val="1"/>
  </w:num>
  <w:num w:numId="40" w16cid:durableId="650909101">
    <w:abstractNumId w:val="0"/>
  </w:num>
  <w:num w:numId="41" w16cid:durableId="1751350148">
    <w:abstractNumId w:val="10"/>
  </w:num>
  <w:num w:numId="42" w16cid:durableId="643893770">
    <w:abstractNumId w:val="10"/>
  </w:num>
  <w:num w:numId="43" w16cid:durableId="1605382244">
    <w:abstractNumId w:val="10"/>
  </w:num>
  <w:num w:numId="44" w16cid:durableId="8544626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95, 0196, 0198, 0199 a 0200/2026"/>
    <w:docVar w:name="dvlangue" w:val="SK"/>
    <w:docVar w:name="dvnumam" w:val="0"/>
    <w:docVar w:name="dvpe" w:val="783.229"/>
    <w:docVar w:name="dvtitre" w:val="Uznesenie Európskeho parlamentu z/zo xx. xxx 2026 o podpore demokratickej odolnosti v Arménsku(2026/2701(RSP))"/>
  </w:docVars>
  <w:rsids>
    <w:rsidRoot w:val="00C11B58"/>
    <w:rsid w:val="00002272"/>
    <w:rsid w:val="00064002"/>
    <w:rsid w:val="000677B9"/>
    <w:rsid w:val="000831BA"/>
    <w:rsid w:val="00085217"/>
    <w:rsid w:val="000A42CC"/>
    <w:rsid w:val="000E7DD9"/>
    <w:rsid w:val="0010095E"/>
    <w:rsid w:val="00125B37"/>
    <w:rsid w:val="00187494"/>
    <w:rsid w:val="001F1551"/>
    <w:rsid w:val="001F32AE"/>
    <w:rsid w:val="002767FF"/>
    <w:rsid w:val="002B18FE"/>
    <w:rsid w:val="002B5493"/>
    <w:rsid w:val="002B65C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5E9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0AD"/>
    <w:rsid w:val="00A1687D"/>
    <w:rsid w:val="00A43E52"/>
    <w:rsid w:val="00A4678D"/>
    <w:rsid w:val="00A778C7"/>
    <w:rsid w:val="00AB441E"/>
    <w:rsid w:val="00AB6293"/>
    <w:rsid w:val="00AD33A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B58"/>
    <w:rsid w:val="00C23CD4"/>
    <w:rsid w:val="00C61C0C"/>
    <w:rsid w:val="00C83B7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8B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345398"/>
  <w15:chartTrackingRefBased/>
  <w15:docId w15:val="{F08A60B0-DD49-4423-A3B1-31678C5C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83B7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83B7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C83B75"/>
    <w:rPr>
      <w:sz w:val="24"/>
      <w:lang w:val="sk-SK"/>
    </w:rPr>
  </w:style>
  <w:style w:type="character" w:styleId="Hyperlink">
    <w:name w:val="Hyperlink"/>
    <w:basedOn w:val="DefaultParagraphFont"/>
    <w:rsid w:val="00C83B7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B45E9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6/894/oj" TargetMode="External"/><Relationship Id="rId2" Type="http://schemas.openxmlformats.org/officeDocument/2006/relationships/hyperlink" Target="http://data.europa.eu/eli/dec/2025/211/oj" TargetMode="External"/><Relationship Id="rId1" Type="http://schemas.openxmlformats.org/officeDocument/2006/relationships/hyperlink" Target="http://data.europa.eu/eli/agree_internation/2018/104/oj" TargetMode="External"/><Relationship Id="rId5" Type="http://schemas.openxmlformats.org/officeDocument/2006/relationships/hyperlink" Target="http://data.europa.eu/eli/agree_internation/2025/1553/oj" TargetMode="External"/><Relationship Id="rId4" Type="http://schemas.openxmlformats.org/officeDocument/2006/relationships/hyperlink" Target="http://data.europa.eu/eli/dec/2024/201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2034</Words>
  <Characters>12966</Characters>
  <Application>Microsoft Office Word</Application>
  <DocSecurity>0</DocSecurity>
  <Lines>108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2026-04-30T08:57:00Z</dcterms:created>
  <dcterms:modified xsi:type="dcterms:W3CDTF">2026-04-30T08:57:00Z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B10-0195, 0196, 0198, 0199 a 0200/2026</vt:lpwstr>
  </property>
  <property fmtid="{D5CDD505-2E9C-101B-9397-08002B2CF9AE}" pid="4" name="&lt;Type&gt;">
    <vt:lpwstr>RR</vt:lpwstr>
  </property>
</Properties>
</file>