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3FA0" w14:paraId="60AF3F60" w14:textId="77777777" w:rsidTr="0010095E">
        <w:trPr>
          <w:trHeight w:hRule="exact" w:val="1418"/>
        </w:trPr>
        <w:tc>
          <w:tcPr>
            <w:tcW w:w="6804" w:type="dxa"/>
            <w:shd w:val="clear" w:color="auto" w:fill="auto"/>
            <w:vAlign w:val="center"/>
          </w:tcPr>
          <w:p w14:paraId="322E12D6" w14:textId="6E550ECB" w:rsidR="00751A4A" w:rsidRPr="00B23FA0" w:rsidRDefault="002C35AA" w:rsidP="0010095E">
            <w:pPr>
              <w:pStyle w:val="EPName"/>
            </w:pPr>
            <w:r w:rsidRPr="00B23FA0">
              <w:t>Evropski parlament</w:t>
            </w:r>
          </w:p>
          <w:p w14:paraId="2C9557C3" w14:textId="77777777" w:rsidR="00751A4A" w:rsidRPr="00B23FA0" w:rsidRDefault="005F1B17" w:rsidP="005F1B17">
            <w:pPr>
              <w:pStyle w:val="EPTerm"/>
              <w:rPr>
                <w:rStyle w:val="HideTWBExt"/>
                <w:noProof w:val="0"/>
                <w:vanish w:val="0"/>
                <w:color w:val="auto"/>
              </w:rPr>
            </w:pPr>
            <w:r w:rsidRPr="00B23FA0">
              <w:t>2024</w:t>
            </w:r>
            <w:r w:rsidR="00817416" w:rsidRPr="00B23FA0">
              <w:t>-202</w:t>
            </w:r>
            <w:r w:rsidRPr="00B23FA0">
              <w:t>9</w:t>
            </w:r>
          </w:p>
        </w:tc>
        <w:tc>
          <w:tcPr>
            <w:tcW w:w="2268" w:type="dxa"/>
            <w:shd w:val="clear" w:color="auto" w:fill="auto"/>
          </w:tcPr>
          <w:p w14:paraId="78549A45" w14:textId="77777777" w:rsidR="00751A4A" w:rsidRPr="00B23FA0" w:rsidRDefault="00187494" w:rsidP="0010095E">
            <w:pPr>
              <w:pStyle w:val="EPLogo"/>
            </w:pPr>
            <w:r w:rsidRPr="00B23FA0">
              <w:rPr>
                <w:noProof/>
                <w:lang w:eastAsia="ja-JP"/>
              </w:rPr>
              <w:drawing>
                <wp:inline distT="0" distB="0" distL="0" distR="0" wp14:anchorId="7B8EE087" wp14:editId="334886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1F3EE2" w14:textId="77777777" w:rsidR="00D058B8" w:rsidRPr="00B23FA0" w:rsidRDefault="00D058B8" w:rsidP="004C5D52">
      <w:pPr>
        <w:pStyle w:val="LineTop"/>
      </w:pPr>
    </w:p>
    <w:p w14:paraId="4FBC4B5A" w14:textId="46370438" w:rsidR="00680577" w:rsidRPr="00B23FA0" w:rsidRDefault="002C35AA" w:rsidP="00680577">
      <w:pPr>
        <w:pStyle w:val="EPBodyTA1"/>
      </w:pPr>
      <w:r w:rsidRPr="00B23FA0">
        <w:t>SPREJETA BESEDILA</w:t>
      </w:r>
    </w:p>
    <w:p w14:paraId="05A3A114" w14:textId="77777777" w:rsidR="00D058B8" w:rsidRPr="00B23FA0" w:rsidRDefault="00D058B8" w:rsidP="00D058B8">
      <w:pPr>
        <w:pStyle w:val="LineBottom"/>
      </w:pPr>
    </w:p>
    <w:p w14:paraId="77725F0B" w14:textId="650C5B50" w:rsidR="002C35AA" w:rsidRPr="00B23FA0" w:rsidRDefault="002C35AA" w:rsidP="002C35AA">
      <w:pPr>
        <w:pStyle w:val="ATHeading1"/>
      </w:pPr>
      <w:bookmarkStart w:id="0" w:name="TANumber"/>
      <w:r w:rsidRPr="00B23FA0">
        <w:t>P10_TA(2026)</w:t>
      </w:r>
      <w:bookmarkEnd w:id="0"/>
      <w:r w:rsidR="006627B7">
        <w:t>0162</w:t>
      </w:r>
    </w:p>
    <w:p w14:paraId="0031D0F5" w14:textId="77777777" w:rsidR="002C35AA" w:rsidRPr="00B23FA0" w:rsidRDefault="002C35AA" w:rsidP="002C35AA">
      <w:pPr>
        <w:pStyle w:val="ATHeading2"/>
      </w:pPr>
      <w:bookmarkStart w:id="1" w:name="title"/>
      <w:r w:rsidRPr="00B23FA0">
        <w:t>Podpora demokratični odpornosti v Armeniji</w:t>
      </w:r>
      <w:bookmarkEnd w:id="1"/>
    </w:p>
    <w:p w14:paraId="7102CCC7" w14:textId="721FBF89" w:rsidR="002C35AA" w:rsidRPr="00B23FA0" w:rsidRDefault="002C35AA" w:rsidP="002C35AA">
      <w:pPr>
        <w:rPr>
          <w:i/>
          <w:vanish/>
        </w:rPr>
      </w:pPr>
      <w:r w:rsidRPr="00B23FA0">
        <w:rPr>
          <w:i/>
        </w:rPr>
        <w:fldChar w:fldCharType="begin"/>
      </w:r>
      <w:r w:rsidRPr="00B23FA0">
        <w:rPr>
          <w:i/>
        </w:rPr>
        <w:instrText xml:space="preserve"> TC"(</w:instrText>
      </w:r>
      <w:bookmarkStart w:id="2" w:name="DocNumber"/>
      <w:r w:rsidRPr="00B23FA0">
        <w:rPr>
          <w:i/>
        </w:rPr>
        <w:instrText>B10-0195</w:instrText>
      </w:r>
      <w:r w:rsidR="002138EB">
        <w:rPr>
          <w:i/>
        </w:rPr>
        <w:instrText>, 0196, 0198, 0199 in 0200</w:instrText>
      </w:r>
      <w:r w:rsidRPr="00B23FA0">
        <w:rPr>
          <w:i/>
        </w:rPr>
        <w:instrText>/2026</w:instrText>
      </w:r>
      <w:bookmarkEnd w:id="2"/>
      <w:r w:rsidRPr="00B23FA0">
        <w:rPr>
          <w:i/>
        </w:rPr>
        <w:instrText xml:space="preserve">)"\l3 \n&gt; \* MERGEFORMAT </w:instrText>
      </w:r>
      <w:r w:rsidRPr="00B23FA0">
        <w:rPr>
          <w:i/>
        </w:rPr>
        <w:fldChar w:fldCharType="end"/>
      </w:r>
    </w:p>
    <w:p w14:paraId="6BE945F9" w14:textId="77777777" w:rsidR="002C35AA" w:rsidRPr="00B23FA0" w:rsidRDefault="002C35AA" w:rsidP="002C35AA">
      <w:pPr>
        <w:rPr>
          <w:vanish/>
        </w:rPr>
      </w:pPr>
      <w:bookmarkStart w:id="3" w:name="PE"/>
      <w:r w:rsidRPr="00B23FA0">
        <w:rPr>
          <w:vanish/>
        </w:rPr>
        <w:t>PE783.229</w:t>
      </w:r>
      <w:bookmarkEnd w:id="3"/>
    </w:p>
    <w:p w14:paraId="538C7D39" w14:textId="4CD8D3B5" w:rsidR="002C35AA" w:rsidRPr="00B23FA0" w:rsidRDefault="002C35AA" w:rsidP="002C35AA">
      <w:pPr>
        <w:pStyle w:val="ATHeading3"/>
      </w:pPr>
      <w:bookmarkStart w:id="4" w:name="Sujet"/>
      <w:r w:rsidRPr="00B23FA0">
        <w:t xml:space="preserve">Resolucija Evropskega parlamenta z dne </w:t>
      </w:r>
      <w:r w:rsidR="002138EB">
        <w:t>30. aprila</w:t>
      </w:r>
      <w:r w:rsidRPr="00B23FA0">
        <w:t xml:space="preserve"> 2026 o podpori demokratični odpornosti v Armeniji</w:t>
      </w:r>
      <w:bookmarkEnd w:id="4"/>
      <w:r w:rsidRPr="00B23FA0">
        <w:t xml:space="preserve"> </w:t>
      </w:r>
      <w:bookmarkStart w:id="5" w:name="References"/>
      <w:r w:rsidRPr="00B23FA0">
        <w:t>(2026/2701(RSP))</w:t>
      </w:r>
      <w:bookmarkEnd w:id="5"/>
    </w:p>
    <w:p w14:paraId="26B60B26" w14:textId="77777777" w:rsidR="000C3DDA" w:rsidRPr="00B23FA0" w:rsidRDefault="000C3DDA" w:rsidP="000C3DDA">
      <w:pPr>
        <w:pStyle w:val="EPComma"/>
      </w:pPr>
      <w:bookmarkStart w:id="6" w:name="TextBodyBegin"/>
      <w:bookmarkEnd w:id="6"/>
      <w:r w:rsidRPr="00B23FA0">
        <w:rPr>
          <w:i/>
        </w:rPr>
        <w:t>Evropski parlament</w:t>
      </w:r>
      <w:r w:rsidRPr="00B23FA0">
        <w:t>,</w:t>
      </w:r>
    </w:p>
    <w:p w14:paraId="30D68194" w14:textId="77777777" w:rsidR="000C3DDA" w:rsidRPr="00B23FA0" w:rsidRDefault="000C3DDA" w:rsidP="000C3DDA">
      <w:pPr>
        <w:pStyle w:val="NormalHanging12a"/>
      </w:pPr>
      <w:r w:rsidRPr="00B23FA0">
        <w:rPr>
          <w:color w:val="000000"/>
        </w:rPr>
        <w:t>–</w:t>
      </w:r>
      <w:r w:rsidRPr="00B23FA0">
        <w:tab/>
        <w:t>ob upoštevanju svojih prejšnjih resolucij o Armeniji,</w:t>
      </w:r>
    </w:p>
    <w:p w14:paraId="3035DD43" w14:textId="77777777" w:rsidR="000C3DDA" w:rsidRPr="00B23FA0" w:rsidRDefault="000C3DDA" w:rsidP="000C3DDA">
      <w:pPr>
        <w:pStyle w:val="NormalHanging12a"/>
      </w:pPr>
      <w:r w:rsidRPr="00B23FA0">
        <w:t>–</w:t>
      </w:r>
      <w:r w:rsidRPr="00B23FA0">
        <w:tab/>
        <w:t>ob upoštevanju celovitega in okrepljenega sporazuma o partnerstvu med Evropsko unijo in Evropsko skupnostjo za atomsko energijo in njunimi državami članicami na eni strani ter Republiko Armenijo na drugi strani</w:t>
      </w:r>
      <w:r w:rsidRPr="00B23FA0">
        <w:rPr>
          <w:rStyle w:val="FootnoteReference"/>
        </w:rPr>
        <w:footnoteReference w:id="1"/>
      </w:r>
      <w:r w:rsidRPr="00B23FA0">
        <w:t>,</w:t>
      </w:r>
    </w:p>
    <w:p w14:paraId="1D762CA8" w14:textId="77777777" w:rsidR="000C3DDA" w:rsidRPr="00B23FA0" w:rsidRDefault="000C3DDA" w:rsidP="000C3DDA">
      <w:pPr>
        <w:pStyle w:val="NormalHanging12a"/>
      </w:pPr>
      <w:r w:rsidRPr="00B23FA0">
        <w:t>–</w:t>
      </w:r>
      <w:r w:rsidRPr="00B23FA0">
        <w:tab/>
        <w:t>ob upoštevanju zakonodaje, ki jo je armenska narodna skupščina sprejela 26. marca 2025 in s katero je začela pristopni proces Armenije k Evropski uniji,</w:t>
      </w:r>
    </w:p>
    <w:p w14:paraId="599BF049" w14:textId="77777777" w:rsidR="000C3DDA" w:rsidRPr="00B23FA0" w:rsidRDefault="000C3DDA" w:rsidP="000C3DDA">
      <w:pPr>
        <w:pStyle w:val="NormalHanging12a"/>
      </w:pPr>
      <w:r w:rsidRPr="00B23FA0">
        <w:t>–</w:t>
      </w:r>
      <w:r w:rsidRPr="00B23FA0">
        <w:tab/>
        <w:t xml:space="preserve">ob upoštevanju govora predsednika vlade Nikola </w:t>
      </w:r>
      <w:proofErr w:type="spellStart"/>
      <w:r w:rsidRPr="00B23FA0">
        <w:t>Pašinjana</w:t>
      </w:r>
      <w:proofErr w:type="spellEnd"/>
      <w:r w:rsidRPr="00B23FA0">
        <w:t xml:space="preserve"> v Evropskem parlamentu v Strasbourgu 11. marca 2026,</w:t>
      </w:r>
    </w:p>
    <w:p w14:paraId="4E5E16C1" w14:textId="77777777" w:rsidR="000C3DDA" w:rsidRPr="00B23FA0" w:rsidRDefault="000C3DDA" w:rsidP="000C3DDA">
      <w:pPr>
        <w:pStyle w:val="NormalHanging12a"/>
      </w:pPr>
      <w:r w:rsidRPr="00B23FA0">
        <w:t>–</w:t>
      </w:r>
      <w:r w:rsidRPr="00B23FA0">
        <w:tab/>
        <w:t>ob upoštevanju skupne izjave za javnost z dne 3. decembra 2025 po šestem srečanju Partnerskega sveta EU-Armenija,</w:t>
      </w:r>
    </w:p>
    <w:p w14:paraId="0A9BDC15" w14:textId="77777777" w:rsidR="000C3DDA" w:rsidRPr="00B23FA0" w:rsidRDefault="000C3DDA" w:rsidP="000C3DDA">
      <w:pPr>
        <w:pStyle w:val="NormalHanging12a"/>
      </w:pPr>
      <w:r w:rsidRPr="00B23FA0">
        <w:t>–</w:t>
      </w:r>
      <w:r w:rsidRPr="00B23FA0">
        <w:tab/>
        <w:t>ob upoštevanju strateške agende za partnerstvo med Armenijo in EU,</w:t>
      </w:r>
    </w:p>
    <w:p w14:paraId="1856CFAC" w14:textId="77777777" w:rsidR="000C3DDA" w:rsidRPr="00B23FA0" w:rsidRDefault="000C3DDA" w:rsidP="000C3DDA">
      <w:pPr>
        <w:pStyle w:val="NormalHanging12a"/>
      </w:pPr>
      <w:r w:rsidRPr="00B23FA0">
        <w:t>–</w:t>
      </w:r>
      <w:r w:rsidRPr="00B23FA0">
        <w:tab/>
        <w:t xml:space="preserve">ob upoštevanju načrta EU za odpornost in rast za Armenijo ter naložbenih zavez EU v okviru strategije Global </w:t>
      </w:r>
      <w:proofErr w:type="spellStart"/>
      <w:r w:rsidRPr="00B23FA0">
        <w:t>Gateway</w:t>
      </w:r>
      <w:proofErr w:type="spellEnd"/>
      <w:r w:rsidRPr="00B23FA0">
        <w:t>,</w:t>
      </w:r>
    </w:p>
    <w:p w14:paraId="5569BC3F" w14:textId="77777777" w:rsidR="000C3DDA" w:rsidRPr="00B23FA0" w:rsidRDefault="000C3DDA" w:rsidP="000C3DDA">
      <w:pPr>
        <w:pStyle w:val="NormalHanging12a"/>
      </w:pPr>
      <w:r w:rsidRPr="00B23FA0">
        <w:t>–</w:t>
      </w:r>
      <w:r w:rsidRPr="00B23FA0">
        <w:tab/>
        <w:t>ob upoštevanju sklepov političnega in varnostnega dialoga med EU in Armenijo z dne 3. februarja 2026,</w:t>
      </w:r>
    </w:p>
    <w:p w14:paraId="546790A8" w14:textId="77777777" w:rsidR="000C3DDA" w:rsidRPr="00B23FA0" w:rsidRDefault="000C3DDA" w:rsidP="000C3DDA">
      <w:pPr>
        <w:pStyle w:val="NormalHanging12a"/>
      </w:pPr>
      <w:r w:rsidRPr="00B23FA0">
        <w:t>–</w:t>
      </w:r>
      <w:r w:rsidRPr="00B23FA0">
        <w:tab/>
        <w:t>ob upoštevanju Sklepa Sveta (SZVP) 2025/211 z dne 30. januarja 2025</w:t>
      </w:r>
      <w:r w:rsidRPr="00B23FA0">
        <w:rPr>
          <w:rStyle w:val="FootnoteReference"/>
        </w:rPr>
        <w:footnoteReference w:id="2"/>
      </w:r>
      <w:r w:rsidRPr="00B23FA0">
        <w:t>, s katerim je bil mandat misije Evropske unije v Armeniji (EUMA) podaljšan za dve leti,</w:t>
      </w:r>
    </w:p>
    <w:p w14:paraId="242559B8" w14:textId="77777777" w:rsidR="000C3DDA" w:rsidRPr="00B23FA0" w:rsidRDefault="000C3DDA" w:rsidP="000C3DDA">
      <w:pPr>
        <w:pStyle w:val="NormalHanging12a"/>
      </w:pPr>
      <w:r w:rsidRPr="00B23FA0">
        <w:lastRenderedPageBreak/>
        <w:t>–</w:t>
      </w:r>
      <w:r w:rsidRPr="00B23FA0">
        <w:tab/>
        <w:t>ob upoštevanju Sklepa Sveta (SZVP) 2026/894 z dne 21. aprila 2026</w:t>
      </w:r>
      <w:r w:rsidRPr="00B23FA0">
        <w:rPr>
          <w:rStyle w:val="FootnoteReference"/>
        </w:rPr>
        <w:footnoteReference w:id="3"/>
      </w:r>
      <w:r w:rsidRPr="00B23FA0">
        <w:t xml:space="preserve"> o ustanovitvi partnerske misije EU v Armeniji (EUPM </w:t>
      </w:r>
      <w:proofErr w:type="spellStart"/>
      <w:r w:rsidRPr="00B23FA0">
        <w:t>Armenia</w:t>
      </w:r>
      <w:proofErr w:type="spellEnd"/>
      <w:r w:rsidRPr="00B23FA0">
        <w:t>) v okviru skupne varnostne in obrambne politike (SVOP),</w:t>
      </w:r>
    </w:p>
    <w:p w14:paraId="47EFB5C5" w14:textId="77777777" w:rsidR="000C3DDA" w:rsidRPr="00B23FA0" w:rsidRDefault="000C3DDA" w:rsidP="000C3DDA">
      <w:pPr>
        <w:pStyle w:val="NormalHanging12a"/>
      </w:pPr>
      <w:r w:rsidRPr="00B23FA0">
        <w:t>–</w:t>
      </w:r>
      <w:r w:rsidRPr="00B23FA0">
        <w:tab/>
        <w:t>ob upoštevanju Sklepa Sveta (SZVP) 2024/2010 z dne 22. julija 2024</w:t>
      </w:r>
      <w:r w:rsidRPr="00B23FA0">
        <w:rPr>
          <w:rStyle w:val="FootnoteReference"/>
        </w:rPr>
        <w:footnoteReference w:id="4"/>
      </w:r>
      <w:r w:rsidRPr="00B23FA0">
        <w:t>, s katerim je bil sprejet prvi ukrep pomoči v okviru Evropskega mirovnega instrumenta za podporo armenskim oboroženim silam,</w:t>
      </w:r>
    </w:p>
    <w:p w14:paraId="521D1CCF" w14:textId="77777777" w:rsidR="000C3DDA" w:rsidRPr="00B23FA0" w:rsidRDefault="000C3DDA" w:rsidP="000C3DDA">
      <w:pPr>
        <w:pStyle w:val="NormalHanging12a"/>
      </w:pPr>
      <w:r w:rsidRPr="00B23FA0">
        <w:t>–</w:t>
      </w:r>
      <w:r w:rsidRPr="00B23FA0">
        <w:tab/>
        <w:t>ob upoštevanju ratifikacije okvirnega sporazuma o sodelovanju v okviru SVOP med Evropsko unijo in Armenijo</w:t>
      </w:r>
      <w:r w:rsidRPr="00B23FA0">
        <w:rPr>
          <w:rStyle w:val="FootnoteReference"/>
        </w:rPr>
        <w:footnoteReference w:id="5"/>
      </w:r>
      <w:r w:rsidRPr="00B23FA0">
        <w:t>, ki je bila pozdravljena v skupni izjavi za javnost z dne 3. decembra 2025 po šestem srečanju Partnerskega sveta EU-Armenija,</w:t>
      </w:r>
    </w:p>
    <w:p w14:paraId="41E70DA9" w14:textId="77777777" w:rsidR="000C3DDA" w:rsidRPr="00B23FA0" w:rsidRDefault="000C3DDA" w:rsidP="000C3DDA">
      <w:pPr>
        <w:pStyle w:val="NormalHanging12a"/>
      </w:pPr>
      <w:r w:rsidRPr="00B23FA0">
        <w:t>–</w:t>
      </w:r>
      <w:r w:rsidRPr="00B23FA0">
        <w:tab/>
        <w:t>ob upoštevanju vrha za mir, ki je potekal v Washingtonu 8. avgusta 2025,</w:t>
      </w:r>
    </w:p>
    <w:p w14:paraId="5803EBC7" w14:textId="77777777" w:rsidR="000C3DDA" w:rsidRPr="00B23FA0" w:rsidRDefault="000C3DDA" w:rsidP="000C3DDA">
      <w:pPr>
        <w:pStyle w:val="NormalHanging12a"/>
      </w:pPr>
      <w:r w:rsidRPr="00B23FA0">
        <w:t>–</w:t>
      </w:r>
      <w:r w:rsidRPr="00B23FA0">
        <w:tab/>
        <w:t xml:space="preserve">ob upoštevanju poročila o misiji za oceno potreb, ki ga je objavil Urad za demokratične institucije in človekove pravice (ODIHR) Organizacije za varnost in sodelovanje v Evropi, o armenskih parlamentarnih volitvah, ki bodo potekale 7. junija 2026, in dela Sveta Evrope v zvezi z volilnimi standardi, svobodo medijev in informacijsko integriteto, </w:t>
      </w:r>
    </w:p>
    <w:p w14:paraId="297913E6" w14:textId="77777777" w:rsidR="000C3DDA" w:rsidRPr="00B23FA0" w:rsidRDefault="000C3DDA" w:rsidP="000C3DDA">
      <w:pPr>
        <w:pStyle w:val="NormalHanging12a"/>
      </w:pPr>
      <w:r w:rsidRPr="00B23FA0">
        <w:t>–</w:t>
      </w:r>
      <w:r w:rsidRPr="00B23FA0">
        <w:tab/>
        <w:t>ob upoštevanju svoje resolucije z dne 15. aprila 2015 o stoti obletnici armenskega genocida</w:t>
      </w:r>
      <w:r w:rsidRPr="00B23FA0">
        <w:rPr>
          <w:rStyle w:val="FootnoteReference"/>
        </w:rPr>
        <w:footnoteReference w:id="6"/>
      </w:r>
      <w:r w:rsidRPr="00B23FA0">
        <w:t>,</w:t>
      </w:r>
    </w:p>
    <w:p w14:paraId="24FD39E5" w14:textId="77777777" w:rsidR="000C3DDA" w:rsidRPr="00B23FA0" w:rsidRDefault="000C3DDA" w:rsidP="000C3DDA">
      <w:pPr>
        <w:pStyle w:val="NormalHanging12a"/>
      </w:pPr>
      <w:r w:rsidRPr="00B23FA0">
        <w:t>–</w:t>
      </w:r>
      <w:r w:rsidRPr="00B23FA0">
        <w:tab/>
        <w:t>ob upoštevanju člena 136(2) in (4) Poslovnika,</w:t>
      </w:r>
    </w:p>
    <w:p w14:paraId="21A2C9C7" w14:textId="77777777" w:rsidR="000C3DDA" w:rsidRPr="00B23FA0" w:rsidRDefault="000C3DDA" w:rsidP="000C3DDA">
      <w:pPr>
        <w:pStyle w:val="NormalHanging12a"/>
      </w:pPr>
      <w:r w:rsidRPr="00B23FA0">
        <w:t>A.</w:t>
      </w:r>
      <w:r w:rsidRPr="00B23FA0">
        <w:tab/>
        <w:t>ker so odnosi med EU in Armenijo vstopili v novo fazo, ki jo zaznamuje višja raven političnega prizadevanja in okrepljeni varnostni odnosi; ker ti odnosi temeljijo na skupnih vrednotah, vštevši demokracijo, pravno državo ter spoštovanje človekovih pravic in temeljnih svoboščin; ker je Partnerski svet EU-Armenija sprejel novo strateško agendo kot pomemben korak h krepitvi dvostranskih vezi, ki zajema demokracijo, reformo pravosodja, človekove pravice in številna druga področja na podlagi celovitega in okrepljenega sporazuma o partnerstvu; ker je EU ponovno potrdila svojo neomajno podporo armenskemu programu reform in prizadevanjem države za boj proti hibridnim grožnjam, podporo napredku, ki ga je dosegla v dialogu o liberalizaciji vizumskega režima ter načrtu EU za odpornost in rast za Armenijo v višini 270 milijonov EUR; ker je Armenija v zadnjih letih izvedla pomembne reforme; ker so nadaljnje izboljšave še vedno bistvenega pomena;</w:t>
      </w:r>
    </w:p>
    <w:p w14:paraId="7D23AAFC" w14:textId="77777777" w:rsidR="000C3DDA" w:rsidRPr="00B23FA0" w:rsidRDefault="000C3DDA" w:rsidP="000C3DDA">
      <w:pPr>
        <w:pStyle w:val="NormalHanging12a"/>
      </w:pPr>
      <w:r w:rsidRPr="00B23FA0">
        <w:t>B.</w:t>
      </w:r>
      <w:r w:rsidRPr="00B23FA0">
        <w:tab/>
        <w:t>ker je armenski parlament 26. marca 2025 sprejel zakonodajo o začetku procesa pristopa Armenije k EU, v katerem je izražena želja države po članstvu v EU;</w:t>
      </w:r>
    </w:p>
    <w:p w14:paraId="5C6381A0" w14:textId="77777777" w:rsidR="000C3DDA" w:rsidRPr="00B23FA0" w:rsidRDefault="000C3DDA" w:rsidP="000C3DDA">
      <w:pPr>
        <w:pStyle w:val="NormalHanging12a"/>
      </w:pPr>
      <w:r w:rsidRPr="00B23FA0">
        <w:t>C.</w:t>
      </w:r>
      <w:r w:rsidRPr="00B23FA0">
        <w:tab/>
        <w:t xml:space="preserve">ker nova strateška agenda, ki je bila sprejeta decembra 2025 in temelji na polnem izvajanju celovitega in okrepljenega sporazuma o partnerstvu, zajema najrazličnejša področja, tudi demokracijo in pravno državo, reformo pravosodja in človekove pravice; </w:t>
      </w:r>
      <w:r w:rsidRPr="00B23FA0">
        <w:lastRenderedPageBreak/>
        <w:t>ker ta izbira področij kaže, da je Armenija močno zavezana demokratičnim standardom in pravni državi v skladu z normami in vrednotami EU;</w:t>
      </w:r>
    </w:p>
    <w:p w14:paraId="7070CF88" w14:textId="77777777" w:rsidR="000C3DDA" w:rsidRPr="00B23FA0" w:rsidRDefault="000C3DDA" w:rsidP="000C3DDA">
      <w:pPr>
        <w:pStyle w:val="NormalHanging12a"/>
      </w:pPr>
      <w:r w:rsidRPr="00B23FA0">
        <w:t>D.</w:t>
      </w:r>
      <w:r w:rsidRPr="00B23FA0">
        <w:tab/>
        <w:t>ker bosta osmi vrh Evropske politične skupnosti in prvi vrh EU-Armenija potekala 4. in 5. maja 2026 v Erevanu, kar je zgodovinski dokaz evropske solidarnosti z Armenijo; ker naj bi vrh EU-Armenija, ki se ga bodo udeležili predsednik Evropskega sveta, predsednica Komisije in podpredsednica Komisije/visoka predstavnica Unije za zunanje zadeve in varnostno politiko, prinesel konkretne rezultate v dvostranskih odnosih, še zlasti glede povezljivosti na področju energetske, prometne in digitalne infrastrukture ter glede miru, varnosti in blaginje na Južnem Kavkazu;</w:t>
      </w:r>
    </w:p>
    <w:p w14:paraId="32D690A3" w14:textId="77777777" w:rsidR="000C3DDA" w:rsidRPr="00B23FA0" w:rsidRDefault="000C3DDA" w:rsidP="000C3DDA">
      <w:pPr>
        <w:pStyle w:val="NormalHanging12a"/>
      </w:pPr>
      <w:r w:rsidRPr="00B23FA0">
        <w:t>E.</w:t>
      </w:r>
      <w:r w:rsidRPr="00B23FA0">
        <w:tab/>
        <w:t xml:space="preserve">ker je Svet 21. aprila 2026 v okviru skupne varnostne in obrambne politike vzpostavil partnersko misijo EU v Armeniji (EUPM </w:t>
      </w:r>
      <w:proofErr w:type="spellStart"/>
      <w:r w:rsidRPr="00B23FA0">
        <w:t>Armenia</w:t>
      </w:r>
      <w:proofErr w:type="spellEnd"/>
      <w:r w:rsidRPr="00B23FA0">
        <w:t xml:space="preserve">), ki bo dodatno pomagala krepiti demokratično odpornost Armenije in njeno sposobnost obvladovanja kriz; ker bo misija podpirala Armenijo pri obvladovanju večplastnih groženj, kot so tuje manipuliranje z informacijami in vmešavanje, kibernetski napadi in nezakoniti finančni tokovi; ker vzpostavitev te misije potrjuje, da je varnost demokracije zdaj osrednji steber partnerstva med EU in Armenijo; ker bo misija EUPM </w:t>
      </w:r>
      <w:proofErr w:type="spellStart"/>
      <w:r w:rsidRPr="00B23FA0">
        <w:t>Armenia</w:t>
      </w:r>
      <w:proofErr w:type="spellEnd"/>
      <w:r w:rsidRPr="00B23FA0">
        <w:t xml:space="preserve"> armenskim institucijam nudila strateško svetovanje in krepitev zmogljivosti, da bi jim pomagala pri odzivanju na te grožnje;</w:t>
      </w:r>
    </w:p>
    <w:p w14:paraId="6C779D58" w14:textId="77777777" w:rsidR="000C3DDA" w:rsidRPr="00B23FA0" w:rsidRDefault="000C3DDA" w:rsidP="000C3DDA">
      <w:pPr>
        <w:pStyle w:val="NormalHanging12a"/>
      </w:pPr>
      <w:r w:rsidRPr="00B23FA0">
        <w:t>F.</w:t>
      </w:r>
      <w:r w:rsidRPr="00B23FA0">
        <w:tab/>
        <w:t xml:space="preserve">ker bodo v Armeniji 7. junija 2026 potekale parlamentarne volitve, ki so strateško pomembne za utrjevanje demokracije v državi, pa tudi za trajnost miru, reforme in tesnejše sodelovanje z EU; ker je integriteta volitev odvisna od tega, da so izpolnjeni pogoji za svobodne, poštene in konkurenčne volitve, da obstajajo močne institucije, neodvisni mediji in trdni zaščitni ukrepi proti dezinformacijam, nezakonitemu financiranju, kupovanju glasov in drugim oblikam zlonamernega vmešavanja; ker je Urad za demokratične institucije in človekove pravice (ODIHR) izrazil zaskrbljenost glede pripravljenosti okrajnih komisij, kibernetske varnosti, zgodnjih kampanj, zlorabe upravnih virov, preglednosti financiranja kampanj in polarizacije medijev; ker se tuje vmešavanje, zlasti sistematične hibridne operacije Rusije, ki se izvajajo s pomočjo njenih posrednikov, vključno z </w:t>
      </w:r>
      <w:proofErr w:type="spellStart"/>
      <w:r w:rsidRPr="00B23FA0">
        <w:t>dezinformacijskimi</w:t>
      </w:r>
      <w:proofErr w:type="spellEnd"/>
      <w:r w:rsidRPr="00B23FA0">
        <w:t xml:space="preserve"> kampanjami, kibernetskimi operacijami, gospodarskim pritiskom in mobilizacijo lokalnih podpornikov, vse pogosteje odvija prek domačih posrednikov javnega mnenja, kot so nekateri verski akterji in oligarhična omrežja, kar posnema vzorce, opažene na nedavnih volitvah v Moldaviji in Gruziji;</w:t>
      </w:r>
    </w:p>
    <w:p w14:paraId="43DC3AE5" w14:textId="77777777" w:rsidR="000C3DDA" w:rsidRPr="00B23FA0" w:rsidRDefault="000C3DDA" w:rsidP="000C3DDA">
      <w:pPr>
        <w:pStyle w:val="NormalHanging12a"/>
        <w:rPr>
          <w:bCs/>
        </w:rPr>
      </w:pPr>
      <w:r w:rsidRPr="00B23FA0">
        <w:t>G.</w:t>
      </w:r>
      <w:r w:rsidRPr="00B23FA0">
        <w:tab/>
        <w:t xml:space="preserve">ker je Vladimir Putin na srečanju 1. aprila 2026 izvajal pritisk na armenskega predsednika vlade Nikola </w:t>
      </w:r>
      <w:proofErr w:type="spellStart"/>
      <w:r w:rsidRPr="00B23FA0">
        <w:t>Pašinjana</w:t>
      </w:r>
      <w:proofErr w:type="spellEnd"/>
      <w:r w:rsidRPr="00B23FA0">
        <w:t xml:space="preserve">, da bi pridržanemu rusko-armenskemu milijarderju </w:t>
      </w:r>
      <w:proofErr w:type="spellStart"/>
      <w:r w:rsidRPr="00B23FA0">
        <w:t>Samvelu</w:t>
      </w:r>
      <w:proofErr w:type="spellEnd"/>
      <w:r w:rsidRPr="00B23FA0">
        <w:t xml:space="preserve"> </w:t>
      </w:r>
      <w:proofErr w:type="spellStart"/>
      <w:r w:rsidRPr="00B23FA0">
        <w:t>Karapetjanu</w:t>
      </w:r>
      <w:proofErr w:type="spellEnd"/>
      <w:r w:rsidRPr="00B23FA0">
        <w:t xml:space="preserve"> omogočil udeležbo na prihodnjih volitvah v Armeniji;</w:t>
      </w:r>
    </w:p>
    <w:p w14:paraId="72CC3BD4" w14:textId="77777777" w:rsidR="000C3DDA" w:rsidRPr="00B23FA0" w:rsidRDefault="000C3DDA" w:rsidP="000C3DDA">
      <w:pPr>
        <w:pStyle w:val="NormalHanging12a"/>
        <w:rPr>
          <w:bCs/>
        </w:rPr>
      </w:pPr>
      <w:r w:rsidRPr="00B23FA0">
        <w:t>H.</w:t>
      </w:r>
      <w:r w:rsidRPr="00B23FA0">
        <w:tab/>
        <w:t>ker misija EUMA še vedno bistveno prispeva k stabilnosti, krepitvi zaupanja in varnosti ljudi na območjih, ki so jih prizadeli konflikti; ker je Svet 30. januarja 2025 podaljšal mandat misije EUMA za dve leti; ker ima misija EUMA ključno stabilizacijsko vlogo vzdolž armensko-azerbajdžanske meje; ker prispeva tudi k opazovanju razmer na terenu in poročanju o njih ter podpira krepitev zaupanja med Armenijo in Azerbajdžanom;</w:t>
      </w:r>
    </w:p>
    <w:p w14:paraId="20202FA6" w14:textId="77777777" w:rsidR="000C3DDA" w:rsidRPr="00B23FA0" w:rsidRDefault="000C3DDA" w:rsidP="000C3DDA">
      <w:pPr>
        <w:pStyle w:val="NormalHanging12a"/>
      </w:pPr>
      <w:r w:rsidRPr="00B23FA0">
        <w:t>I.</w:t>
      </w:r>
      <w:r w:rsidRPr="00B23FA0">
        <w:tab/>
        <w:t xml:space="preserve">ker je mirovni proces med Armenijo in Azerbajdžanom dobil velik zagon z načrti za </w:t>
      </w:r>
      <w:proofErr w:type="spellStart"/>
      <w:r w:rsidRPr="00B23FA0">
        <w:t>multimodalno</w:t>
      </w:r>
      <w:proofErr w:type="spellEnd"/>
      <w:r w:rsidRPr="00B23FA0">
        <w:t xml:space="preserve"> tranzitno povezljivost prek armenskega ozemlja, ki bo povezala celinski Azerbajdžan z avtonomno republiko </w:t>
      </w:r>
      <w:proofErr w:type="spellStart"/>
      <w:r w:rsidRPr="00B23FA0">
        <w:t>Nahčivan</w:t>
      </w:r>
      <w:proofErr w:type="spellEnd"/>
      <w:r w:rsidRPr="00B23FA0">
        <w:t xml:space="preserve">, hkrati pa v celoti spoštovala suverenost, ozemeljsko celovitost in jurisdikcijo Armenije, in je ključni instrument za zmanjšanje </w:t>
      </w:r>
      <w:r w:rsidRPr="00B23FA0">
        <w:lastRenderedPageBreak/>
        <w:t xml:space="preserve">gospodarske odvisnosti Armenije od Rusije; ker EU prek partnerstva za povezljivost med EU in Armenijo ter pobude </w:t>
      </w:r>
      <w:proofErr w:type="spellStart"/>
      <w:r w:rsidRPr="00B23FA0">
        <w:t>Crossroads</w:t>
      </w:r>
      <w:proofErr w:type="spellEnd"/>
      <w:r w:rsidRPr="00B23FA0">
        <w:t xml:space="preserve"> </w:t>
      </w:r>
      <w:proofErr w:type="spellStart"/>
      <w:r w:rsidRPr="00B23FA0">
        <w:t>of</w:t>
      </w:r>
      <w:proofErr w:type="spellEnd"/>
      <w:r w:rsidRPr="00B23FA0">
        <w:t xml:space="preserve"> </w:t>
      </w:r>
      <w:proofErr w:type="spellStart"/>
      <w:r w:rsidRPr="00B23FA0">
        <w:t>Peace</w:t>
      </w:r>
      <w:proofErr w:type="spellEnd"/>
      <w:r w:rsidRPr="00B23FA0">
        <w:t xml:space="preserve"> (razpotje miru) v celoti podpira ta proces;</w:t>
      </w:r>
    </w:p>
    <w:p w14:paraId="0DD0C20F" w14:textId="77777777" w:rsidR="000C3DDA" w:rsidRPr="00B23FA0" w:rsidRDefault="000C3DDA" w:rsidP="000C3DDA">
      <w:pPr>
        <w:pStyle w:val="NormalHanging12a"/>
      </w:pPr>
      <w:r w:rsidRPr="00B23FA0">
        <w:t>1.</w:t>
      </w:r>
      <w:r w:rsidRPr="00B23FA0">
        <w:tab/>
        <w:t>potrjuje svoje trdno prepričanje, da so armenske oblasti zavezane organizaciji svobodnih, poštenih in preglednih volitev, ter izraža podporo njihovim prizadevanjem za zaščito demokratičnih institucij pred zunanjim vmešavanjem;</w:t>
      </w:r>
    </w:p>
    <w:p w14:paraId="1CB16942" w14:textId="77777777" w:rsidR="000C3DDA" w:rsidRPr="00B23FA0" w:rsidRDefault="000C3DDA" w:rsidP="000C3DDA">
      <w:pPr>
        <w:pStyle w:val="NormalHanging12a"/>
      </w:pPr>
      <w:r w:rsidRPr="00B23FA0">
        <w:t>2.</w:t>
      </w:r>
      <w:r w:rsidRPr="00B23FA0">
        <w:tab/>
        <w:t>izraža polno podporo svobodnim, poštenim, konkurenčnim in mirnim parlamentarnim volitvam v Armeniji junija 2026, o izidu katerih mora odločati le armensko ljudstvo; poudarja pomen neodvisnosti volilne uprave, enakih pogojev za volilno kampanjo za vse kandidate, pluralnosti medijev in doslednega spoštovanja temeljnih svoboščin v celotnem volilnem ciklu; poziva k pripravi robustnih zaščitnih ukrepov proti dezinformacijam, nezakonitemu financiranju, kupovanju glasov in prisili ter k večji zaščiti volilne infrastrukture, preglednosti financiranja kampanj ter podpori pobudam za preverjanje dejstev in civilni družbi, tudi z izmenjavo informacij in mehanizmi zgodnjega opozarjanja; poziva k napotitvi močnih mednarodnih in domačih misij za opazovanje volitev, tudi misij ODIHR, ter k polnemu sodelovanju s temi misijami;</w:t>
      </w:r>
    </w:p>
    <w:p w14:paraId="5D1FB81B" w14:textId="77777777" w:rsidR="000C3DDA" w:rsidRPr="00B23FA0" w:rsidRDefault="000C3DDA" w:rsidP="000C3DDA">
      <w:pPr>
        <w:pStyle w:val="NormalHanging12a"/>
      </w:pPr>
      <w:r w:rsidRPr="00B23FA0">
        <w:t>3.</w:t>
      </w:r>
      <w:r w:rsidRPr="00B23FA0">
        <w:tab/>
        <w:t xml:space="preserve">odločno obsoja tuje manipuliranje z informacijami in vmešavanje, </w:t>
      </w:r>
      <w:proofErr w:type="spellStart"/>
      <w:r w:rsidRPr="00B23FA0">
        <w:t>dezinformacijske</w:t>
      </w:r>
      <w:proofErr w:type="spellEnd"/>
      <w:r w:rsidRPr="00B23FA0">
        <w:t xml:space="preserve"> kampanje in druge hibridne grožnje Armeniji, zlasti tiste, ki izvirajo iz Rusije in njenih posrednikov, tudi s kibernetskimi napadi, nezakonitim političnim financiranjem in uporabo domačih akterjev, vključno z oligarhičnimi mrežami, za krepitev takih groženj; poudarja, da so te grožnje strukturne in dolgoročne ter da so potrebna trajna prizadevanja za krepitev demokratične odpornosti zunaj volilnega cikla; v zvezi s tem pozdravlja vzpostavitev misije EUPM Armenija in poziva, naj EU zagotovi večjo podporo prek strateškega komuniciranja, medijske pismenosti, krepitve zmogljivosti na področju kibernetske varnosti in strukturiranega sodelovanja s spletnimi platformami; poziva armenske oblasti, naj zagotovijo popolno spoštovanje pravic opozicije, neodvisnosti sodstva in svobode izražanja;</w:t>
      </w:r>
    </w:p>
    <w:p w14:paraId="24E6C751" w14:textId="77777777" w:rsidR="000C3DDA" w:rsidRPr="00B23FA0" w:rsidRDefault="000C3DDA" w:rsidP="000C3DDA">
      <w:pPr>
        <w:pStyle w:val="NormalHanging12a"/>
      </w:pPr>
      <w:r w:rsidRPr="00B23FA0">
        <w:t>4.</w:t>
      </w:r>
      <w:r w:rsidRPr="00B23FA0">
        <w:tab/>
        <w:t>je seznanjen s posebnimi izzivi, povezanimi s prisotnostjo velike ruske skupnosti v Armeniji, vključno z osebami z dvojnim državljanstvom, in poudarja, da je treba pozorno spremljati vse poskuse izkoriščanja teh razmer za vmešavanje v volitve;</w:t>
      </w:r>
    </w:p>
    <w:p w14:paraId="44792A4B" w14:textId="77777777" w:rsidR="000C3DDA" w:rsidRPr="00B23FA0" w:rsidRDefault="000C3DDA" w:rsidP="000C3DDA">
      <w:pPr>
        <w:pStyle w:val="NormalHanging12a"/>
      </w:pPr>
      <w:r w:rsidRPr="00B23FA0">
        <w:t>5.</w:t>
      </w:r>
      <w:r w:rsidRPr="00B23FA0">
        <w:tab/>
        <w:t>pozdravlja močan zagon v odnosih med EU in Armenijo ter stalno zavezanost Armenije demokraciji, pravni državi, človekovim pravicam ter ambicioznim političnim in gospodarskim reformam;</w:t>
      </w:r>
    </w:p>
    <w:p w14:paraId="77585E1A" w14:textId="77777777" w:rsidR="000C3DDA" w:rsidRPr="00B23FA0" w:rsidRDefault="000C3DDA" w:rsidP="000C3DDA">
      <w:pPr>
        <w:pStyle w:val="NormalHanging12a"/>
      </w:pPr>
      <w:r w:rsidRPr="00B23FA0">
        <w:t>6.</w:t>
      </w:r>
      <w:r w:rsidRPr="00B23FA0">
        <w:tab/>
        <w:t>pozdravlja sprejetje nove strateške agende za partnerstvo med EU in Armenijo, napredek pri izvajanju Celovitega in okrepljenega sporazuma o partnerstvu, napredek v dialogu o liberalizaciji vizumskega režima ter nadaljnje izvajanje načrta za odpornost in rast; v zvezi s tem pozdravlja zakonodajna in politična prizadevanja Armenije, katerih cilj je poglobiti odnose z EU;</w:t>
      </w:r>
    </w:p>
    <w:p w14:paraId="141F0A01" w14:textId="77777777" w:rsidR="000C3DDA" w:rsidRPr="00B23FA0" w:rsidRDefault="000C3DDA" w:rsidP="000C3DDA">
      <w:pPr>
        <w:pStyle w:val="NormalHanging12a"/>
      </w:pPr>
      <w:r w:rsidRPr="00B23FA0">
        <w:t>7.</w:t>
      </w:r>
      <w:r w:rsidRPr="00B23FA0">
        <w:tab/>
        <w:t>pozdravlja osmi vrh Evropske politične skupnosti in prvi vrh EU-Armenija, ki bo potekal 4. in 5. maja 2026 v Erevanu, kot izjemen in zgodovinski mejnik; meni, da je zaporedna organizacija obeh vrhunskih srečanj v Erevanu jasen politični signal vseevropske solidarnosti z Armenijo in zavezanosti EU podpiranju armenskega programa za mir, reforme in odpornost; poziva voditelje EU in Armenije, naj to priložnost izkoristijo za oblikovanje ambicioznih in konkretnih ciljev;</w:t>
      </w:r>
    </w:p>
    <w:p w14:paraId="05CF73E7" w14:textId="77777777" w:rsidR="000C3DDA" w:rsidRPr="00B23FA0" w:rsidRDefault="000C3DDA" w:rsidP="000C3DDA">
      <w:pPr>
        <w:pStyle w:val="NormalHanging12a"/>
      </w:pPr>
      <w:r w:rsidRPr="00B23FA0">
        <w:lastRenderedPageBreak/>
        <w:t>8.</w:t>
      </w:r>
      <w:r w:rsidRPr="00B23FA0">
        <w:tab/>
        <w:t>pozdravlja sprejetje zakonodaje, s katero država izraža željo po članstvu v EU, ter poziva institucije EU in armenske oblasti, naj to politično izbiro podprejo s praktičnimi ukrepi, ki bodo spoštovali demokracijo, pravno državo in temeljne pravice;</w:t>
      </w:r>
    </w:p>
    <w:p w14:paraId="029E067D" w14:textId="77777777" w:rsidR="000C3DDA" w:rsidRPr="00B23FA0" w:rsidRDefault="000C3DDA" w:rsidP="000C3DDA">
      <w:pPr>
        <w:pStyle w:val="NormalHanging12a"/>
        <w:rPr>
          <w:bCs/>
        </w:rPr>
      </w:pPr>
      <w:r w:rsidRPr="00B23FA0">
        <w:t>9.</w:t>
      </w:r>
      <w:r w:rsidRPr="00B23FA0">
        <w:tab/>
        <w:t>poziva Komisijo, Evropsko službo za zunanje delovanje in države članice, naj poglobijo sodelovanje z Armenijo na področju demokratičnega upravljanja, pravne države, reforme pravosodja, boja proti korupciji, kibernetske varnosti in odpornosti na hibridne grožnje ter povečajo dostopno podporo neodvisnim medijem, civilni družbi, lokalnim institucijam in v reforme usmerjeni javni upravi; poziva k tesnemu usklajevanju z mednarodnimi partnerji pri podpiranju teh prizadevanj;</w:t>
      </w:r>
    </w:p>
    <w:p w14:paraId="036BAB47" w14:textId="77777777" w:rsidR="000C3DDA" w:rsidRPr="00B23FA0" w:rsidRDefault="000C3DDA" w:rsidP="000C3DDA">
      <w:pPr>
        <w:pStyle w:val="NormalHanging12a"/>
        <w:rPr>
          <w:bCs/>
        </w:rPr>
      </w:pPr>
      <w:r w:rsidRPr="00B23FA0">
        <w:t>10.</w:t>
      </w:r>
      <w:r w:rsidRPr="00B23FA0">
        <w:tab/>
        <w:t>odločno podpira stalna prizadevanja Armenije za mir, spravo in popolno normalizacijo odnosov z Azerbajdžanom; pozdravlja napredek, dosežen v mirovnem procesu, in poziva obe strani, naj si prizadevata za celovit, pravno zavezujoč mirovni sporazum; poudarja, da mora trajen mir temeljiti na spoštovanju suverenosti, ozemeljske celovitosti in nedotakljivosti meja;</w:t>
      </w:r>
    </w:p>
    <w:p w14:paraId="5496694F" w14:textId="77777777" w:rsidR="000C3DDA" w:rsidRPr="00B23FA0" w:rsidRDefault="000C3DDA" w:rsidP="000C3DDA">
      <w:pPr>
        <w:pStyle w:val="NormalHanging12a"/>
      </w:pPr>
      <w:r w:rsidRPr="00B23FA0">
        <w:t>11.</w:t>
      </w:r>
      <w:r w:rsidRPr="00B23FA0">
        <w:tab/>
        <w:t>spodbuja okrepljeno izmenjavo informacij in sodelovanje z Republiko Moldavijo ob podpori EU, glede na primerljive izkušnje z vmešavanjem v volitve;</w:t>
      </w:r>
    </w:p>
    <w:p w14:paraId="2952D41B" w14:textId="77777777" w:rsidR="000C3DDA" w:rsidRPr="00B23FA0" w:rsidRDefault="000C3DDA" w:rsidP="000C3DDA">
      <w:pPr>
        <w:pStyle w:val="NormalHanging12a"/>
      </w:pPr>
      <w:r w:rsidRPr="00B23FA0">
        <w:t>12.</w:t>
      </w:r>
      <w:r w:rsidRPr="00B23FA0">
        <w:tab/>
        <w:t xml:space="preserve">ponovno izraža podporo pravicam Armencev v Gorskem </w:t>
      </w:r>
      <w:proofErr w:type="spellStart"/>
      <w:r w:rsidRPr="00B23FA0">
        <w:t>Karabahu</w:t>
      </w:r>
      <w:proofErr w:type="spellEnd"/>
      <w:r w:rsidRPr="00B23FA0">
        <w:t>, vključno z zaščito njihove identitete, lastnine in kulturne dediščine, ter njihovi pravici do varne, neovirane in dostojne vrnitve pod ustreznimi mednarodnimi jamstvi; poziva, naj odgovorni za uničenje armenske kulturne in verske dediščine odgovarjajo za svoja dejanja in naj se organizira mednarodna ocenjevalna misija;</w:t>
      </w:r>
    </w:p>
    <w:p w14:paraId="699FE73F" w14:textId="77777777" w:rsidR="000C3DDA" w:rsidRPr="00B23FA0" w:rsidRDefault="000C3DDA" w:rsidP="000C3DDA">
      <w:pPr>
        <w:pStyle w:val="NormalHanging12a"/>
        <w:rPr>
          <w:bCs/>
        </w:rPr>
      </w:pPr>
      <w:r w:rsidRPr="00B23FA0">
        <w:t>13.</w:t>
      </w:r>
      <w:r w:rsidRPr="00B23FA0">
        <w:tab/>
        <w:t>obsoja nepravično pridržanje armenskih vojnih ujetnikov, pridržanih oseb in talcev v Azerbajdžanu; zahteva njihovo takojšnjo in brezpogojno izpustitev; je seznanjen z doslej sprejetimi ukrepi in poziva k nadaljnjim ukrepom za krepitev zaupanja; poziva k popolnemu spoštovanju mednarodnega humanitarnega prava in prava o človekovih pravicah;</w:t>
      </w:r>
    </w:p>
    <w:p w14:paraId="36775B1E" w14:textId="77777777" w:rsidR="000C3DDA" w:rsidRPr="00B23FA0" w:rsidRDefault="000C3DDA" w:rsidP="000C3DDA">
      <w:pPr>
        <w:pStyle w:val="NormalHanging12a"/>
      </w:pPr>
      <w:r w:rsidRPr="00B23FA0">
        <w:t>14.</w:t>
      </w:r>
      <w:r w:rsidRPr="00B23FA0">
        <w:tab/>
        <w:t>poziva EU, naj poveča finančno in tehnično pomoč Armeniji, tudi prek načrta za odpornost in rast, s poudarkom na krepitvi institucionalne odpornosti, energetski varnosti, digitalnem upravljanju in gospodarski diverzifikaciji ter zmanjšanju strukturne odvisnosti v kritičnih sektorjih, kot so energetika, promet in infrastruktura; spodbuja armensko vlado, naj nadaljuje reforme;</w:t>
      </w:r>
    </w:p>
    <w:p w14:paraId="1BEF51B6" w14:textId="77777777" w:rsidR="000C3DDA" w:rsidRPr="00B23FA0" w:rsidRDefault="000C3DDA" w:rsidP="000C3DDA">
      <w:pPr>
        <w:pStyle w:val="NormalHanging12a"/>
      </w:pPr>
      <w:r w:rsidRPr="00B23FA0">
        <w:t>15.</w:t>
      </w:r>
      <w:r w:rsidRPr="00B23FA0">
        <w:tab/>
        <w:t>pozdravlja sprejetje strategije za civilno družbo EUMA; meni, da je razširitev sodelovanja misije z armensko civilno družbo, ki presega njen osrednji mandat za spremljanje varnosti, pomemben korak, in spodbuja misijo EUMA, naj v sklopu svojega prispevka k demokratični odpornosti okrepi stike z lokalnimi demokratičnimi akterji, organizacijami skupnosti in neodvisnimi mediji; pozdravlja delo armenske civilne družbe pri preiskovanju kampanj tujega vmešavanja ter kibernetskih napadov in dezinformacij na spletu;</w:t>
      </w:r>
    </w:p>
    <w:p w14:paraId="471E755B" w14:textId="77777777" w:rsidR="000C3DDA" w:rsidRPr="00B23FA0" w:rsidRDefault="000C3DDA" w:rsidP="000C3DDA">
      <w:pPr>
        <w:pStyle w:val="NormalHanging12a"/>
        <w:rPr>
          <w:bCs/>
        </w:rPr>
      </w:pPr>
      <w:r w:rsidRPr="00B23FA0">
        <w:t>16.</w:t>
      </w:r>
      <w:r w:rsidRPr="00B23FA0">
        <w:tab/>
        <w:t>pozdravlja stalna prizadevanja za normalizacijo odnosov med Armenijo in Turčijo kot pomemben prispevek k regionalni stabilnosti, spravi in povezljivosti; poziva obe strani, naj še naprej v dobri veri sodelujeta pri nadaljnjih korakih za krepitev zaupanja, vključno s ponovnim odprtjem meja, saj to pomembno prispeva k regionalni stabilnosti, spravi in povezljivosti;</w:t>
      </w:r>
    </w:p>
    <w:p w14:paraId="72B048A4" w14:textId="44C3FCE1" w:rsidR="00E365E1" w:rsidRPr="00B23FA0" w:rsidRDefault="000C3DDA" w:rsidP="002138EB">
      <w:pPr>
        <w:pStyle w:val="NormalHanging12a"/>
      </w:pPr>
      <w:r w:rsidRPr="00B23FA0">
        <w:lastRenderedPageBreak/>
        <w:t>17.</w:t>
      </w:r>
      <w:r w:rsidRPr="00B23FA0">
        <w:tab/>
        <w:t>naroči svoji predsednici, naj to resolucijo posreduje Svetu, Komisiji, podpredsednici Komisije/visoki predstavnici Unije za zunanje zadeve in varnostno politiko, vladam in parlamentom držav članic, predsedniku, vladi in parlamentu Republike Armenije, Organizaciji za varnost in sodelovanje v Evropi, Svetu Evrope in Organizaciji združenih narodov.</w:t>
      </w:r>
    </w:p>
    <w:sectPr w:rsidR="00E365E1" w:rsidRPr="00B23FA0" w:rsidSect="00B23F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97ECE" w14:textId="77777777" w:rsidR="002C35AA" w:rsidRPr="00B23FA0" w:rsidRDefault="002C35AA">
      <w:r w:rsidRPr="00B23FA0">
        <w:separator/>
      </w:r>
    </w:p>
  </w:endnote>
  <w:endnote w:type="continuationSeparator" w:id="0">
    <w:p w14:paraId="562682A8" w14:textId="77777777" w:rsidR="002C35AA" w:rsidRPr="00B23FA0" w:rsidRDefault="002C35AA">
      <w:r w:rsidRPr="00B23F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01BD5" w14:textId="77777777" w:rsidR="00064002" w:rsidRPr="00B23FA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1AE90" w14:textId="77777777" w:rsidR="00064002" w:rsidRPr="00B23FA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F8A5B" w14:textId="77777777" w:rsidR="00064002" w:rsidRPr="00B23F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78CD9" w14:textId="77777777" w:rsidR="002C35AA" w:rsidRPr="00B23FA0" w:rsidRDefault="002C35AA">
      <w:r w:rsidRPr="00B23FA0">
        <w:separator/>
      </w:r>
    </w:p>
  </w:footnote>
  <w:footnote w:type="continuationSeparator" w:id="0">
    <w:p w14:paraId="6B26BC8C" w14:textId="77777777" w:rsidR="002C35AA" w:rsidRPr="00B23FA0" w:rsidRDefault="002C35AA">
      <w:r w:rsidRPr="00B23FA0">
        <w:continuationSeparator/>
      </w:r>
    </w:p>
  </w:footnote>
  <w:footnote w:id="1">
    <w:p w14:paraId="7E08CEAD" w14:textId="38CD2764" w:rsidR="000C3DDA" w:rsidRPr="00B23FA0" w:rsidRDefault="000C3DDA" w:rsidP="00B23FA0">
      <w:pPr>
        <w:pStyle w:val="FootnoteText"/>
        <w:ind w:left="567" w:hanging="567"/>
        <w:rPr>
          <w:sz w:val="24"/>
          <w:lang w:val="sl-SI"/>
        </w:rPr>
      </w:pPr>
      <w:r w:rsidRPr="00B23FA0">
        <w:rPr>
          <w:rStyle w:val="FootnoteReference"/>
          <w:sz w:val="24"/>
          <w:lang w:val="sl-SI"/>
        </w:rPr>
        <w:footnoteRef/>
      </w:r>
      <w:r w:rsidR="00B23FA0" w:rsidRPr="00B23FA0">
        <w:rPr>
          <w:sz w:val="24"/>
          <w:lang w:val="sl-SI"/>
        </w:rPr>
        <w:t xml:space="preserve"> </w:t>
      </w:r>
      <w:r w:rsidR="00B23FA0" w:rsidRPr="00B23FA0">
        <w:rPr>
          <w:sz w:val="24"/>
          <w:lang w:val="sl-SI"/>
        </w:rPr>
        <w:tab/>
      </w:r>
      <w:r w:rsidRPr="00B23FA0">
        <w:rPr>
          <w:sz w:val="24"/>
          <w:lang w:val="sl-SI"/>
        </w:rPr>
        <w:t xml:space="preserve">UL L 23, 26.01.2018, str. 4, ELI: </w:t>
      </w:r>
      <w:hyperlink r:id="rId1" w:history="1">
        <w:r w:rsidRPr="00B23FA0">
          <w:rPr>
            <w:rStyle w:val="Hyperlink"/>
            <w:sz w:val="24"/>
            <w:lang w:val="sl-SI"/>
          </w:rPr>
          <w:t>http://data.europa.eu/eli/agree_internation/2018/104/oj</w:t>
        </w:r>
      </w:hyperlink>
      <w:r w:rsidRPr="00B23FA0">
        <w:rPr>
          <w:sz w:val="24"/>
          <w:lang w:val="sl-SI"/>
        </w:rPr>
        <w:t>.</w:t>
      </w:r>
    </w:p>
  </w:footnote>
  <w:footnote w:id="2">
    <w:p w14:paraId="32EDB4AA" w14:textId="3F708DAC" w:rsidR="000C3DDA" w:rsidRPr="00B23FA0" w:rsidRDefault="000C3DDA" w:rsidP="00B23FA0">
      <w:pPr>
        <w:pStyle w:val="FootnoteText"/>
        <w:ind w:left="567" w:hanging="567"/>
        <w:rPr>
          <w:sz w:val="24"/>
          <w:lang w:val="sl-SI"/>
        </w:rPr>
      </w:pPr>
      <w:r w:rsidRPr="00B23FA0">
        <w:rPr>
          <w:rStyle w:val="FootnoteReference"/>
          <w:sz w:val="24"/>
          <w:lang w:val="sl-SI"/>
        </w:rPr>
        <w:footnoteRef/>
      </w:r>
      <w:r w:rsidR="00B23FA0" w:rsidRPr="00B23FA0">
        <w:rPr>
          <w:sz w:val="24"/>
          <w:lang w:val="sl-SI"/>
        </w:rPr>
        <w:t xml:space="preserve"> </w:t>
      </w:r>
      <w:r w:rsidR="00B23FA0" w:rsidRPr="00B23FA0">
        <w:rPr>
          <w:sz w:val="24"/>
          <w:lang w:val="sl-SI"/>
        </w:rPr>
        <w:tab/>
      </w:r>
      <w:r w:rsidRPr="00B23FA0">
        <w:rPr>
          <w:sz w:val="24"/>
          <w:lang w:val="sl-SI"/>
        </w:rPr>
        <w:t xml:space="preserve">UL L, 2025/211, 31.1.2025, ELI: </w:t>
      </w:r>
      <w:r>
        <w:fldChar w:fldCharType="begin"/>
      </w:r>
      <w:r w:rsidRPr="006627B7">
        <w:rPr>
          <w:lang w:val="sl-SI"/>
        </w:rPr>
        <w:instrText>HYPERLINK "http://data.europa.eu/eli/dec/2025/211/oj"</w:instrText>
      </w:r>
      <w:r>
        <w:fldChar w:fldCharType="separate"/>
      </w:r>
      <w:r w:rsidRPr="00B23FA0">
        <w:rPr>
          <w:rStyle w:val="Hyperlink"/>
          <w:sz w:val="24"/>
          <w:lang w:val="sl-SI"/>
        </w:rPr>
        <w:t>http://data.europa.eu/eli/dec/2025/211/oj</w:t>
      </w:r>
      <w:r>
        <w:fldChar w:fldCharType="end"/>
      </w:r>
      <w:r w:rsidRPr="00B23FA0">
        <w:rPr>
          <w:sz w:val="24"/>
          <w:lang w:val="sl-SI"/>
        </w:rPr>
        <w:t>.</w:t>
      </w:r>
    </w:p>
  </w:footnote>
  <w:footnote w:id="3">
    <w:p w14:paraId="6438B44C" w14:textId="4B95F6A3" w:rsidR="000C3DDA" w:rsidRPr="00B23FA0" w:rsidRDefault="000C3DDA" w:rsidP="00B23FA0">
      <w:pPr>
        <w:pStyle w:val="FootnoteText"/>
        <w:ind w:left="567" w:hanging="567"/>
        <w:rPr>
          <w:sz w:val="24"/>
          <w:lang w:val="sl-SI"/>
        </w:rPr>
      </w:pPr>
      <w:r w:rsidRPr="00B23FA0">
        <w:rPr>
          <w:rStyle w:val="FootnoteReference"/>
          <w:sz w:val="24"/>
          <w:lang w:val="sl-SI"/>
        </w:rPr>
        <w:footnoteRef/>
      </w:r>
      <w:r w:rsidR="00B23FA0" w:rsidRPr="00B23FA0">
        <w:rPr>
          <w:sz w:val="24"/>
          <w:lang w:val="sl-SI"/>
        </w:rPr>
        <w:t xml:space="preserve"> </w:t>
      </w:r>
      <w:r w:rsidR="00B23FA0" w:rsidRPr="00B23FA0">
        <w:rPr>
          <w:sz w:val="24"/>
          <w:lang w:val="sl-SI"/>
        </w:rPr>
        <w:tab/>
      </w:r>
      <w:r w:rsidRPr="00B23FA0">
        <w:rPr>
          <w:sz w:val="24"/>
          <w:lang w:val="sl-SI"/>
        </w:rPr>
        <w:t xml:space="preserve">UL L, 2026/894, 22.4.2026, ELI: </w:t>
      </w:r>
      <w:r>
        <w:fldChar w:fldCharType="begin"/>
      </w:r>
      <w:r w:rsidRPr="006627B7">
        <w:rPr>
          <w:lang w:val="sl-SI"/>
        </w:rPr>
        <w:instrText>HYPERLINK "http://data.europa.eu/eli/dec/2026/894/oj"</w:instrText>
      </w:r>
      <w:r>
        <w:fldChar w:fldCharType="separate"/>
      </w:r>
      <w:r w:rsidRPr="00B23FA0">
        <w:rPr>
          <w:rStyle w:val="Hyperlink"/>
          <w:sz w:val="24"/>
          <w:lang w:val="sl-SI"/>
        </w:rPr>
        <w:t>http://data.europa.eu/eli/dec/2026/894/oj</w:t>
      </w:r>
      <w:r>
        <w:fldChar w:fldCharType="end"/>
      </w:r>
      <w:r w:rsidRPr="00B23FA0">
        <w:rPr>
          <w:sz w:val="24"/>
          <w:lang w:val="sl-SI"/>
        </w:rPr>
        <w:t>.</w:t>
      </w:r>
    </w:p>
  </w:footnote>
  <w:footnote w:id="4">
    <w:p w14:paraId="6E69BFF1" w14:textId="1BE14058" w:rsidR="000C3DDA" w:rsidRPr="00B23FA0" w:rsidRDefault="000C3DDA" w:rsidP="00B23FA0">
      <w:pPr>
        <w:pStyle w:val="FootnoteText"/>
        <w:ind w:left="567" w:hanging="567"/>
        <w:rPr>
          <w:sz w:val="24"/>
          <w:lang w:val="sl-SI"/>
        </w:rPr>
      </w:pPr>
      <w:r w:rsidRPr="00B23FA0">
        <w:rPr>
          <w:rStyle w:val="FootnoteReference"/>
          <w:sz w:val="24"/>
          <w:lang w:val="sl-SI"/>
        </w:rPr>
        <w:footnoteRef/>
      </w:r>
      <w:r w:rsidR="00B23FA0" w:rsidRPr="00B23FA0">
        <w:rPr>
          <w:sz w:val="24"/>
          <w:lang w:val="sl-SI"/>
        </w:rPr>
        <w:t xml:space="preserve"> </w:t>
      </w:r>
      <w:r w:rsidR="00B23FA0" w:rsidRPr="00B23FA0">
        <w:rPr>
          <w:sz w:val="24"/>
          <w:lang w:val="sl-SI"/>
        </w:rPr>
        <w:tab/>
      </w:r>
      <w:r w:rsidRPr="00B23FA0">
        <w:rPr>
          <w:sz w:val="24"/>
          <w:lang w:val="sl-SI"/>
        </w:rPr>
        <w:t xml:space="preserve">UL L, 2024/2010, 23.7.2024, ELI: </w:t>
      </w:r>
      <w:r>
        <w:fldChar w:fldCharType="begin"/>
      </w:r>
      <w:r w:rsidRPr="006627B7">
        <w:rPr>
          <w:lang w:val="sl-SI"/>
        </w:rPr>
        <w:instrText>HYPERLINK "http://data.europa.eu/eli/dec/2024/2010/oj"</w:instrText>
      </w:r>
      <w:r>
        <w:fldChar w:fldCharType="separate"/>
      </w:r>
      <w:r w:rsidRPr="00B23FA0">
        <w:rPr>
          <w:rStyle w:val="Hyperlink"/>
          <w:sz w:val="24"/>
          <w:lang w:val="sl-SI"/>
        </w:rPr>
        <w:t>http://data.europa.eu/eli/dec/2024/2010/oj</w:t>
      </w:r>
      <w:r>
        <w:fldChar w:fldCharType="end"/>
      </w:r>
      <w:r w:rsidRPr="00B23FA0">
        <w:rPr>
          <w:sz w:val="24"/>
          <w:lang w:val="sl-SI"/>
        </w:rPr>
        <w:t>.</w:t>
      </w:r>
    </w:p>
  </w:footnote>
  <w:footnote w:id="5">
    <w:p w14:paraId="69F575D0" w14:textId="3C8ECFDC" w:rsidR="000C3DDA" w:rsidRPr="00B23FA0" w:rsidRDefault="000C3DDA" w:rsidP="00B23FA0">
      <w:pPr>
        <w:pStyle w:val="FootnoteText"/>
        <w:ind w:left="567" w:hanging="567"/>
        <w:rPr>
          <w:sz w:val="24"/>
          <w:lang w:val="sl-SI"/>
        </w:rPr>
      </w:pPr>
      <w:r w:rsidRPr="00B23FA0">
        <w:rPr>
          <w:rStyle w:val="FootnoteReference"/>
          <w:sz w:val="24"/>
          <w:lang w:val="sl-SI"/>
        </w:rPr>
        <w:footnoteRef/>
      </w:r>
      <w:r w:rsidR="00B23FA0" w:rsidRPr="00B23FA0">
        <w:rPr>
          <w:sz w:val="24"/>
          <w:lang w:val="sl-SI"/>
        </w:rPr>
        <w:t xml:space="preserve"> </w:t>
      </w:r>
      <w:r w:rsidR="00B23FA0" w:rsidRPr="00B23FA0">
        <w:rPr>
          <w:sz w:val="24"/>
          <w:lang w:val="sl-SI"/>
        </w:rPr>
        <w:tab/>
      </w:r>
      <w:r w:rsidRPr="00B23FA0">
        <w:rPr>
          <w:sz w:val="24"/>
          <w:lang w:val="sl-SI"/>
        </w:rPr>
        <w:t xml:space="preserve">Sporazum med Evropsko unijo in Republiko Armenijo o vzpostavitvi okvira za sodelovanje Republike Armenije v operacijah Evropske unije za krizno upravljanje (UL L, 2025/1553, 31.7.2025, ELI: </w:t>
      </w:r>
      <w:r>
        <w:fldChar w:fldCharType="begin"/>
      </w:r>
      <w:r w:rsidRPr="006627B7">
        <w:rPr>
          <w:lang w:val="sl-SI"/>
        </w:rPr>
        <w:instrText>HYPERLINK "http://data.europa.eu/eli/agree_internation/2025/1553/oj"</w:instrText>
      </w:r>
      <w:r>
        <w:fldChar w:fldCharType="separate"/>
      </w:r>
      <w:r w:rsidRPr="00B23FA0">
        <w:rPr>
          <w:rStyle w:val="Hyperlink"/>
          <w:sz w:val="24"/>
          <w:lang w:val="sl-SI"/>
        </w:rPr>
        <w:t>http://data.europa.eu/eli/agree_internation/2025/1553/oj</w:t>
      </w:r>
      <w:r>
        <w:fldChar w:fldCharType="end"/>
      </w:r>
      <w:r w:rsidRPr="00B23FA0">
        <w:rPr>
          <w:sz w:val="24"/>
          <w:lang w:val="sl-SI"/>
        </w:rPr>
        <w:t>).</w:t>
      </w:r>
    </w:p>
  </w:footnote>
  <w:footnote w:id="6">
    <w:p w14:paraId="08B590BF" w14:textId="34C57322" w:rsidR="000C3DDA" w:rsidRPr="00B23FA0" w:rsidRDefault="000C3DDA" w:rsidP="00B23FA0">
      <w:pPr>
        <w:pStyle w:val="FootnoteText"/>
        <w:ind w:left="567" w:hanging="567"/>
        <w:rPr>
          <w:sz w:val="24"/>
          <w:lang w:val="sl-SI"/>
        </w:rPr>
      </w:pPr>
      <w:r w:rsidRPr="00B23FA0">
        <w:rPr>
          <w:rStyle w:val="FootnoteReference"/>
          <w:sz w:val="24"/>
          <w:lang w:val="sl-SI"/>
        </w:rPr>
        <w:footnoteRef/>
      </w:r>
      <w:r w:rsidR="00B23FA0" w:rsidRPr="00B23FA0">
        <w:rPr>
          <w:sz w:val="24"/>
          <w:lang w:val="sl-SI"/>
        </w:rPr>
        <w:t xml:space="preserve"> </w:t>
      </w:r>
      <w:r w:rsidR="00B23FA0" w:rsidRPr="00B23FA0">
        <w:rPr>
          <w:sz w:val="24"/>
          <w:lang w:val="sl-SI"/>
        </w:rPr>
        <w:tab/>
      </w:r>
      <w:r w:rsidRPr="00B23FA0">
        <w:rPr>
          <w:sz w:val="24"/>
          <w:lang w:val="sl-SI"/>
        </w:rPr>
        <w:t>UL C 328, 6.9.2016, str.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B1617" w14:textId="77777777" w:rsidR="00064002" w:rsidRPr="00B23FA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B24B" w14:textId="77777777" w:rsidR="00064002" w:rsidRPr="00B23FA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6D0FB" w14:textId="77777777" w:rsidR="00064002" w:rsidRPr="00B23F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7486680">
    <w:abstractNumId w:val="9"/>
  </w:num>
  <w:num w:numId="2" w16cid:durableId="2121872847">
    <w:abstractNumId w:val="9"/>
  </w:num>
  <w:num w:numId="3" w16cid:durableId="862405165">
    <w:abstractNumId w:val="7"/>
  </w:num>
  <w:num w:numId="4" w16cid:durableId="1002506968">
    <w:abstractNumId w:val="7"/>
  </w:num>
  <w:num w:numId="5" w16cid:durableId="134875786">
    <w:abstractNumId w:val="6"/>
  </w:num>
  <w:num w:numId="6" w16cid:durableId="1100029292">
    <w:abstractNumId w:val="6"/>
  </w:num>
  <w:num w:numId="7" w16cid:durableId="691878990">
    <w:abstractNumId w:val="5"/>
  </w:num>
  <w:num w:numId="8" w16cid:durableId="245848673">
    <w:abstractNumId w:val="5"/>
  </w:num>
  <w:num w:numId="9" w16cid:durableId="119223497">
    <w:abstractNumId w:val="4"/>
  </w:num>
  <w:num w:numId="10" w16cid:durableId="1227911676">
    <w:abstractNumId w:val="4"/>
  </w:num>
  <w:num w:numId="11" w16cid:durableId="1372997723">
    <w:abstractNumId w:val="8"/>
  </w:num>
  <w:num w:numId="12" w16cid:durableId="626012875">
    <w:abstractNumId w:val="8"/>
  </w:num>
  <w:num w:numId="13" w16cid:durableId="879054952">
    <w:abstractNumId w:val="3"/>
  </w:num>
  <w:num w:numId="14" w16cid:durableId="1563564563">
    <w:abstractNumId w:val="3"/>
  </w:num>
  <w:num w:numId="15" w16cid:durableId="984629336">
    <w:abstractNumId w:val="2"/>
  </w:num>
  <w:num w:numId="16" w16cid:durableId="217087089">
    <w:abstractNumId w:val="2"/>
  </w:num>
  <w:num w:numId="17" w16cid:durableId="958100515">
    <w:abstractNumId w:val="1"/>
  </w:num>
  <w:num w:numId="18" w16cid:durableId="1822576647">
    <w:abstractNumId w:val="1"/>
  </w:num>
  <w:num w:numId="19" w16cid:durableId="153187927">
    <w:abstractNumId w:val="0"/>
  </w:num>
  <w:num w:numId="20" w16cid:durableId="106387217">
    <w:abstractNumId w:val="0"/>
  </w:num>
  <w:num w:numId="21" w16cid:durableId="1637951111">
    <w:abstractNumId w:val="9"/>
  </w:num>
  <w:num w:numId="22" w16cid:durableId="1699350431">
    <w:abstractNumId w:val="7"/>
  </w:num>
  <w:num w:numId="23" w16cid:durableId="1024672842">
    <w:abstractNumId w:val="6"/>
  </w:num>
  <w:num w:numId="24" w16cid:durableId="903488360">
    <w:abstractNumId w:val="5"/>
  </w:num>
  <w:num w:numId="25" w16cid:durableId="1146509314">
    <w:abstractNumId w:val="4"/>
  </w:num>
  <w:num w:numId="26" w16cid:durableId="38866759">
    <w:abstractNumId w:val="8"/>
  </w:num>
  <w:num w:numId="27" w16cid:durableId="80108823">
    <w:abstractNumId w:val="3"/>
  </w:num>
  <w:num w:numId="28" w16cid:durableId="1611399716">
    <w:abstractNumId w:val="2"/>
  </w:num>
  <w:num w:numId="29" w16cid:durableId="986982270">
    <w:abstractNumId w:val="1"/>
  </w:num>
  <w:num w:numId="30" w16cid:durableId="1818690461">
    <w:abstractNumId w:val="0"/>
  </w:num>
  <w:num w:numId="31" w16cid:durableId="1125076190">
    <w:abstractNumId w:val="9"/>
  </w:num>
  <w:num w:numId="32" w16cid:durableId="1202131517">
    <w:abstractNumId w:val="7"/>
  </w:num>
  <w:num w:numId="33" w16cid:durableId="1325207586">
    <w:abstractNumId w:val="6"/>
  </w:num>
  <w:num w:numId="34" w16cid:durableId="1764297966">
    <w:abstractNumId w:val="5"/>
  </w:num>
  <w:num w:numId="35" w16cid:durableId="1024819177">
    <w:abstractNumId w:val="4"/>
  </w:num>
  <w:num w:numId="36" w16cid:durableId="599605110">
    <w:abstractNumId w:val="8"/>
  </w:num>
  <w:num w:numId="37" w16cid:durableId="1950625837">
    <w:abstractNumId w:val="3"/>
  </w:num>
  <w:num w:numId="38" w16cid:durableId="598416153">
    <w:abstractNumId w:val="2"/>
  </w:num>
  <w:num w:numId="39" w16cid:durableId="1567718740">
    <w:abstractNumId w:val="1"/>
  </w:num>
  <w:num w:numId="40" w16cid:durableId="1682732501">
    <w:abstractNumId w:val="0"/>
  </w:num>
  <w:num w:numId="41" w16cid:durableId="691106287">
    <w:abstractNumId w:val="10"/>
  </w:num>
  <w:num w:numId="42" w16cid:durableId="964967997">
    <w:abstractNumId w:val="10"/>
  </w:num>
  <w:num w:numId="43" w16cid:durableId="2109958001">
    <w:abstractNumId w:val="10"/>
  </w:num>
  <w:num w:numId="44" w16cid:durableId="1284049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2026"/>
    <w:docVar w:name="dvlangue" w:val="SL"/>
    <w:docVar w:name="dvnumam" w:val="0"/>
    <w:docVar w:name="dvpe" w:val="783.229"/>
    <w:docVar w:name="dvtitre" w:val="Resolucija Evropskega parlamenta z dne … 2026 o podpori demokratični odpornosti v Armeniji(2026/2701(RSP))"/>
  </w:docVars>
  <w:rsids>
    <w:rsidRoot w:val="002C35AA"/>
    <w:rsid w:val="00002272"/>
    <w:rsid w:val="00064002"/>
    <w:rsid w:val="000677B9"/>
    <w:rsid w:val="000831BA"/>
    <w:rsid w:val="000A42CC"/>
    <w:rsid w:val="000C3DDA"/>
    <w:rsid w:val="000E7DD9"/>
    <w:rsid w:val="0010095E"/>
    <w:rsid w:val="00125B37"/>
    <w:rsid w:val="00187494"/>
    <w:rsid w:val="001F32AE"/>
    <w:rsid w:val="002138EB"/>
    <w:rsid w:val="002767FF"/>
    <w:rsid w:val="002B18FE"/>
    <w:rsid w:val="002B5493"/>
    <w:rsid w:val="002C35A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27B7"/>
    <w:rsid w:val="006631B6"/>
    <w:rsid w:val="00680577"/>
    <w:rsid w:val="006F74FA"/>
    <w:rsid w:val="00731ADD"/>
    <w:rsid w:val="00734777"/>
    <w:rsid w:val="00747932"/>
    <w:rsid w:val="00751A4A"/>
    <w:rsid w:val="00756632"/>
    <w:rsid w:val="00762C74"/>
    <w:rsid w:val="00786EC0"/>
    <w:rsid w:val="007D1690"/>
    <w:rsid w:val="007E22AD"/>
    <w:rsid w:val="007F382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FA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F0EE0"/>
  <w15:chartTrackingRefBased/>
  <w15:docId w15:val="{3B698734-A8DE-49AE-9AFA-8B8427F50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C3DDA"/>
    <w:pPr>
      <w:spacing w:after="240"/>
      <w:ind w:left="567" w:hanging="567"/>
    </w:pPr>
  </w:style>
  <w:style w:type="paragraph" w:customStyle="1" w:styleId="EPComma">
    <w:name w:val="EPComma"/>
    <w:basedOn w:val="Normal"/>
    <w:link w:val="EPCommaChar"/>
    <w:rsid w:val="000C3DDA"/>
    <w:pPr>
      <w:spacing w:before="480" w:after="240"/>
    </w:pPr>
  </w:style>
  <w:style w:type="character" w:customStyle="1" w:styleId="EPCommaChar">
    <w:name w:val="EPComma Char"/>
    <w:basedOn w:val="DefaultParagraphFont"/>
    <w:link w:val="EPComma"/>
    <w:rsid w:val="000C3DDA"/>
    <w:rPr>
      <w:sz w:val="24"/>
      <w:lang w:val="sl-SI"/>
    </w:rPr>
  </w:style>
  <w:style w:type="character" w:styleId="Hyperlink">
    <w:name w:val="Hyperlink"/>
    <w:basedOn w:val="DefaultParagraphFont"/>
    <w:rsid w:val="000C3D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8/1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2004</Words>
  <Characters>12561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2026-04-30T10:45:00Z</dcterms:created>
  <dcterms:modified xsi:type="dcterms:W3CDTF">2026-04-30T10:45:00Z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B10-0195/2026</vt:lpwstr>
  </property>
  <property fmtid="{D5CDD505-2E9C-101B-9397-08002B2CF9AE}" pid="4" name="&lt;Type&gt;">
    <vt:lpwstr>RR</vt:lpwstr>
  </property>
</Properties>
</file>