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1CC4179" w14:textId="77777777" w:rsidTr="0010095E">
        <w:tblPrEx>
          <w:tblW w:w="9072" w:type="dxa"/>
          <w:tblLook w:val="01E0"/>
        </w:tblPrEx>
        <w:trPr>
          <w:trHeight w:hRule="exact" w:val="1418"/>
        </w:trPr>
        <w:tc>
          <w:tcPr>
            <w:tcW w:w="6804" w:type="dxa"/>
            <w:shd w:val="clear" w:color="auto" w:fill="auto"/>
            <w:vAlign w:val="center"/>
          </w:tcPr>
          <w:p w:rsidR="00751A4A" w:rsidRPr="00A73265" w:rsidP="0010095E" w14:paraId="56928233" w14:textId="77777777">
            <w:pPr>
              <w:pStyle w:val="EPName"/>
            </w:pPr>
            <w:r w:rsidRPr="00A73265">
              <w:t>Europaparlamentet</w:t>
            </w:r>
          </w:p>
          <w:p w:rsidR="00751A4A" w:rsidRPr="00A73265" w:rsidP="005F1B17" w14:paraId="4D99B931" w14:textId="77777777">
            <w:pPr>
              <w:pStyle w:val="EPTerm"/>
              <w:rPr>
                <w:rStyle w:val="HideTWBExt"/>
                <w:noProof w:val="0"/>
                <w:vanish w:val="0"/>
                <w:color w:val="auto"/>
              </w:rPr>
            </w:pPr>
            <w:r w:rsidRPr="00A73265">
              <w:t>2024</w:t>
            </w:r>
            <w:r w:rsidRPr="00A73265" w:rsidR="00817416">
              <w:t>-202</w:t>
            </w:r>
            <w:r w:rsidRPr="00A73265">
              <w:t>9</w:t>
            </w:r>
          </w:p>
        </w:tc>
        <w:tc>
          <w:tcPr>
            <w:tcW w:w="2268" w:type="dxa"/>
            <w:shd w:val="clear" w:color="auto" w:fill="auto"/>
          </w:tcPr>
          <w:p w:rsidR="00751A4A" w:rsidRPr="00A73265" w:rsidP="0010095E" w14:paraId="1D625E66" w14:textId="77777777">
            <w:pPr>
              <w:pStyle w:val="EPLogo"/>
            </w:pPr>
            <w:r w:rsidRPr="00A7326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73265" w:rsidP="004C5D52" w14:paraId="73F8B7AA" w14:textId="77777777">
      <w:pPr>
        <w:pStyle w:val="LineTop"/>
      </w:pPr>
    </w:p>
    <w:p w:rsidR="00680577" w:rsidRPr="00A73265" w:rsidP="00680577" w14:paraId="27AAE680" w14:textId="77777777">
      <w:pPr>
        <w:pStyle w:val="EPBodyTA1"/>
      </w:pPr>
      <w:r w:rsidRPr="00A73265">
        <w:t>ANTAGNA TEXTER</w:t>
      </w:r>
    </w:p>
    <w:p w:rsidR="00D058B8" w:rsidRPr="00A73265" w:rsidP="00D058B8" w14:paraId="62598C26" w14:textId="77777777">
      <w:pPr>
        <w:pStyle w:val="LineBottom"/>
      </w:pPr>
    </w:p>
    <w:p w:rsidR="008E0157" w:rsidRPr="00A73265" w:rsidP="008E0157" w14:paraId="20626ADE" w14:textId="1669A96D">
      <w:pPr>
        <w:pStyle w:val="ATHeading1"/>
      </w:pPr>
      <w:bookmarkStart w:id="0" w:name="TANumber"/>
      <w:r w:rsidRPr="00A73265">
        <w:t>P10_TA(2026)0</w:t>
      </w:r>
      <w:bookmarkEnd w:id="0"/>
      <w:r w:rsidRPr="00A73265" w:rsidR="00A73265">
        <w:t>162</w:t>
      </w:r>
    </w:p>
    <w:p w:rsidR="008E0157" w:rsidRPr="00A73265" w:rsidP="008E0157" w14:paraId="7AAA910D" w14:textId="77777777">
      <w:pPr>
        <w:pStyle w:val="ATHeading2"/>
      </w:pPr>
      <w:bookmarkStart w:id="1" w:name="title"/>
      <w:r w:rsidRPr="00A73265">
        <w:t>Stöd till den demokratiska resiliensen i Armenien</w:t>
      </w:r>
      <w:bookmarkEnd w:id="1"/>
    </w:p>
    <w:p w:rsidR="008E0157" w:rsidRPr="00A73265" w:rsidP="008E0157" w14:paraId="7C8B87B8" w14:textId="01F023AB">
      <w:pPr>
        <w:rPr>
          <w:i/>
          <w:vanish/>
        </w:rPr>
      </w:pPr>
      <w:r>
        <w:rPr>
          <w:i/>
        </w:rPr>
        <w:fldChar w:fldCharType="begin"/>
      </w:r>
      <w:r w:rsidRPr="00A73265">
        <w:rPr>
          <w:i/>
        </w:rPr>
        <w:instrText xml:space="preserve"> TC"(</w:instrText>
      </w:r>
      <w:bookmarkStart w:id="2" w:name="DocNumber"/>
      <w:r w:rsidRPr="00A73265" w:rsidR="00E24B39">
        <w:rPr>
          <w:i/>
        </w:rPr>
        <w:instrText>B10-0195, 0196, 0198, 0199 och 0200/2026</w:instrText>
      </w:r>
      <w:bookmarkEnd w:id="2"/>
      <w:r w:rsidRPr="00A73265">
        <w:rPr>
          <w:i/>
        </w:rPr>
        <w:instrText xml:space="preserve">)"\l3 \n&gt; \* MERGEFORMAT </w:instrText>
      </w:r>
      <w:r>
        <w:rPr>
          <w:i/>
        </w:rPr>
        <w:fldChar w:fldCharType="end"/>
      </w:r>
    </w:p>
    <w:p w:rsidR="008E0157" w:rsidRPr="00A73265" w:rsidP="008E0157" w14:paraId="0FE2A28C" w14:textId="77777777">
      <w:pPr>
        <w:rPr>
          <w:vanish/>
        </w:rPr>
      </w:pPr>
      <w:bookmarkStart w:id="3" w:name="PE"/>
      <w:r w:rsidRPr="00A73265">
        <w:rPr>
          <w:vanish/>
        </w:rPr>
        <w:t>PE783.229</w:t>
      </w:r>
      <w:bookmarkEnd w:id="3"/>
    </w:p>
    <w:p w:rsidR="008E0157" w:rsidRPr="00A73265" w:rsidP="008E0157" w14:paraId="04827C5A" w14:textId="7789C031">
      <w:pPr>
        <w:pStyle w:val="ATHeading3"/>
      </w:pPr>
      <w:bookmarkStart w:id="4" w:name="Sujet"/>
      <w:r w:rsidRPr="00A73265">
        <w:t xml:space="preserve">Europaparlamentets resolution av den </w:t>
      </w:r>
      <w:r w:rsidRPr="00A73265" w:rsidR="00E24B39">
        <w:t>30 april</w:t>
      </w:r>
      <w:r w:rsidRPr="00A73265">
        <w:t xml:space="preserve"> 2026 om stöd till den demokratiska resiliensen i Armenien</w:t>
      </w:r>
      <w:bookmarkEnd w:id="4"/>
      <w:r w:rsidRPr="00A73265">
        <w:t xml:space="preserve"> </w:t>
      </w:r>
      <w:bookmarkStart w:id="5" w:name="References"/>
      <w:r w:rsidRPr="00A73265">
        <w:t>(2026/2701(RSP))</w:t>
      </w:r>
      <w:bookmarkEnd w:id="5"/>
    </w:p>
    <w:p w:rsidR="00F3405E" w:rsidRPr="00A73265" w:rsidP="00F3405E" w14:paraId="1246C7B4" w14:textId="77777777">
      <w:pPr>
        <w:pStyle w:val="EPComma"/>
      </w:pPr>
      <w:r w:rsidRPr="00A73265">
        <w:rPr>
          <w:i/>
          <w:iCs/>
        </w:rPr>
        <w:t>Europaparlamentet utfärdar denna resolution</w:t>
      </w:r>
    </w:p>
    <w:p w:rsidR="00F3405E" w:rsidRPr="00A73265" w:rsidP="00F3405E" w14:paraId="4067F5FE" w14:textId="77777777">
      <w:pPr>
        <w:pStyle w:val="NormalHanging12a"/>
      </w:pPr>
      <w:r w:rsidRPr="00A73265">
        <w:rPr>
          <w:color w:val="000000"/>
        </w:rPr>
        <w:t>–</w:t>
      </w:r>
      <w:r w:rsidRPr="00A73265">
        <w:tab/>
        <w:t>med beaktande av sina tidigare resolutioner om Armenien,</w:t>
      </w:r>
    </w:p>
    <w:p w:rsidR="00F3405E" w:rsidRPr="00A73265" w:rsidP="00F3405E" w14:paraId="6F54F48D" w14:textId="77777777">
      <w:pPr>
        <w:pStyle w:val="NormalHanging12a"/>
      </w:pPr>
      <w:r w:rsidRPr="00A73265">
        <w:t>–</w:t>
      </w:r>
      <w:r w:rsidRPr="00A73265">
        <w:tab/>
        <w:t>med beaktande av det omfattande och fördjupade partnerskapsavtalet mellan Europeiska unionen, Europeiska atomenergigemenskapen och deras medlemsstater, å ena sidan, och Republiken Armenien, å andra sidan</w:t>
      </w:r>
      <w:r>
        <w:rPr>
          <w:rStyle w:val="FootnoteReference"/>
        </w:rPr>
        <w:footnoteReference w:id="2"/>
      </w:r>
      <w:r w:rsidRPr="00A73265">
        <w:t>,</w:t>
      </w:r>
    </w:p>
    <w:p w:rsidR="00F3405E" w:rsidRPr="00A73265" w:rsidP="00F3405E" w14:paraId="2936B8EA" w14:textId="77777777">
      <w:pPr>
        <w:pStyle w:val="NormalHanging12a"/>
      </w:pPr>
      <w:r w:rsidRPr="00A73265">
        <w:t>–</w:t>
      </w:r>
      <w:r w:rsidRPr="00A73265">
        <w:tab/>
        <w:t>med beaktande av den lag som Armeniens nationalförsamling antog den 26 mars 2025, genom vilken Armeniens process för anslutning till Europeiska unionen inleds,</w:t>
      </w:r>
    </w:p>
    <w:p w:rsidR="00F3405E" w:rsidRPr="00A73265" w:rsidP="00F3405E" w14:paraId="3360ADDE" w14:textId="77777777">
      <w:pPr>
        <w:pStyle w:val="NormalHanging12a"/>
      </w:pPr>
      <w:r w:rsidRPr="00A73265">
        <w:t>–</w:t>
      </w:r>
      <w:r w:rsidRPr="00A73265">
        <w:tab/>
        <w:t>med beaktande av det anförande som premiärminister Nikol Pasjinjan höll inför Europaparlamentet i Strasbourg den 11 mars 2026,</w:t>
      </w:r>
    </w:p>
    <w:p w:rsidR="00F3405E" w:rsidRPr="00A73265" w:rsidP="00F3405E" w14:paraId="1EFAF4B8" w14:textId="77777777">
      <w:pPr>
        <w:pStyle w:val="NormalHanging12a"/>
      </w:pPr>
      <w:r w:rsidRPr="00A73265">
        <w:t>–</w:t>
      </w:r>
      <w:r w:rsidRPr="00A73265">
        <w:tab/>
        <w:t>med beaktande av det gemensamma pressuttalandet av den 3 december 2025 efter det sjätte sammanträdet i partnerskapsrådet EU–Armenien,</w:t>
      </w:r>
    </w:p>
    <w:p w:rsidR="00F3405E" w:rsidRPr="00A73265" w:rsidP="00F3405E" w14:paraId="1C8AECDF" w14:textId="77777777">
      <w:pPr>
        <w:pStyle w:val="NormalHanging12a"/>
      </w:pPr>
      <w:r w:rsidRPr="00A73265">
        <w:t>–</w:t>
      </w:r>
      <w:r w:rsidRPr="00A73265">
        <w:tab/>
        <w:t>med beaktande av antagandet av den strategiska agendan för partnerskapet Armenien–EU,</w:t>
      </w:r>
    </w:p>
    <w:p w:rsidR="00F3405E" w:rsidRPr="00A73265" w:rsidP="00F3405E" w14:paraId="18ADD911" w14:textId="77777777">
      <w:pPr>
        <w:pStyle w:val="NormalHanging12a"/>
      </w:pPr>
      <w:r w:rsidRPr="00A73265">
        <w:t>–</w:t>
      </w:r>
      <w:r w:rsidRPr="00A73265">
        <w:tab/>
        <w:t>med beaktande av återhämtnings- och tillväxtplanen EU–Armenien och EU:s investeringsåtaganden inom ramen för Global Gateway,</w:t>
      </w:r>
    </w:p>
    <w:p w:rsidR="00F3405E" w:rsidRPr="00A73265" w:rsidP="00F3405E" w14:paraId="606D218A" w14:textId="77777777">
      <w:pPr>
        <w:pStyle w:val="NormalHanging12a"/>
      </w:pPr>
      <w:r w:rsidRPr="00A73265">
        <w:t>–</w:t>
      </w:r>
      <w:r w:rsidRPr="00A73265">
        <w:tab/>
        <w:t>med beaktande av slutsatserna av den politiska dialogen och säkerhetsdialogen mellan EU och Armenien, som hölls den 3 februari 2026,</w:t>
      </w:r>
    </w:p>
    <w:p w:rsidR="00F3405E" w:rsidRPr="00A73265" w:rsidP="00F3405E" w14:paraId="55AC8618" w14:textId="77777777">
      <w:pPr>
        <w:pStyle w:val="NormalHanging12a"/>
      </w:pPr>
      <w:r w:rsidRPr="00A73265">
        <w:t>–</w:t>
      </w:r>
      <w:r w:rsidRPr="00A73265">
        <w:tab/>
        <w:t>med beaktande av rådets beslut (Gusp) 2025/211 av den 30 januari 2025</w:t>
      </w:r>
      <w:r>
        <w:rPr>
          <w:rStyle w:val="FootnoteReference"/>
        </w:rPr>
        <w:footnoteReference w:id="3"/>
      </w:r>
      <w:r w:rsidRPr="00A73265">
        <w:t>, genom vilket mandatet för Europeiska unionens uppdrag i Armenien (Euma) förlängdes med två år,</w:t>
      </w:r>
    </w:p>
    <w:p w:rsidR="00F3405E" w:rsidRPr="00A73265" w:rsidP="00F3405E" w14:paraId="56A13430" w14:textId="77777777">
      <w:pPr>
        <w:pStyle w:val="NormalHanging12a"/>
      </w:pPr>
      <w:r w:rsidRPr="00A73265">
        <w:t>–</w:t>
      </w:r>
      <w:r w:rsidRPr="00A73265">
        <w:tab/>
        <w:t>med beaktande av rådets beslut (Gusp) 2026/894 av den 21 april 2026</w:t>
      </w:r>
      <w:r>
        <w:rPr>
          <w:rStyle w:val="FootnoteReference"/>
        </w:rPr>
        <w:footnoteReference w:id="4"/>
      </w:r>
      <w:r w:rsidRPr="00A73265">
        <w:t>, genom vilket EU:s partnerskapsuppdrag i Armenien (EUPM Armenien) inom ramen för den gemensamma säkerhets- och försvarspolitiken (GSFP) inrättades,</w:t>
      </w:r>
    </w:p>
    <w:p w:rsidR="00F3405E" w:rsidRPr="00A73265" w:rsidP="00F3405E" w14:paraId="015BFDBE" w14:textId="77777777">
      <w:pPr>
        <w:pStyle w:val="NormalHanging12a"/>
      </w:pPr>
      <w:r w:rsidRPr="00A73265">
        <w:t>–</w:t>
      </w:r>
      <w:r w:rsidRPr="00A73265">
        <w:tab/>
        <w:t>med beaktande av rådets beslut (Gusp) 2024/2010 av den 22 juli 2024</w:t>
      </w:r>
      <w:r>
        <w:rPr>
          <w:rStyle w:val="FootnoteReference"/>
        </w:rPr>
        <w:footnoteReference w:id="5"/>
      </w:r>
      <w:r w:rsidRPr="00A73265">
        <w:t>, genom vilket den första stödåtgärden någonsin inom ramen för den europeiska fredsfaciliteten till stöd för Armeniens försvarsmakt antogs,</w:t>
      </w:r>
    </w:p>
    <w:p w:rsidR="00F3405E" w:rsidRPr="00A73265" w:rsidP="00F3405E" w14:paraId="41220F81" w14:textId="77777777">
      <w:pPr>
        <w:pStyle w:val="NormalHanging12a"/>
      </w:pPr>
      <w:r w:rsidRPr="00A73265">
        <w:t>–</w:t>
      </w:r>
      <w:r w:rsidRPr="00A73265">
        <w:tab/>
        <w:t>med beaktande av ratificeringen av ramavtalet om deltagande i den gemensamma säkerhets- och försvarspolitiken mellan Europeiska unionen och Armenien</w:t>
      </w:r>
      <w:r>
        <w:rPr>
          <w:rStyle w:val="FootnoteReference"/>
        </w:rPr>
        <w:footnoteReference w:id="6"/>
      </w:r>
      <w:r w:rsidRPr="00A73265">
        <w:t>, vilket välkomnades i det gemensamma pressuttalandet av den 3 december 2025 efter det sjätte sammanträdet i partnerskapsrådet EU–Armenien,</w:t>
      </w:r>
    </w:p>
    <w:p w:rsidR="00F3405E" w:rsidRPr="00A73265" w:rsidP="00F3405E" w14:paraId="52B9AB85" w14:textId="77777777">
      <w:pPr>
        <w:pStyle w:val="NormalHanging12a"/>
      </w:pPr>
      <w:r w:rsidRPr="00A73265">
        <w:t>–</w:t>
      </w:r>
      <w:r w:rsidRPr="00A73265">
        <w:tab/>
        <w:t>med beaktande av fredstoppmötet i Washington av den 8 augusti 2025,</w:t>
      </w:r>
    </w:p>
    <w:p w:rsidR="00F3405E" w:rsidRPr="00A73265" w:rsidP="00F3405E" w14:paraId="37F5E296" w14:textId="77777777">
      <w:pPr>
        <w:pStyle w:val="NormalHanging12a"/>
      </w:pPr>
      <w:r w:rsidRPr="00A73265">
        <w:t>–</w:t>
      </w:r>
      <w:r w:rsidRPr="00A73265">
        <w:tab/>
        <w:t xml:space="preserve">med beaktande av rapporten om behovsbedömningsuppdraget, offentliggjord av Kontoret för demokratiska institutioner och mänskliga rättigheter (ODIHR) vid Organisationen för säkerhet och samarbete i Europa, om parlamentsvalet i Armenien den 7 juni 2026, och av Europarådets arbete med valnormer, mediefrihet och informationsintegritet, </w:t>
      </w:r>
    </w:p>
    <w:p w:rsidR="00F3405E" w:rsidRPr="00A73265" w:rsidP="00F3405E" w14:paraId="6F026317" w14:textId="77777777">
      <w:pPr>
        <w:pStyle w:val="NormalHanging12a"/>
      </w:pPr>
      <w:r w:rsidRPr="00A73265">
        <w:t>–</w:t>
      </w:r>
      <w:r w:rsidRPr="00A73265">
        <w:tab/>
        <w:t>med beaktande av sin resolution av den 15 april 2015 om hundraårsminnet av det armeniska folkmordet</w:t>
      </w:r>
      <w:r>
        <w:rPr>
          <w:rStyle w:val="FootnoteReference"/>
        </w:rPr>
        <w:footnoteReference w:id="7"/>
      </w:r>
      <w:r w:rsidRPr="00A73265">
        <w:t>,</w:t>
      </w:r>
    </w:p>
    <w:p w:rsidR="00F3405E" w:rsidRPr="00A73265" w:rsidP="00F3405E" w14:paraId="49A057F3" w14:textId="77777777">
      <w:pPr>
        <w:pStyle w:val="NormalHanging12a"/>
      </w:pPr>
      <w:r w:rsidRPr="00A73265">
        <w:t>–</w:t>
      </w:r>
      <w:r w:rsidRPr="00A73265">
        <w:tab/>
        <w:t>med beaktande av artikel 136.2 och 136.4 i arbetsordningen, och av följande skäl:</w:t>
      </w:r>
    </w:p>
    <w:p w:rsidR="00F3405E" w:rsidRPr="00A73265" w:rsidP="00F3405E" w14:paraId="275AE304" w14:textId="77777777">
      <w:pPr>
        <w:pStyle w:val="NormalHanging12a"/>
      </w:pPr>
      <w:r w:rsidRPr="00A73265">
        <w:t>A.</w:t>
      </w:r>
      <w:r w:rsidRPr="00A73265">
        <w:tab/>
        <w:t>Förbindelserna mellan EU och Armenien har gått in i en ny fas, som kännetecknas av ett större politiskt engagemang och utökade säkerhetsförbindelser. Dessa förbindelser bygger på gemensamma värden, bland annat demokrati och rättsstatsprinciperna samt respekt för de mänskliga rättigheterna och de grundläggande friheterna. Partnerskapsrådet EU-Armenien har antagit en ny strategisk agenda, som ett viktigt steg för att stärka de bilaterala banden, och denna spänner över demokrati, reform av rättsväsendet, mänskliga rättigheter och ett stort antal ytterligare områden på grundval av det omfattande och fördjupade partnerskapsavtalet. EU har bekräftat sitt orubbliga stöd för Armeniens reformagenda och landets insatser för att motverka hybridhot samt för de framsteg som gjorts i dialogen om viseringsliberalisering och EU:s återhämtnings- och tillväxtplan på 270 miljoner euro för Armenien. Armenien har genomfört betydande reformer under de senaste åren. Ytterligare förbättringar är fortfarande nödvändiga.</w:t>
      </w:r>
    </w:p>
    <w:p w:rsidR="00F3405E" w:rsidRPr="00A73265" w:rsidP="00F3405E" w14:paraId="64C3CCD8" w14:textId="77777777">
      <w:pPr>
        <w:pStyle w:val="NormalHanging12a"/>
      </w:pPr>
      <w:r w:rsidRPr="00A73265">
        <w:t>B.</w:t>
      </w:r>
      <w:r w:rsidRPr="00A73265">
        <w:tab/>
        <w:t>Den 26 mars 2025 antog Armeniens parlament lagen om inledande av Armeniens process för anslutning till EU och gav därmed uttryck för landets ambition att bli medlem i EU.</w:t>
      </w:r>
    </w:p>
    <w:p w:rsidR="00F3405E" w:rsidRPr="00A73265" w:rsidP="00F3405E" w14:paraId="469663BE" w14:textId="77777777">
      <w:pPr>
        <w:pStyle w:val="NormalHanging12a"/>
      </w:pPr>
      <w:r w:rsidRPr="00A73265">
        <w:t>C.</w:t>
      </w:r>
      <w:r w:rsidRPr="00A73265">
        <w:tab/>
        <w:t>Den nya strategiska agenda som antogs i december 2025, som bygger på ett fullständigt genomförande av det omfattande och fördjupade partnerskapsavtalet, täcker ett stort antal områden, bland annat demokrati och rättsstatsprinciperna, reform av rättsväsendet och mänskliga rättigheter. Valet av dessa områden visar på Armeniens eget suveräna val att förplikta sig till demokratiska normer och rättsstatsprinciperna, i överensstämmelse med EU:s normer och värden.</w:t>
      </w:r>
    </w:p>
    <w:p w:rsidR="00F3405E" w:rsidRPr="00A73265" w:rsidP="00F3405E" w14:paraId="127D51BC" w14:textId="77777777">
      <w:pPr>
        <w:pStyle w:val="NormalHanging12a"/>
      </w:pPr>
      <w:r w:rsidRPr="00A73265">
        <w:t>D.</w:t>
      </w:r>
      <w:r w:rsidRPr="00A73265">
        <w:tab/>
        <w:t>Europeiska politiska gemenskapens åttonde toppmöte och det första toppmötet någonsin mellan EU och Armenien kommer att äga rum den 4 respektive den 5 maj 2026 i Jerevan, vilket är ett historiskt uttryck för den europeiska solidariteten med Armenien. Toppmötet mellan EU och Armenien, som sammanför Europeiska rådets ordförande, kommissionens ordförande och vice ordföranden för kommissionen/unionens höga representant för utrikes frågor och säkerhetspolitik, förväntas leverera konkreta resultat för de bilaterala förbindelserna, med särskilt fokus på konnektivitet inom energi, transport och digital infrastruktur samt fred, säkerhet och välstånd i Sydkaukasien.</w:t>
      </w:r>
    </w:p>
    <w:p w:rsidR="00F3405E" w:rsidRPr="00A73265" w:rsidP="00F3405E" w14:paraId="6CB54760" w14:textId="77777777">
      <w:pPr>
        <w:pStyle w:val="NormalHanging12a"/>
      </w:pPr>
      <w:r w:rsidRPr="00A73265">
        <w:t>E.</w:t>
      </w:r>
      <w:r w:rsidRPr="00A73265">
        <w:tab/>
        <w:t>Den 21 april 2026 inrättade rådet EUPM Armenien inom ramen för den gemensamma säkerhets- och försvarspolitiken som ett ytterligare bidrag till att stärka Armeniens demokratiska resiliens och förmåga att hantera kriser. Uppdraget kommer att stödja Armenien i hanteringen av hot på flera olika nivåer, såsom utländsk informationsmanipulering och inblandning, cyberattacker och olagliga finansiella flöden. Inrättandet av detta uppdrag bekräftar att demokratisk säkerhet nu är en hörnsten i partnerskapet mellan EU och Armenien. EUPM Armenien ska tillhandahålla strategisk rådgivning och kapacitetsuppbyggnad till Armeniens institutioner för att hjälpa dem att reagera på denna typ av hot.</w:t>
      </w:r>
    </w:p>
    <w:p w:rsidR="00F3405E" w:rsidRPr="00A73265" w:rsidP="00F3405E" w14:paraId="018022EB" w14:textId="77777777">
      <w:pPr>
        <w:pStyle w:val="NormalHanging12a"/>
        <w:rPr>
          <w:bCs/>
        </w:rPr>
      </w:pPr>
      <w:r w:rsidRPr="00A73265">
        <w:t>F.</w:t>
      </w:r>
      <w:r w:rsidRPr="00A73265">
        <w:tab/>
        <w:t>Den 7 juni 2026 kommer Armenien att hålla parlamentsval, vilket är av strategisk vikt inte bara för den inhemska demokratiska konsolideringen, utan också för hållbarheten i freden, reformerna och det närmare samarbetet med EU. Valets integritet är beroende av att det finns förutsättningar för fria, rättvisa och konkurrensutsatta val, starka institutioner, oberoende medier och kraftfulla skyddsåtgärder mot desinformation, olaglig finansiering, röstköp och andra former av illasinnad inblandning. ODIHR har konstaterat att det finns farhågor när det gäller beredskap inom valnämnderna, cybersäkerhet, tidiga kampanjer, missbruk av administrativa resurser, insyn i kampanjfinansiering och polarisering av medier. Utländsk inblandning – i synnerhet Rysslands systematiska hybridoperationer utförda med hjälp av proxyaktörer, såsom desinformationskampanjer, cyberoperationer, ekonomiska påtryckningar och mobilisering av lokala proxyaktörer – har i allt högre grad kommit att ske genom inhemska ”förstärkare”, däribland religiösa aktörer och oligarkiska nätverk, vilket återspeglar mönster som observerats i de nyligen hållna valen i Moldavien och Georgien.</w:t>
      </w:r>
    </w:p>
    <w:p w:rsidR="00F3405E" w:rsidRPr="00A73265" w:rsidP="00F3405E" w14:paraId="2BC83A5C" w14:textId="77777777">
      <w:pPr>
        <w:pStyle w:val="NormalHanging12a"/>
        <w:rPr>
          <w:bCs/>
        </w:rPr>
      </w:pPr>
      <w:r w:rsidRPr="00A73265">
        <w:t>G.</w:t>
      </w:r>
      <w:r w:rsidRPr="00A73265">
        <w:tab/>
        <w:t>Vid mötet den 1 april 2026 utövade Vladimir Putin påtryckningar på Armeniens premiärminister Nikol Pasjinjan för att den frihetsberövade rysk-armeniska miljardären Samvel Karapetian skulle få ställa upp i det kommande valet i Armenien.</w:t>
      </w:r>
    </w:p>
    <w:p w:rsidR="00F3405E" w:rsidRPr="00A73265" w:rsidP="00F3405E" w14:paraId="3B739C9C" w14:textId="77777777">
      <w:pPr>
        <w:pStyle w:val="NormalHanging12a"/>
        <w:rPr>
          <w:bCs/>
        </w:rPr>
      </w:pPr>
      <w:r w:rsidRPr="00A73265">
        <w:t>H.</w:t>
      </w:r>
      <w:r w:rsidRPr="00A73265">
        <w:tab/>
        <w:t xml:space="preserve">Euma fortsätter att spela en avgörande roll när det gäller att bidra till stabilitet, förtroendeskapande och människors säkerhet i konfliktdrabbade områden. Den 30 januari 2025 förlängde rådet Eumas mandat med två år. Euma spelar en viktig stabiliserande roll längs gränsen mellan Armenien och Azerbajdzjan, och bidrar även till att observera situationen på plats och rapportera om den samt till att stödja </w:t>
      </w:r>
      <w:r w:rsidRPr="00A73265">
        <w:t>förtroendeskapande åtgärder mellan Armenien och Azerbajdzjan.</w:t>
      </w:r>
    </w:p>
    <w:p w:rsidR="00F3405E" w:rsidRPr="00A73265" w:rsidP="00F3405E" w14:paraId="5D4BF30F" w14:textId="77777777">
      <w:pPr>
        <w:pStyle w:val="NormalHanging12a"/>
      </w:pPr>
      <w:r w:rsidRPr="00A73265">
        <w:t>I.</w:t>
      </w:r>
      <w:r w:rsidRPr="00A73265">
        <w:tab/>
        <w:t>Fredsprocessen mellan Armenien och Azerbajdzjan har tagit betydande fart, då det finns planer på multimodala transitförbindelser genom armeniskt territorium som ska förbinda huvuddelen av Azerbajdzjan med den autonoma republiken Nachitjevan, samtidigt som Armeniens suveränitet, territoriella integritet och jurisdiktion respekteras fullt ut, och utgör ett viktigt instrument för att minska Armeniens ekonomiska beroende av Ryssland. EU stöder till fullo denna process genom konnektivitetspartnerskapet mellan EU och Armenien och initiativet Crossroads of Peace.</w:t>
      </w:r>
    </w:p>
    <w:p w:rsidR="00F3405E" w:rsidRPr="00A73265" w:rsidP="00F3405E" w14:paraId="45B87BA3" w14:textId="77777777">
      <w:pPr>
        <w:pStyle w:val="NormalHanging12a"/>
        <w:widowControl/>
      </w:pPr>
      <w:r w:rsidRPr="00A73265">
        <w:t>1.</w:t>
      </w:r>
      <w:r w:rsidRPr="00A73265">
        <w:tab/>
        <w:t>Europaparlamentet bekräftar sitt starka förtroende för de armeniska myndigheternas åtagande att förrätta fria, rättvisa och insynsvänliga val och uttrycker sitt stöd för myndigheternas insatser för att skydda de demokratiska institutionerna mot utländsk påverkan.</w:t>
      </w:r>
    </w:p>
    <w:p w:rsidR="00F3405E" w:rsidRPr="00A73265" w:rsidP="00F3405E" w14:paraId="516BF95A" w14:textId="77777777">
      <w:pPr>
        <w:pStyle w:val="NormalHanging12a"/>
      </w:pPr>
      <w:r w:rsidRPr="00A73265">
        <w:t>2.</w:t>
      </w:r>
      <w:r w:rsidRPr="00A73265">
        <w:tab/>
        <w:t>Europaparlamentet uttrycker sitt fulla stöd för fria, rättvisa, konkurrensutsatta och fredliga parlamentsval i Armenien i juni 2026, vars utgång det armeniska folket själv måste avgöra. Parlamentet understryker vikten av valadministrationens oberoende, lika kampanjvillkor för alla kandidater, mediepluralism och full respekt för de grundläggande friheterna under hela valcykeln. Parlamentet efterlyser kraftfulla skyddsåtgärder mot desinformation, olaglig finansiering, röstköp och tvång, och ett förstärkt skydd av valinfrastruktur, insyn i kampanjfinansiering och stöd till initiativ för faktagranskning och för det civila samhället, inbegripet genom informationsutbyte och mekanismer för tidig varning. Parlamentet efterlyser robusta internationella och nationella valobservatörsuppdrag, bland annat från ODIHR:s sida, och ett fullständigt samarbete med sådana uppdrag.</w:t>
      </w:r>
    </w:p>
    <w:p w:rsidR="00F3405E" w:rsidRPr="00A73265" w:rsidP="00F3405E" w14:paraId="3649C311" w14:textId="77777777">
      <w:pPr>
        <w:pStyle w:val="NormalHanging12a"/>
      </w:pPr>
      <w:r w:rsidRPr="00A73265">
        <w:t>3.</w:t>
      </w:r>
      <w:r w:rsidRPr="00A73265">
        <w:tab/>
        <w:t>Europaparlamentet fördömer skarpt utländsk informationsmanipulering och inblandning, desinformationskampanjer och andra hybridhot riktade mot Armenien, särskilt sådana som härrör från Ryssland och dess proxyaktörer, bland annat i form av cyberattacker, olaglig politisk finansiering och användning av inhemska aktörer, inbegripet oligarkiska nätverk, för att förstärka dessa hot. Parlamentet betonar att dessa hot är av strukturell och långsiktig art och att det krävs ihållande insatser för att stärka den demokratiska resiliensen bortom valcykeln. Parlamentet välkomnar i detta avseende inrättandet av EUPM Armenien och efterlyser ökat EU-stöd genom strategisk kommunikation, mediekompetens, kapacitetsuppbyggnad på cybersäkerhetsområdet och strukturerat samarbete med onlineplattformar. Parlamentet uppmanar de armeniska myndigheterna att garantera full respekt för oppositionens rättigheter, rättsväsendets oberoende och yttrandefriheten.</w:t>
      </w:r>
    </w:p>
    <w:p w:rsidR="00F3405E" w:rsidRPr="00A73265" w:rsidP="00F3405E" w14:paraId="46CD470E" w14:textId="77777777">
      <w:pPr>
        <w:pStyle w:val="NormalHanging12a"/>
      </w:pPr>
      <w:r w:rsidRPr="00A73265">
        <w:t>4.</w:t>
      </w:r>
      <w:r w:rsidRPr="00A73265">
        <w:tab/>
        <w:t>Europaparlamentet noterar de särskilda utmaningarna kopplade till förekomsten av en rysk befolkning av betydande storlek i Armenien, bland annat personer med dubbelt medborgarskap, och betonar behovet av vaksamhet mot alla försök att utnyttja denna situation för att påverka valet.</w:t>
      </w:r>
    </w:p>
    <w:p w:rsidR="00F3405E" w:rsidRPr="00A73265" w:rsidP="00F3405E" w14:paraId="4C2BC2CB" w14:textId="77777777">
      <w:pPr>
        <w:pStyle w:val="NormalHanging12a"/>
      </w:pPr>
      <w:r w:rsidRPr="00A73265">
        <w:t>5.</w:t>
      </w:r>
      <w:r w:rsidRPr="00A73265">
        <w:tab/>
        <w:t>Europaparlamentet välkomnar förstärkningen av förbindelserna mellan EU och Armenien och Armeniens fortsatta engagemang för demokrati, rättsstatsprinciperna, mänskliga rättigheter och ambitiösa politiska och ekonomiska reformer.</w:t>
      </w:r>
    </w:p>
    <w:p w:rsidR="00F3405E" w:rsidRPr="00A73265" w:rsidP="00F3405E" w14:paraId="45DCD65D" w14:textId="77777777">
      <w:pPr>
        <w:pStyle w:val="NormalHanging12a"/>
      </w:pPr>
      <w:r w:rsidRPr="00A73265">
        <w:t>6.</w:t>
      </w:r>
      <w:r w:rsidRPr="00A73265">
        <w:tab/>
        <w:t xml:space="preserve">Europaparlamentet välkomnar antagandet av den nya strategiska agendan för partnerskapet mellan EU och Armenien, de framsteg som gjorts i genomförandet av det </w:t>
      </w:r>
      <w:r w:rsidRPr="00A73265">
        <w:t>omfattande och fördjupade partnerskapsavtalet, framstegen i dialogen om viseringsliberalisering och det fortsatta genomförandet av återhämtnings- och tillväxtplanen. Parlamentet välkomnar i detta avseende Armeniens lagstiftningsmässiga och politiska insatser för att fördjupa förbindelserna med EU.</w:t>
      </w:r>
    </w:p>
    <w:p w:rsidR="00F3405E" w:rsidRPr="00A73265" w:rsidP="00F3405E" w14:paraId="441887D9" w14:textId="77777777">
      <w:pPr>
        <w:pStyle w:val="NormalHanging12a"/>
      </w:pPr>
      <w:r w:rsidRPr="00A73265">
        <w:t>7.</w:t>
      </w:r>
      <w:r w:rsidRPr="00A73265">
        <w:tab/>
        <w:t>Europaparlamentet välkomnar anordnandet av Europeiska politiska gemenskapens åttonde toppmöte och det första toppmötet någonsin mellan EU och Armenien i Jerevan den 4 och den 5 maj 2026 som en exceptionell och historisk milstolpe. Parlamentet anser att anordnandet av de på varandra följande toppmötena i Jerevan sänder en otvetydig politisk signal om alleuropeisk solidaritet med Armenien och om EU:s åtagande att stödja Armeniens agenda för fred, reformer och resiliens. Parlamentet uppmanar EU:s och Armeniens ledare att ta tillfället i akt att ta fram ambitiösa och konkreta mål.</w:t>
      </w:r>
    </w:p>
    <w:p w:rsidR="00F3405E" w:rsidRPr="00A73265" w:rsidP="00F3405E" w14:paraId="7C207668" w14:textId="77777777">
      <w:pPr>
        <w:pStyle w:val="NormalHanging12a"/>
      </w:pPr>
      <w:r w:rsidRPr="00A73265">
        <w:t>8.</w:t>
      </w:r>
      <w:r w:rsidRPr="00A73265">
        <w:tab/>
        <w:t>Europaparlamentet välkomnar antagandet av lagstiftning som uttrycker landets ambition att bli medlem i EU och uppmanar EU-institutionerna och de armeniska myndigheterna att stödja detta politiska val med praktiska åtgärder som bygger på demokrati, rättsstatsprinciperna och de grundläggande rättigheterna.</w:t>
      </w:r>
    </w:p>
    <w:p w:rsidR="00F3405E" w:rsidRPr="00A73265" w:rsidP="00F3405E" w14:paraId="046B672D" w14:textId="77777777">
      <w:pPr>
        <w:pStyle w:val="NormalHanging12a"/>
        <w:rPr>
          <w:bCs/>
        </w:rPr>
      </w:pPr>
      <w:r w:rsidRPr="00A73265">
        <w:t>9.</w:t>
      </w:r>
      <w:r w:rsidRPr="00A73265">
        <w:tab/>
        <w:t>Europaparlamentet uppmanar kommissionen, Europeiska utrikestjänsten och medlemsstaterna att fördjupa samarbetet med Armenien om demokratisk samhällsstyrning, rättsstatsprinciperna, reform av rättsväsendet, korruptionsbekämpning, cybersäkerhet och motståndskraft mot hybridhot, och att öka det tillgängliga stödet till oberoende medier, det civila samhället, lokala institutioner och reforminriktad offentlig förvaltning. Parlamentet efterfrågar att man stöder dessa insatser i nära samordning med internationella partner.</w:t>
      </w:r>
    </w:p>
    <w:p w:rsidR="00F3405E" w:rsidRPr="00A73265" w:rsidP="00F3405E" w14:paraId="2761D256" w14:textId="77777777">
      <w:pPr>
        <w:pStyle w:val="NormalHanging12a"/>
        <w:rPr>
          <w:bCs/>
        </w:rPr>
      </w:pPr>
      <w:r w:rsidRPr="00A73265">
        <w:t>10.</w:t>
      </w:r>
      <w:r w:rsidRPr="00A73265">
        <w:tab/>
        <w:t>Europaparlamentet stöder helhjärtat Armeniens fortsatta insatser för fred, försoning och en fullständig normalisering av förbindelserna med Azerbajdzjan. Parlamentet välkomnar de framsteg som gjorts i fredsprocessen och uppmanar båda sidor att ta steg i riktning mot ett heltäckande, rättsligt bindande fredsavtal. Parlamentet betonar att en hållbar fred måste bygga på respekt för suveräniteten, den territoriella integriteten och gränsernas okränkbarhet.</w:t>
      </w:r>
    </w:p>
    <w:p w:rsidR="00F3405E" w:rsidRPr="00A73265" w:rsidP="00F3405E" w14:paraId="6ECEEE6D" w14:textId="77777777">
      <w:pPr>
        <w:pStyle w:val="NormalHanging12a"/>
      </w:pPr>
      <w:r w:rsidRPr="00A73265">
        <w:t>11.</w:t>
      </w:r>
      <w:r w:rsidRPr="00A73265">
        <w:tab/>
        <w:t>Europaparlamentet uppmuntrar till ökat informationsutbyte och samarbete med Republiken Moldavien, med stöd av EU, mot bakgrund av ländernas jämförbara erfarenheter av valpåverkan.</w:t>
      </w:r>
    </w:p>
    <w:p w:rsidR="00F3405E" w:rsidRPr="00A73265" w:rsidP="00F3405E" w14:paraId="139DCCDA" w14:textId="77777777">
      <w:pPr>
        <w:pStyle w:val="NormalHanging12a"/>
      </w:pPr>
      <w:r w:rsidRPr="00A73265">
        <w:t>12.</w:t>
      </w:r>
      <w:r w:rsidRPr="00A73265">
        <w:tab/>
        <w:t>Europaparlamentet upprepar sitt stöd för Nagorno-Karabach-armeniernas rättigheter, inbegripet skyddet av deras identitet, egendom och kulturarv, och deras rätt till ett säkert, obehindrat och värdigt återvändande under skydd av lämpliga internationella garantier. Parlamentet begär att de som är ansvariga för förstörelsen av det armeniska kulturella och religiösa arvet ska ställas till svars, och efterfrågar ett internationellt bedömningsuppdrag.</w:t>
      </w:r>
    </w:p>
    <w:p w:rsidR="00F3405E" w:rsidRPr="00A73265" w:rsidP="00F3405E" w14:paraId="27C88769" w14:textId="77777777">
      <w:pPr>
        <w:pStyle w:val="NormalHanging12a"/>
        <w:rPr>
          <w:bCs/>
        </w:rPr>
      </w:pPr>
      <w:r w:rsidRPr="00A73265">
        <w:t>13.</w:t>
      </w:r>
      <w:r w:rsidRPr="00A73265">
        <w:tab/>
        <w:t>Europaparlamentet fördömer Azerbajdzjans orättvisa frihetsberövande av armeniska krigsfångar, frihetsberövade personer och gisslan. Parlamentet kräver att de omedelbart och villkorslöst friges. Parlamentet noterar de åtgärder som hittills vidtagits och efterlyser ytterligare förtroendeskapande åtgärder. Parlamentet efterlyser full respekt för internationell humanitär rätt och människorättslagstiftning.</w:t>
      </w:r>
    </w:p>
    <w:p w:rsidR="00F3405E" w:rsidRPr="00A73265" w:rsidP="00F3405E" w14:paraId="52FF942C" w14:textId="77777777">
      <w:pPr>
        <w:pStyle w:val="NormalHanging12a"/>
      </w:pPr>
      <w:r w:rsidRPr="00A73265">
        <w:t>14.</w:t>
      </w:r>
      <w:r w:rsidRPr="00A73265">
        <w:tab/>
        <w:t>Europaparlamentet uppmanar EU att öka det ekonomiska och tekniska stödet till Armenien, bland annat genom återhämtnings- och tillväxtplanen, och att då fokusera på att stärka institutionernas resiliens, energitryggheten, den digitala styrningen och den ekonomiska diversifieringen samt minska de strukturella beroendena inom kritiska sektorer såsom energi, transport och infrastruktur. Parlamentet uppmuntrar Armeniens regering att följa upp reformerna.</w:t>
      </w:r>
    </w:p>
    <w:p w:rsidR="00F3405E" w:rsidRPr="00A73265" w:rsidP="00F3405E" w14:paraId="31E42B56" w14:textId="77777777">
      <w:pPr>
        <w:pStyle w:val="NormalHanging12a"/>
      </w:pPr>
      <w:r w:rsidRPr="00A73265">
        <w:t>15.</w:t>
      </w:r>
      <w:r w:rsidRPr="00A73265">
        <w:tab/>
        <w:t>Europaparlamentet välkomnar antagandet av Eumas strategi för det civila samhället. Parlamentet ser detta som ett viktigt steg när det gäller att bredda uppdragets samarbete med det armeniska civila samhället utöver det centrala mandatet att sörja för säkerhetsövervakning, och uppmuntrar Euma att stärka sina kontakter med lokala demokratiska aktörer, samhällsorganisationer och oberoende medier som en del av sitt bidrag till den demokratiska resiliensen. Parlamentet lovordar det armeniska civila samhällets arbete med att utreda utländska påverkanskampanjer, cyberattacker och desinformation på nätet.</w:t>
      </w:r>
    </w:p>
    <w:p w:rsidR="00F3405E" w:rsidRPr="00A73265" w:rsidP="00F3405E" w14:paraId="195F436F" w14:textId="77777777">
      <w:pPr>
        <w:pStyle w:val="NormalHanging12a"/>
        <w:rPr>
          <w:bCs/>
        </w:rPr>
      </w:pPr>
      <w:r w:rsidRPr="00A73265">
        <w:t>16.</w:t>
      </w:r>
      <w:r w:rsidRPr="00A73265">
        <w:tab/>
        <w:t>Europaparlamentet välkomnar de fortsatta ansträngningarna att normalisera förbindelserna mellan Armenien och Turkiet, som är ett viktigt bidrag till regional stabilitet, försoning och konnektivitet. Parlamentet uppmanar båda parter att fortsätta att i god tro engagera sig för ytterligare förtroendeskapande åtgärder, inbegripet ett återöppnande av gränserna, som ett viktigt bidrag till regional stabilitet, försoning och konnektivitet.</w:t>
      </w:r>
    </w:p>
    <w:p w:rsidR="00E365E1" w:rsidRPr="00A73265" w:rsidP="00A73265" w14:paraId="3E6CF4D6" w14:textId="7280FC41">
      <w:pPr>
        <w:pStyle w:val="NormalHanging12a"/>
      </w:pPr>
      <w:r w:rsidRPr="00A73265">
        <w:t>17.</w:t>
      </w:r>
      <w:r w:rsidRPr="00A73265">
        <w:tab/>
        <w:t>Europaparlamentet uppdrar åt talmannen att översända denna resolution till rådet, kommissionen, vice ordföranden för kommissionen/unionens höga representant för utrikes frågor och säkerhetspolitik, medlemsstaternas regeringar och parlament, Republiken Armeniens president, regering och parlament, Organisationen för säkerhet och samarbete i Europa, Europarådet och Förenta nationerna</w:t>
      </w:r>
      <w:r w:rsidRPr="00A73265" w:rsidR="00A73265">
        <w:t>.</w:t>
      </w:r>
    </w:p>
    <w:sectPr w:rsidSect="00433A4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3A41" w14:paraId="6738614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3A41" w14:paraId="78A3EFF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3A41" w14:paraId="0E4B24C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E0157" w:rsidRPr="00433A41" w14:paraId="7483C93F" w14:textId="77777777">
      <w:r w:rsidRPr="00433A41">
        <w:separator/>
      </w:r>
    </w:p>
  </w:footnote>
  <w:footnote w:type="continuationSeparator" w:id="1">
    <w:p w:rsidR="008E0157" w:rsidRPr="00433A41" w14:paraId="035FB32D" w14:textId="77777777">
      <w:r w:rsidRPr="00433A41">
        <w:continuationSeparator/>
      </w:r>
    </w:p>
  </w:footnote>
  <w:footnote w:id="2">
    <w:p w:rsidR="00F3405E" w:rsidRPr="00F7788E" w:rsidP="00433A41" w14:paraId="35A62672" w14:textId="751D225A">
      <w:pPr>
        <w:pStyle w:val="FootnoteText"/>
        <w:ind w:left="567" w:hanging="567"/>
        <w:rPr>
          <w:sz w:val="24"/>
          <w:lang w:val="fi-FI"/>
        </w:rPr>
      </w:pPr>
      <w:r w:rsidRPr="00433A41">
        <w:rPr>
          <w:rStyle w:val="FootnoteReference"/>
          <w:sz w:val="24"/>
          <w:lang w:val="sv-SE"/>
        </w:rPr>
        <w:footnoteRef/>
      </w:r>
      <w:r w:rsidRPr="00F7788E" w:rsidR="00433A41">
        <w:rPr>
          <w:sz w:val="24"/>
          <w:lang w:val="fi-FI"/>
        </w:rPr>
        <w:t xml:space="preserve"> </w:t>
      </w:r>
      <w:r w:rsidRPr="00F7788E" w:rsidR="00433A41">
        <w:rPr>
          <w:sz w:val="24"/>
          <w:lang w:val="fi-FI"/>
        </w:rPr>
        <w:tab/>
      </w:r>
      <w:r w:rsidRPr="00F7788E" w:rsidR="00275A91">
        <w:rPr>
          <w:sz w:val="24"/>
          <w:lang w:val="fi-FI"/>
        </w:rPr>
        <w:t>EUT</w:t>
      </w:r>
      <w:r w:rsidRPr="00F7788E">
        <w:rPr>
          <w:sz w:val="24"/>
          <w:lang w:val="fi-FI"/>
        </w:rPr>
        <w:t xml:space="preserve"> L 23, 26</w:t>
      </w:r>
      <w:r w:rsidR="00F7788E">
        <w:rPr>
          <w:sz w:val="24"/>
          <w:lang w:val="fi-FI"/>
        </w:rPr>
        <w:t>.</w:t>
      </w:r>
      <w:r w:rsidRPr="00F7788E">
        <w:rPr>
          <w:sz w:val="24"/>
          <w:lang w:val="fi-FI"/>
        </w:rPr>
        <w:t>1</w:t>
      </w:r>
      <w:r w:rsidR="00F7788E">
        <w:rPr>
          <w:sz w:val="24"/>
          <w:lang w:val="fi-FI"/>
        </w:rPr>
        <w:t>.</w:t>
      </w:r>
      <w:r w:rsidRPr="00F7788E">
        <w:rPr>
          <w:sz w:val="24"/>
          <w:lang w:val="fi-FI"/>
        </w:rPr>
        <w:t xml:space="preserve">2018, </w:t>
      </w:r>
      <w:r w:rsidR="00F7788E">
        <w:rPr>
          <w:sz w:val="24"/>
          <w:lang w:val="fi-FI"/>
        </w:rPr>
        <w:t>s</w:t>
      </w:r>
      <w:r w:rsidRPr="00F7788E">
        <w:rPr>
          <w:sz w:val="24"/>
          <w:lang w:val="fi-FI"/>
        </w:rPr>
        <w:t xml:space="preserve">. 4, ELI: </w:t>
      </w:r>
      <w:hyperlink r:id="rId1" w:history="1">
        <w:r w:rsidRPr="00F7788E">
          <w:rPr>
            <w:rStyle w:val="Hyperlink"/>
            <w:sz w:val="24"/>
            <w:lang w:val="fi-FI"/>
          </w:rPr>
          <w:t>http://data.europa.eu/eli/agree_internation/2018/104/oj</w:t>
        </w:r>
      </w:hyperlink>
      <w:r w:rsidRPr="00F7788E">
        <w:rPr>
          <w:sz w:val="24"/>
          <w:lang w:val="fi-FI"/>
        </w:rPr>
        <w:t>.</w:t>
      </w:r>
    </w:p>
  </w:footnote>
  <w:footnote w:id="3">
    <w:p w:rsidR="00F3405E" w:rsidRPr="00F7788E" w:rsidP="00433A41" w14:paraId="421DA461" w14:textId="0C3DA537">
      <w:pPr>
        <w:pStyle w:val="FootnoteText"/>
        <w:ind w:left="567" w:hanging="567"/>
        <w:rPr>
          <w:sz w:val="24"/>
          <w:lang w:val="fi-FI"/>
        </w:rPr>
      </w:pPr>
      <w:r w:rsidRPr="00433A41">
        <w:rPr>
          <w:rStyle w:val="FootnoteReference"/>
          <w:sz w:val="24"/>
          <w:lang w:val="sv-SE"/>
        </w:rPr>
        <w:footnoteRef/>
      </w:r>
      <w:r w:rsidRPr="00F7788E" w:rsidR="00433A41">
        <w:rPr>
          <w:sz w:val="24"/>
          <w:lang w:val="fi-FI"/>
        </w:rPr>
        <w:t xml:space="preserve"> </w:t>
      </w:r>
      <w:r w:rsidRPr="00F7788E" w:rsidR="00433A41">
        <w:rPr>
          <w:sz w:val="24"/>
          <w:lang w:val="fi-FI"/>
        </w:rPr>
        <w:tab/>
      </w:r>
      <w:r w:rsidRPr="00F7788E" w:rsidR="00275A91">
        <w:rPr>
          <w:sz w:val="24"/>
          <w:lang w:val="fi-FI"/>
        </w:rPr>
        <w:t>EUT</w:t>
      </w:r>
      <w:r w:rsidRPr="00F7788E">
        <w:rPr>
          <w:sz w:val="24"/>
          <w:lang w:val="fi-FI"/>
        </w:rPr>
        <w:t xml:space="preserve"> L, 2025/211, 31.1.2025, ELI: </w:t>
      </w:r>
      <w:hyperlink r:id="rId2" w:history="1">
        <w:r w:rsidRPr="00F7788E">
          <w:rPr>
            <w:rStyle w:val="Hyperlink"/>
            <w:sz w:val="24"/>
            <w:lang w:val="fi-FI"/>
          </w:rPr>
          <w:t>http://data.europa.eu/eli/dec/2025/211/oj</w:t>
        </w:r>
      </w:hyperlink>
      <w:r w:rsidRPr="00F7788E">
        <w:rPr>
          <w:sz w:val="24"/>
          <w:lang w:val="fi-FI"/>
        </w:rPr>
        <w:t>.</w:t>
      </w:r>
    </w:p>
  </w:footnote>
  <w:footnote w:id="4">
    <w:p w:rsidR="00F3405E" w:rsidRPr="00F7788E" w:rsidP="00433A41" w14:paraId="0637E33A" w14:textId="18721EE8">
      <w:pPr>
        <w:pStyle w:val="FootnoteText"/>
        <w:ind w:left="567" w:hanging="567"/>
        <w:rPr>
          <w:sz w:val="24"/>
          <w:lang w:val="fi-FI"/>
        </w:rPr>
      </w:pPr>
      <w:r w:rsidRPr="00433A41">
        <w:rPr>
          <w:rStyle w:val="FootnoteReference"/>
          <w:sz w:val="24"/>
          <w:lang w:val="sv-SE"/>
        </w:rPr>
        <w:footnoteRef/>
      </w:r>
      <w:r w:rsidRPr="00F7788E" w:rsidR="00433A41">
        <w:rPr>
          <w:sz w:val="24"/>
          <w:lang w:val="fi-FI"/>
        </w:rPr>
        <w:t xml:space="preserve"> </w:t>
      </w:r>
      <w:r w:rsidRPr="00F7788E" w:rsidR="00433A41">
        <w:rPr>
          <w:sz w:val="24"/>
          <w:lang w:val="fi-FI"/>
        </w:rPr>
        <w:tab/>
      </w:r>
      <w:r w:rsidRPr="00F7788E" w:rsidR="00275A91">
        <w:rPr>
          <w:sz w:val="24"/>
          <w:lang w:val="fi-FI"/>
        </w:rPr>
        <w:t>EUT</w:t>
      </w:r>
      <w:r w:rsidRPr="00F7788E">
        <w:rPr>
          <w:sz w:val="24"/>
          <w:lang w:val="fi-FI"/>
        </w:rPr>
        <w:t xml:space="preserve"> L, 2026/894, 22.4.2026, ELI: </w:t>
      </w:r>
      <w:hyperlink r:id="rId3" w:history="1">
        <w:r w:rsidRPr="00F7788E">
          <w:rPr>
            <w:rStyle w:val="Hyperlink"/>
            <w:sz w:val="24"/>
            <w:lang w:val="fi-FI"/>
          </w:rPr>
          <w:t>http://data.europa.eu/eli/dec/2026/894/oj</w:t>
        </w:r>
      </w:hyperlink>
      <w:r w:rsidRPr="00F7788E">
        <w:rPr>
          <w:sz w:val="24"/>
          <w:lang w:val="fi-FI"/>
        </w:rPr>
        <w:t>.</w:t>
      </w:r>
    </w:p>
  </w:footnote>
  <w:footnote w:id="5">
    <w:p w:rsidR="00F3405E" w:rsidRPr="00F7788E" w:rsidP="00433A41" w14:paraId="2914CE36" w14:textId="5C47907D">
      <w:pPr>
        <w:pStyle w:val="FootnoteText"/>
        <w:ind w:left="567" w:hanging="567"/>
        <w:rPr>
          <w:sz w:val="24"/>
          <w:lang w:val="fi-FI"/>
        </w:rPr>
      </w:pPr>
      <w:r w:rsidRPr="00433A41">
        <w:rPr>
          <w:rStyle w:val="FootnoteReference"/>
          <w:sz w:val="24"/>
          <w:lang w:val="sv-SE"/>
        </w:rPr>
        <w:footnoteRef/>
      </w:r>
      <w:r w:rsidRPr="00F7788E" w:rsidR="00433A41">
        <w:rPr>
          <w:sz w:val="24"/>
          <w:lang w:val="fi-FI"/>
        </w:rPr>
        <w:t xml:space="preserve"> </w:t>
      </w:r>
      <w:r w:rsidRPr="00F7788E" w:rsidR="00433A41">
        <w:rPr>
          <w:sz w:val="24"/>
          <w:lang w:val="fi-FI"/>
        </w:rPr>
        <w:tab/>
      </w:r>
      <w:r w:rsidRPr="00F7788E" w:rsidR="00275A91">
        <w:rPr>
          <w:sz w:val="24"/>
          <w:lang w:val="fi-FI"/>
        </w:rPr>
        <w:t xml:space="preserve">EUT </w:t>
      </w:r>
      <w:r w:rsidRPr="00F7788E">
        <w:rPr>
          <w:sz w:val="24"/>
          <w:lang w:val="fi-FI"/>
        </w:rPr>
        <w:t xml:space="preserve">L, 2024/2010, 23.7.2024, ELI: </w:t>
      </w:r>
      <w:hyperlink r:id="rId4" w:history="1">
        <w:r w:rsidRPr="00F7788E">
          <w:rPr>
            <w:rStyle w:val="Hyperlink"/>
            <w:sz w:val="24"/>
            <w:lang w:val="fi-FI"/>
          </w:rPr>
          <w:t>http://data.europa.eu/eli/dec/2024/2010/oj</w:t>
        </w:r>
      </w:hyperlink>
      <w:r w:rsidRPr="00F7788E">
        <w:rPr>
          <w:sz w:val="24"/>
          <w:lang w:val="fi-FI"/>
        </w:rPr>
        <w:t>.</w:t>
      </w:r>
    </w:p>
  </w:footnote>
  <w:footnote w:id="6">
    <w:p w:rsidR="00F3405E" w:rsidRPr="00433A41" w:rsidP="00433A41" w14:paraId="1E37B28E" w14:textId="1E64DCEF">
      <w:pPr>
        <w:pStyle w:val="FootnoteText"/>
        <w:ind w:left="567" w:hanging="567"/>
        <w:rPr>
          <w:sz w:val="24"/>
          <w:lang w:val="sv-SE"/>
        </w:rPr>
      </w:pPr>
      <w:r w:rsidRPr="00433A41">
        <w:rPr>
          <w:rStyle w:val="FootnoteReference"/>
          <w:sz w:val="24"/>
          <w:lang w:val="sv-SE"/>
        </w:rPr>
        <w:footnoteRef/>
      </w:r>
      <w:r w:rsidRPr="00433A41" w:rsidR="00433A41">
        <w:rPr>
          <w:sz w:val="24"/>
          <w:lang w:val="sv-SE"/>
        </w:rPr>
        <w:t xml:space="preserve"> </w:t>
      </w:r>
      <w:r w:rsidRPr="00433A41" w:rsidR="00433A41">
        <w:rPr>
          <w:sz w:val="24"/>
          <w:lang w:val="sv-SE"/>
        </w:rPr>
        <w:tab/>
      </w:r>
      <w:r w:rsidRPr="00433A41">
        <w:rPr>
          <w:sz w:val="24"/>
          <w:lang w:val="sv-SE"/>
        </w:rPr>
        <w:t xml:space="preserve">Avtal mellan Europeiska unionen och Republiken Armenien om fastställande av en ram för Republiken Armeniens deltagande i Europeiska unionens krishanteringsinsatser (EUT L, 2025/1553, 31.7.2025, ELI: </w:t>
      </w:r>
      <w:hyperlink r:id="rId5" w:history="1">
        <w:r w:rsidRPr="00433A41">
          <w:rPr>
            <w:rStyle w:val="Hyperlink"/>
            <w:sz w:val="24"/>
            <w:lang w:val="sv-SE"/>
          </w:rPr>
          <w:t>http://data.europa.eu/eli/agree_internation/2025/1553/oj</w:t>
        </w:r>
      </w:hyperlink>
      <w:r w:rsidRPr="00433A41">
        <w:rPr>
          <w:sz w:val="24"/>
          <w:lang w:val="sv-SE"/>
        </w:rPr>
        <w:t>).</w:t>
      </w:r>
    </w:p>
  </w:footnote>
  <w:footnote w:id="7">
    <w:p w:rsidR="00F3405E" w:rsidRPr="00433A41" w:rsidP="00433A41" w14:paraId="59C9A942" w14:textId="31E5F8B5">
      <w:pPr>
        <w:pStyle w:val="FootnoteText"/>
        <w:ind w:left="567" w:hanging="567"/>
        <w:rPr>
          <w:sz w:val="24"/>
          <w:lang w:val="sv-SE"/>
        </w:rPr>
      </w:pPr>
      <w:r w:rsidRPr="00433A41">
        <w:rPr>
          <w:rStyle w:val="FootnoteReference"/>
          <w:sz w:val="24"/>
          <w:lang w:val="sv-SE"/>
        </w:rPr>
        <w:footnoteRef/>
      </w:r>
      <w:r w:rsidRPr="00433A41" w:rsidR="00433A41">
        <w:rPr>
          <w:sz w:val="24"/>
          <w:lang w:val="sv-SE"/>
        </w:rPr>
        <w:t xml:space="preserve"> </w:t>
      </w:r>
      <w:r w:rsidRPr="00433A41" w:rsidR="00433A41">
        <w:rPr>
          <w:sz w:val="24"/>
          <w:lang w:val="sv-SE"/>
        </w:rPr>
        <w:tab/>
      </w:r>
      <w:r w:rsidR="00275A91">
        <w:rPr>
          <w:sz w:val="24"/>
          <w:lang w:val="sv-SE"/>
        </w:rPr>
        <w:t>EUT</w:t>
      </w:r>
      <w:r w:rsidRPr="00433A41">
        <w:rPr>
          <w:sz w:val="24"/>
          <w:lang w:val="sv-SE"/>
        </w:rPr>
        <w:t xml:space="preserve"> C 328, 6.9.2016, </w:t>
      </w:r>
      <w:r w:rsidR="00F7788E">
        <w:rPr>
          <w:sz w:val="24"/>
          <w:lang w:val="sv-SE"/>
        </w:rPr>
        <w:t>s</w:t>
      </w:r>
      <w:r w:rsidRPr="00433A41">
        <w:rPr>
          <w:sz w:val="24"/>
          <w:lang w:val="sv-SE"/>
        </w:rPr>
        <w:t>.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3A41" w14:paraId="230CCF8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3A41" w14:paraId="2765C9E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33A41" w14:paraId="65D8485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6152225">
    <w:abstractNumId w:val="9"/>
  </w:num>
  <w:num w:numId="2" w16cid:durableId="547108585">
    <w:abstractNumId w:val="9"/>
  </w:num>
  <w:num w:numId="3" w16cid:durableId="1986857326">
    <w:abstractNumId w:val="7"/>
  </w:num>
  <w:num w:numId="4" w16cid:durableId="1858886856">
    <w:abstractNumId w:val="7"/>
  </w:num>
  <w:num w:numId="5" w16cid:durableId="1036152762">
    <w:abstractNumId w:val="6"/>
  </w:num>
  <w:num w:numId="6" w16cid:durableId="1954315560">
    <w:abstractNumId w:val="6"/>
  </w:num>
  <w:num w:numId="7" w16cid:durableId="1374421188">
    <w:abstractNumId w:val="5"/>
  </w:num>
  <w:num w:numId="8" w16cid:durableId="844591710">
    <w:abstractNumId w:val="5"/>
  </w:num>
  <w:num w:numId="9" w16cid:durableId="725642555">
    <w:abstractNumId w:val="4"/>
  </w:num>
  <w:num w:numId="10" w16cid:durableId="1721442793">
    <w:abstractNumId w:val="4"/>
  </w:num>
  <w:num w:numId="11" w16cid:durableId="646741217">
    <w:abstractNumId w:val="8"/>
  </w:num>
  <w:num w:numId="12" w16cid:durableId="792095141">
    <w:abstractNumId w:val="8"/>
  </w:num>
  <w:num w:numId="13" w16cid:durableId="1850366668">
    <w:abstractNumId w:val="3"/>
  </w:num>
  <w:num w:numId="14" w16cid:durableId="1389450858">
    <w:abstractNumId w:val="3"/>
  </w:num>
  <w:num w:numId="15" w16cid:durableId="1266619251">
    <w:abstractNumId w:val="2"/>
  </w:num>
  <w:num w:numId="16" w16cid:durableId="2140802978">
    <w:abstractNumId w:val="2"/>
  </w:num>
  <w:num w:numId="17" w16cid:durableId="1023242827">
    <w:abstractNumId w:val="1"/>
  </w:num>
  <w:num w:numId="18" w16cid:durableId="1082994808">
    <w:abstractNumId w:val="1"/>
  </w:num>
  <w:num w:numId="19" w16cid:durableId="953635053">
    <w:abstractNumId w:val="0"/>
  </w:num>
  <w:num w:numId="20" w16cid:durableId="1830093271">
    <w:abstractNumId w:val="0"/>
  </w:num>
  <w:num w:numId="21" w16cid:durableId="332611398">
    <w:abstractNumId w:val="9"/>
  </w:num>
  <w:num w:numId="22" w16cid:durableId="6828297">
    <w:abstractNumId w:val="7"/>
  </w:num>
  <w:num w:numId="23" w16cid:durableId="956107622">
    <w:abstractNumId w:val="6"/>
  </w:num>
  <w:num w:numId="24" w16cid:durableId="1866744197">
    <w:abstractNumId w:val="5"/>
  </w:num>
  <w:num w:numId="25" w16cid:durableId="1396124622">
    <w:abstractNumId w:val="4"/>
  </w:num>
  <w:num w:numId="26" w16cid:durableId="382294997">
    <w:abstractNumId w:val="8"/>
  </w:num>
  <w:num w:numId="27" w16cid:durableId="399792118">
    <w:abstractNumId w:val="3"/>
  </w:num>
  <w:num w:numId="28" w16cid:durableId="176165040">
    <w:abstractNumId w:val="2"/>
  </w:num>
  <w:num w:numId="29" w16cid:durableId="646009986">
    <w:abstractNumId w:val="1"/>
  </w:num>
  <w:num w:numId="30" w16cid:durableId="444926076">
    <w:abstractNumId w:val="0"/>
  </w:num>
  <w:num w:numId="31" w16cid:durableId="590697362">
    <w:abstractNumId w:val="9"/>
  </w:num>
  <w:num w:numId="32" w16cid:durableId="289364719">
    <w:abstractNumId w:val="7"/>
  </w:num>
  <w:num w:numId="33" w16cid:durableId="624891276">
    <w:abstractNumId w:val="6"/>
  </w:num>
  <w:num w:numId="34" w16cid:durableId="821239660">
    <w:abstractNumId w:val="5"/>
  </w:num>
  <w:num w:numId="35" w16cid:durableId="1473868059">
    <w:abstractNumId w:val="4"/>
  </w:num>
  <w:num w:numId="36" w16cid:durableId="903836311">
    <w:abstractNumId w:val="8"/>
  </w:num>
  <w:num w:numId="37" w16cid:durableId="1489516889">
    <w:abstractNumId w:val="3"/>
  </w:num>
  <w:num w:numId="38" w16cid:durableId="924610999">
    <w:abstractNumId w:val="2"/>
  </w:num>
  <w:num w:numId="39" w16cid:durableId="286665286">
    <w:abstractNumId w:val="1"/>
  </w:num>
  <w:num w:numId="40" w16cid:durableId="1071317337">
    <w:abstractNumId w:val="0"/>
  </w:num>
  <w:num w:numId="41" w16cid:durableId="1376657174">
    <w:abstractNumId w:val="10"/>
  </w:num>
  <w:num w:numId="42" w16cid:durableId="708921078">
    <w:abstractNumId w:val="10"/>
  </w:num>
  <w:num w:numId="43" w16cid:durableId="400098262">
    <w:abstractNumId w:val="10"/>
  </w:num>
  <w:num w:numId="44" w16cid:durableId="20139519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57"/>
    <w:rsid w:val="00002272"/>
    <w:rsid w:val="00015EC1"/>
    <w:rsid w:val="00064002"/>
    <w:rsid w:val="000677B9"/>
    <w:rsid w:val="000831BA"/>
    <w:rsid w:val="000A42CC"/>
    <w:rsid w:val="000E7DD9"/>
    <w:rsid w:val="0010095E"/>
    <w:rsid w:val="00125B37"/>
    <w:rsid w:val="00133FC2"/>
    <w:rsid w:val="00187494"/>
    <w:rsid w:val="001F32AE"/>
    <w:rsid w:val="00275A91"/>
    <w:rsid w:val="002767FF"/>
    <w:rsid w:val="002B18FE"/>
    <w:rsid w:val="002B5493"/>
    <w:rsid w:val="00343214"/>
    <w:rsid w:val="00361C00"/>
    <w:rsid w:val="00395FA1"/>
    <w:rsid w:val="003D5AAD"/>
    <w:rsid w:val="003E15D4"/>
    <w:rsid w:val="00411CCE"/>
    <w:rsid w:val="0041666E"/>
    <w:rsid w:val="00421060"/>
    <w:rsid w:val="00433A4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2136"/>
    <w:rsid w:val="006F74FA"/>
    <w:rsid w:val="00731ADD"/>
    <w:rsid w:val="00734777"/>
    <w:rsid w:val="00747932"/>
    <w:rsid w:val="00751A4A"/>
    <w:rsid w:val="00756632"/>
    <w:rsid w:val="00762C74"/>
    <w:rsid w:val="00786EC0"/>
    <w:rsid w:val="00793466"/>
    <w:rsid w:val="007D1690"/>
    <w:rsid w:val="007E22AD"/>
    <w:rsid w:val="00817416"/>
    <w:rsid w:val="00842779"/>
    <w:rsid w:val="00865F67"/>
    <w:rsid w:val="00881A7B"/>
    <w:rsid w:val="008840E5"/>
    <w:rsid w:val="00887B3E"/>
    <w:rsid w:val="008C2AC6"/>
    <w:rsid w:val="008E0157"/>
    <w:rsid w:val="00930C23"/>
    <w:rsid w:val="0093193B"/>
    <w:rsid w:val="009509D8"/>
    <w:rsid w:val="00950B64"/>
    <w:rsid w:val="00981893"/>
    <w:rsid w:val="00A1687D"/>
    <w:rsid w:val="00A43E52"/>
    <w:rsid w:val="00A4678D"/>
    <w:rsid w:val="00A7326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B39"/>
    <w:rsid w:val="00E365E1"/>
    <w:rsid w:val="00E820A4"/>
    <w:rsid w:val="00EB006A"/>
    <w:rsid w:val="00EB4772"/>
    <w:rsid w:val="00ED169E"/>
    <w:rsid w:val="00ED4235"/>
    <w:rsid w:val="00F04346"/>
    <w:rsid w:val="00F075DC"/>
    <w:rsid w:val="00F149E9"/>
    <w:rsid w:val="00F3405E"/>
    <w:rsid w:val="00F4282D"/>
    <w:rsid w:val="00F5134D"/>
    <w:rsid w:val="00F74202"/>
    <w:rsid w:val="00F7788E"/>
    <w:rsid w:val="00F87713"/>
    <w:rsid w:val="00FB4360"/>
    <w:rsid w:val="00FD0C70"/>
  </w:rsids>
  <w:docVars>
    <w:docVar w:name="dvdocse" w:val="B10-0195/2026"/>
    <w:docVar w:name="dvlangue" w:val="SV"/>
    <w:docVar w:name="dvnumam" w:val="0"/>
    <w:docVar w:name="dvpe" w:val="783.229"/>
    <w:docVar w:name="dvtitre" w:val="Europaparlamentets resolution av den xx xx 2026 om stöd till den demokratiska resiliensen i Armenien(2026/27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CE92556"/>
  <w15:chartTrackingRefBased/>
  <w15:docId w15:val="{0CCFAF72-32A1-4377-AABE-1FA64B9E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3405E"/>
    <w:rPr>
      <w:b/>
    </w:rPr>
  </w:style>
  <w:style w:type="paragraph" w:customStyle="1" w:styleId="NormalHanging12a">
    <w:name w:val="NormalHanging12a"/>
    <w:basedOn w:val="Normal"/>
    <w:rsid w:val="00F3405E"/>
    <w:pPr>
      <w:spacing w:after="240"/>
      <w:ind w:left="567" w:hanging="567"/>
    </w:pPr>
  </w:style>
  <w:style w:type="paragraph" w:customStyle="1" w:styleId="EPComma">
    <w:name w:val="EPComma"/>
    <w:basedOn w:val="Normal"/>
    <w:link w:val="EPCommaChar"/>
    <w:rsid w:val="00F3405E"/>
    <w:pPr>
      <w:spacing w:before="480" w:after="240"/>
    </w:pPr>
  </w:style>
  <w:style w:type="character" w:customStyle="1" w:styleId="EPCommaChar">
    <w:name w:val="EPComma Char"/>
    <w:basedOn w:val="DefaultParagraphFont"/>
    <w:link w:val="EPComma"/>
    <w:rsid w:val="00F3405E"/>
    <w:rPr>
      <w:sz w:val="24"/>
      <w:lang w:val="sv-SE"/>
    </w:rPr>
  </w:style>
  <w:style w:type="character" w:styleId="Hyperlink">
    <w:name w:val="Hyperlink"/>
    <w:basedOn w:val="DefaultParagraphFont"/>
    <w:rsid w:val="00F340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8/104/oj" TargetMode="External" /><Relationship Id="rId2" Type="http://schemas.openxmlformats.org/officeDocument/2006/relationships/hyperlink" Target="http://data.europa.eu/eli/dec/2025/211/oj" TargetMode="External" /><Relationship Id="rId3" Type="http://schemas.openxmlformats.org/officeDocument/2006/relationships/hyperlink" Target="http://data.europa.eu/eli/dec/2026/894/oj" TargetMode="External" /><Relationship Id="rId4" Type="http://schemas.openxmlformats.org/officeDocument/2006/relationships/hyperlink" Target="http://data.europa.eu/eli/dec/2024/2010/oj" TargetMode="External" /><Relationship Id="rId5" Type="http://schemas.openxmlformats.org/officeDocument/2006/relationships/hyperlink" Target="http://data.europa.eu/eli/agree_internation/2025/155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2094</Words>
  <Characters>14138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2026-06-01T11:48:00Z</dcterms:created>
  <dcterms:modified xsi:type="dcterms:W3CDTF">2026-09-21T13:17:00Z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B10-0195/2026</vt:lpwstr>
  </property>
  <property fmtid="{D5CDD505-2E9C-101B-9397-08002B2CF9AE}" pid="4" name="&lt;Type&gt;">
    <vt:lpwstr>RR</vt:lpwstr>
  </property>
</Properties>
</file>